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FC" w:rsidRDefault="00181DDE">
      <w:pPr>
        <w:spacing w:line="360" w:lineRule="auto"/>
        <w:jc w:val="center"/>
        <w:rPr>
          <w:rFonts w:eastAsia="黑体"/>
          <w:color w:val="000000"/>
          <w:szCs w:val="20"/>
        </w:rPr>
      </w:pPr>
      <w:r>
        <w:rPr>
          <w:rFonts w:eastAsia="黑体" w:hint="eastAsia"/>
          <w:color w:val="000000"/>
          <w:szCs w:val="20"/>
        </w:rPr>
        <w:t>股票代码：</w:t>
      </w:r>
      <w:r>
        <w:rPr>
          <w:rFonts w:eastAsia="黑体"/>
          <w:color w:val="000000"/>
          <w:szCs w:val="20"/>
        </w:rPr>
        <w:t>600188</w:t>
      </w:r>
      <w:r>
        <w:rPr>
          <w:rFonts w:eastAsia="黑体" w:hint="eastAsia"/>
          <w:color w:val="000000"/>
          <w:szCs w:val="20"/>
        </w:rPr>
        <w:t xml:space="preserve">     </w:t>
      </w:r>
      <w:r>
        <w:rPr>
          <w:rFonts w:eastAsia="黑体"/>
          <w:color w:val="000000"/>
          <w:szCs w:val="20"/>
        </w:rPr>
        <w:t xml:space="preserve"> </w:t>
      </w:r>
      <w:r>
        <w:rPr>
          <w:rFonts w:eastAsia="黑体" w:hint="eastAsia"/>
          <w:color w:val="000000"/>
          <w:szCs w:val="20"/>
        </w:rPr>
        <w:t xml:space="preserve">        </w:t>
      </w:r>
      <w:r>
        <w:rPr>
          <w:rFonts w:eastAsia="黑体" w:hint="eastAsia"/>
          <w:color w:val="000000"/>
          <w:szCs w:val="20"/>
        </w:rPr>
        <w:t>股票简称：</w:t>
      </w:r>
      <w:r>
        <w:rPr>
          <w:rFonts w:eastAsia="黑体" w:hint="eastAsia"/>
          <w:color w:val="000000"/>
          <w:szCs w:val="20"/>
        </w:rPr>
        <w:t xml:space="preserve"> </w:t>
      </w:r>
      <w:r>
        <w:rPr>
          <w:rFonts w:eastAsia="黑体" w:hint="eastAsia"/>
          <w:color w:val="000000"/>
          <w:szCs w:val="20"/>
        </w:rPr>
        <w:t>兖矿能源</w:t>
      </w:r>
      <w:r>
        <w:rPr>
          <w:rFonts w:eastAsia="黑体" w:hint="eastAsia"/>
          <w:color w:val="000000"/>
          <w:szCs w:val="20"/>
        </w:rPr>
        <w:t xml:space="preserve">      </w:t>
      </w:r>
      <w:r>
        <w:rPr>
          <w:rFonts w:eastAsia="黑体"/>
          <w:color w:val="000000"/>
          <w:szCs w:val="20"/>
        </w:rPr>
        <w:t xml:space="preserve">   </w:t>
      </w:r>
      <w:r>
        <w:rPr>
          <w:rFonts w:eastAsia="黑体" w:hint="eastAsia"/>
          <w:color w:val="000000"/>
          <w:szCs w:val="20"/>
        </w:rPr>
        <w:t xml:space="preserve">  </w:t>
      </w:r>
      <w:r>
        <w:rPr>
          <w:rFonts w:eastAsia="黑体" w:hint="eastAsia"/>
          <w:color w:val="000000"/>
          <w:szCs w:val="20"/>
        </w:rPr>
        <w:t>编号：临</w:t>
      </w:r>
      <w:r>
        <w:rPr>
          <w:rFonts w:eastAsia="黑体" w:hint="eastAsia"/>
          <w:color w:val="000000"/>
          <w:szCs w:val="20"/>
        </w:rPr>
        <w:t>20</w:t>
      </w:r>
      <w:r>
        <w:rPr>
          <w:rFonts w:eastAsia="黑体"/>
          <w:color w:val="000000"/>
          <w:szCs w:val="20"/>
        </w:rPr>
        <w:t>22</w:t>
      </w:r>
      <w:r>
        <w:rPr>
          <w:rFonts w:eastAsia="黑体" w:hint="eastAsia"/>
          <w:color w:val="000000"/>
          <w:szCs w:val="20"/>
        </w:rPr>
        <w:t>-</w:t>
      </w:r>
      <w:r w:rsidR="00C528FC">
        <w:rPr>
          <w:rFonts w:ascii="黑体" w:eastAsia="黑体" w:hAnsi="黑体" w:hint="eastAsia"/>
          <w:color w:val="000000"/>
          <w:szCs w:val="20"/>
        </w:rPr>
        <w:t>071</w:t>
      </w:r>
    </w:p>
    <w:p w:rsidR="00BC0725" w:rsidRDefault="00BC0725">
      <w:pPr>
        <w:spacing w:line="560" w:lineRule="exact"/>
        <w:jc w:val="center"/>
        <w:rPr>
          <w:rFonts w:ascii="黑体" w:eastAsia="黑体"/>
          <w:b/>
          <w:bCs/>
          <w:color w:val="FF0000"/>
          <w:sz w:val="36"/>
          <w:szCs w:val="36"/>
        </w:rPr>
      </w:pPr>
    </w:p>
    <w:p w:rsidR="00BC0725" w:rsidRDefault="00181DDE">
      <w:pPr>
        <w:spacing w:line="560" w:lineRule="exact"/>
        <w:jc w:val="center"/>
        <w:rPr>
          <w:rFonts w:ascii="黑体" w:eastAsia="黑体"/>
          <w:b/>
          <w:bCs/>
          <w:color w:val="FF0000"/>
          <w:sz w:val="36"/>
          <w:szCs w:val="36"/>
        </w:rPr>
      </w:pPr>
      <w:r>
        <w:rPr>
          <w:rFonts w:ascii="黑体" w:eastAsia="黑体" w:hint="eastAsia"/>
          <w:b/>
          <w:bCs/>
          <w:color w:val="FF0000"/>
          <w:sz w:val="36"/>
          <w:szCs w:val="36"/>
        </w:rPr>
        <w:t>兖矿能源集团股份有限公司</w:t>
      </w:r>
    </w:p>
    <w:p w:rsidR="00BC0725" w:rsidRDefault="00181DDE">
      <w:pPr>
        <w:spacing w:line="560" w:lineRule="exact"/>
        <w:jc w:val="center"/>
        <w:rPr>
          <w:rFonts w:ascii="黑体" w:eastAsia="黑体"/>
          <w:b/>
          <w:bCs/>
          <w:color w:val="FF0000"/>
          <w:sz w:val="36"/>
          <w:szCs w:val="36"/>
        </w:rPr>
      </w:pPr>
      <w:r>
        <w:rPr>
          <w:rFonts w:ascii="黑体" w:eastAsia="黑体" w:hint="eastAsia"/>
          <w:b/>
          <w:bCs/>
          <w:color w:val="FF0000"/>
          <w:sz w:val="36"/>
          <w:szCs w:val="36"/>
        </w:rPr>
        <w:t>202</w:t>
      </w:r>
      <w:r>
        <w:rPr>
          <w:rFonts w:ascii="黑体" w:eastAsia="黑体"/>
          <w:b/>
          <w:bCs/>
          <w:color w:val="FF0000"/>
          <w:sz w:val="36"/>
          <w:szCs w:val="36"/>
        </w:rPr>
        <w:t>2</w:t>
      </w:r>
      <w:r>
        <w:rPr>
          <w:rFonts w:ascii="黑体" w:eastAsia="黑体" w:hint="eastAsia"/>
          <w:b/>
          <w:bCs/>
          <w:color w:val="FF0000"/>
          <w:sz w:val="36"/>
          <w:szCs w:val="36"/>
        </w:rPr>
        <w:t>年</w:t>
      </w:r>
      <w:r>
        <w:rPr>
          <w:rFonts w:ascii="黑体" w:eastAsia="黑体" w:hint="eastAsia"/>
          <w:b/>
          <w:bCs/>
          <w:color w:val="FF0000"/>
          <w:sz w:val="36"/>
          <w:szCs w:val="36"/>
        </w:rPr>
        <w:t>前三季度</w:t>
      </w:r>
      <w:r>
        <w:rPr>
          <w:rFonts w:ascii="黑体" w:eastAsia="黑体" w:hint="eastAsia"/>
          <w:b/>
          <w:bCs/>
          <w:color w:val="FF0000"/>
          <w:sz w:val="36"/>
          <w:szCs w:val="36"/>
        </w:rPr>
        <w:t>业绩预增公告</w:t>
      </w:r>
    </w:p>
    <w:p w:rsidR="00BC0725" w:rsidRDefault="00BC0725">
      <w:pPr>
        <w:spacing w:line="400" w:lineRule="exact"/>
        <w:rPr>
          <w:sz w:val="28"/>
          <w:szCs w:val="28"/>
        </w:rPr>
      </w:pPr>
    </w:p>
    <w:p w:rsidR="00BC0725" w:rsidRDefault="00181DDE">
      <w:pPr>
        <w:spacing w:line="360" w:lineRule="auto"/>
        <w:ind w:firstLineChars="200" w:firstLine="562"/>
        <w:rPr>
          <w:rFonts w:asciiTheme="minorEastAsia" w:hAnsiTheme="minorEastAsia"/>
          <w:b/>
          <w:bCs/>
          <w:sz w:val="28"/>
          <w:szCs w:val="28"/>
        </w:rPr>
      </w:pPr>
      <w:r>
        <w:rPr>
          <w:rFonts w:asciiTheme="minorEastAsia" w:hAnsiTheme="minorEastAsia" w:hint="eastAsia"/>
          <w:b/>
          <w:bCs/>
          <w:sz w:val="28"/>
          <w:szCs w:val="28"/>
        </w:rPr>
        <w:t>重要内容提示：</w:t>
      </w:r>
    </w:p>
    <w:p w:rsidR="00BC0725" w:rsidRDefault="00181DDE">
      <w:pPr>
        <w:spacing w:line="360" w:lineRule="auto"/>
        <w:ind w:firstLineChars="200" w:firstLine="560"/>
        <w:rPr>
          <w:rFonts w:asciiTheme="minorEastAsia" w:hAnsiTheme="minorEastAsia"/>
          <w:b/>
          <w:bCs/>
          <w:sz w:val="24"/>
        </w:rPr>
      </w:pPr>
      <w:r>
        <w:rPr>
          <w:rFonts w:ascii="宋体" w:hAnsi="宋体" w:hint="eastAsia"/>
          <w:sz w:val="28"/>
          <w:szCs w:val="28"/>
        </w:rPr>
        <w:t>按中国会计准则初步测算，兖矿能源集团股份有限公司（“公司”“本公司”）预计</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前三季度</w:t>
      </w:r>
      <w:r>
        <w:rPr>
          <w:rFonts w:ascii="宋体" w:hAnsi="宋体" w:hint="eastAsia"/>
          <w:sz w:val="28"/>
          <w:szCs w:val="28"/>
        </w:rPr>
        <w:t>实现归</w:t>
      </w:r>
      <w:bookmarkStart w:id="0" w:name="_GoBack"/>
      <w:bookmarkEnd w:id="0"/>
      <w:r>
        <w:rPr>
          <w:rFonts w:ascii="宋体" w:hAnsi="宋体" w:hint="eastAsia"/>
          <w:sz w:val="28"/>
          <w:szCs w:val="28"/>
        </w:rPr>
        <w:t>属于上市公司股东的净利润约</w:t>
      </w:r>
      <w:r>
        <w:rPr>
          <w:rFonts w:ascii="宋体" w:hAnsi="宋体" w:hint="eastAsia"/>
          <w:sz w:val="28"/>
          <w:szCs w:val="28"/>
        </w:rPr>
        <w:t>271</w:t>
      </w:r>
      <w:r>
        <w:rPr>
          <w:rFonts w:ascii="宋体" w:hAnsi="宋体" w:hint="eastAsia"/>
          <w:sz w:val="28"/>
          <w:szCs w:val="28"/>
        </w:rPr>
        <w:t>亿元</w:t>
      </w:r>
      <w:r>
        <w:rPr>
          <w:rFonts w:ascii="宋体" w:hAnsi="宋体" w:hint="eastAsia"/>
          <w:sz w:val="28"/>
          <w:szCs w:val="28"/>
        </w:rPr>
        <w:t>，与上年同期数据相比，将增加</w:t>
      </w:r>
      <w:bookmarkStart w:id="1" w:name="_Hlk99396991"/>
      <w:r>
        <w:rPr>
          <w:rFonts w:ascii="宋体" w:hAnsi="宋体" w:hint="eastAsia"/>
          <w:sz w:val="28"/>
          <w:szCs w:val="28"/>
        </w:rPr>
        <w:t>约</w:t>
      </w:r>
      <w:r>
        <w:rPr>
          <w:rFonts w:ascii="宋体" w:hAnsi="宋体" w:hint="eastAsia"/>
          <w:sz w:val="28"/>
          <w:szCs w:val="28"/>
        </w:rPr>
        <w:t>155.68</w:t>
      </w:r>
      <w:r>
        <w:rPr>
          <w:rFonts w:ascii="宋体" w:hAnsi="宋体" w:hint="eastAsia"/>
          <w:sz w:val="28"/>
          <w:szCs w:val="28"/>
        </w:rPr>
        <w:t>亿元</w:t>
      </w:r>
      <w:r>
        <w:rPr>
          <w:rFonts w:ascii="宋体" w:hAnsi="宋体" w:hint="eastAsia"/>
          <w:sz w:val="28"/>
          <w:szCs w:val="28"/>
        </w:rPr>
        <w:t>或</w:t>
      </w:r>
      <w:r>
        <w:rPr>
          <w:rFonts w:ascii="宋体" w:hAnsi="宋体" w:hint="eastAsia"/>
          <w:sz w:val="28"/>
          <w:szCs w:val="28"/>
        </w:rPr>
        <w:t>135</w:t>
      </w:r>
      <w:r>
        <w:rPr>
          <w:rFonts w:ascii="宋体" w:hAnsi="宋体" w:hint="eastAsia"/>
          <w:sz w:val="28"/>
          <w:szCs w:val="28"/>
        </w:rPr>
        <w:t>%</w:t>
      </w:r>
      <w:bookmarkEnd w:id="1"/>
      <w:r>
        <w:rPr>
          <w:rFonts w:ascii="宋体" w:hAnsi="宋体" w:hint="eastAsia"/>
          <w:sz w:val="28"/>
          <w:szCs w:val="28"/>
        </w:rPr>
        <w:t>；预计</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前三季度</w:t>
      </w:r>
      <w:r>
        <w:rPr>
          <w:rFonts w:ascii="宋体" w:hAnsi="宋体" w:hint="eastAsia"/>
          <w:sz w:val="28"/>
          <w:szCs w:val="28"/>
        </w:rPr>
        <w:t>实现归属于上市公司股东的扣除非经常性损益的净利润约</w:t>
      </w:r>
      <w:r>
        <w:rPr>
          <w:rFonts w:ascii="宋体" w:hAnsi="宋体" w:hint="eastAsia"/>
          <w:sz w:val="28"/>
          <w:szCs w:val="28"/>
        </w:rPr>
        <w:t>267</w:t>
      </w:r>
      <w:r>
        <w:rPr>
          <w:rFonts w:ascii="宋体" w:hAnsi="宋体" w:hint="eastAsia"/>
          <w:sz w:val="28"/>
          <w:szCs w:val="28"/>
        </w:rPr>
        <w:t>亿元</w:t>
      </w:r>
      <w:r>
        <w:rPr>
          <w:rFonts w:ascii="宋体" w:hAnsi="宋体" w:hint="eastAsia"/>
          <w:sz w:val="28"/>
          <w:szCs w:val="28"/>
        </w:rPr>
        <w:t>，与上年同期数据相比，将增加约</w:t>
      </w:r>
      <w:r>
        <w:rPr>
          <w:rFonts w:ascii="宋体" w:hAnsi="宋体" w:hint="eastAsia"/>
          <w:sz w:val="28"/>
          <w:szCs w:val="28"/>
        </w:rPr>
        <w:t>149.41</w:t>
      </w:r>
      <w:r>
        <w:rPr>
          <w:rFonts w:ascii="宋体" w:hAnsi="宋体" w:hint="eastAsia"/>
          <w:sz w:val="28"/>
          <w:szCs w:val="28"/>
        </w:rPr>
        <w:t>亿元或</w:t>
      </w:r>
      <w:r>
        <w:rPr>
          <w:rFonts w:ascii="宋体" w:hAnsi="宋体" w:hint="eastAsia"/>
          <w:sz w:val="28"/>
          <w:szCs w:val="28"/>
        </w:rPr>
        <w:t>127</w:t>
      </w:r>
      <w:r>
        <w:rPr>
          <w:rFonts w:ascii="宋体" w:hAnsi="宋体" w:hint="eastAsia"/>
          <w:sz w:val="28"/>
          <w:szCs w:val="28"/>
        </w:rPr>
        <w:t>%</w:t>
      </w:r>
      <w:r>
        <w:rPr>
          <w:rFonts w:ascii="宋体" w:hAnsi="宋体" w:hint="eastAsia"/>
          <w:sz w:val="28"/>
          <w:szCs w:val="28"/>
        </w:rPr>
        <w:t>。</w:t>
      </w:r>
      <w:r w:rsidR="00BC0725" w:rsidRPr="00BC0725">
        <w:rPr>
          <w:sz w:val="28"/>
          <w:szCs w:val="20"/>
        </w:rPr>
        <w:pict>
          <v:shapetype id="_x0000_t202" coordsize="21600,21600" o:spt="202" path="m,l,21600r21600,l21600,xe">
            <v:stroke joinstyle="miter"/>
            <v:path gradientshapeok="t" o:connecttype="rect"/>
          </v:shapetype>
          <v:shape id="_x0000_s1026" type="#_x0000_t202" style="position:absolute;left:0;text-align:left;margin-left:0;margin-top:199.2pt;width:423pt;height:77.2pt;z-index:251659264;mso-position-horizontal-relative:text;mso-position-vertical-relative:page" o:gfxdata="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aMN&#10;3dgAAAAIAQAADwAAAAAAAAABACAAAAAiAAAAZHJzL2Rvd25yZXYueG1sUEsBAhQAFAAAAAgAh07i&#10;QM1KtgIiAgAAOQQAAA4AAAAAAAAAAQAgAAAAJwEAAGRycy9lMm9Eb2MueG1sUEsFBgAAAAAGAAYA&#10;WQEAALsFAAAAAA==&#10;">
            <v:textbox>
              <w:txbxContent>
                <w:p w:rsidR="00BC0725" w:rsidRDefault="00181DDE">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w10:wrap type="topAndBottom" anchory="page"/>
          </v:shape>
        </w:pict>
      </w:r>
    </w:p>
    <w:p w:rsidR="00BC0725" w:rsidRDefault="00181DDE">
      <w:pPr>
        <w:spacing w:line="520" w:lineRule="exact"/>
        <w:ind w:firstLineChars="200" w:firstLine="562"/>
        <w:rPr>
          <w:rFonts w:ascii="宋体" w:hAnsi="宋体"/>
          <w:b/>
          <w:bCs/>
          <w:sz w:val="28"/>
          <w:szCs w:val="28"/>
        </w:rPr>
      </w:pPr>
      <w:r>
        <w:rPr>
          <w:rFonts w:ascii="宋体" w:hAnsi="宋体" w:hint="eastAsia"/>
          <w:b/>
          <w:bCs/>
          <w:sz w:val="28"/>
          <w:szCs w:val="28"/>
        </w:rPr>
        <w:t>一、本期业绩预告情况（按中国会计准则计算）</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（一）业绩预告期间</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20</w:t>
      </w:r>
      <w:r>
        <w:rPr>
          <w:rFonts w:ascii="宋体" w:hAnsi="宋体"/>
          <w:sz w:val="28"/>
          <w:szCs w:val="28"/>
        </w:rPr>
        <w:t>22</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日至</w:t>
      </w:r>
      <w:r>
        <w:rPr>
          <w:rFonts w:ascii="宋体" w:hAnsi="宋体" w:hint="eastAsia"/>
          <w:sz w:val="28"/>
          <w:szCs w:val="28"/>
        </w:rPr>
        <w:t>20</w:t>
      </w:r>
      <w:r>
        <w:rPr>
          <w:rFonts w:ascii="宋体" w:hAnsi="宋体"/>
          <w:sz w:val="28"/>
          <w:szCs w:val="28"/>
        </w:rPr>
        <w:t>22</w:t>
      </w:r>
      <w:r>
        <w:rPr>
          <w:rFonts w:ascii="宋体" w:hAnsi="宋体" w:hint="eastAsia"/>
          <w:sz w:val="28"/>
          <w:szCs w:val="28"/>
        </w:rPr>
        <w:t>年</w:t>
      </w:r>
      <w:r>
        <w:rPr>
          <w:rFonts w:ascii="宋体" w:hAnsi="宋体" w:hint="eastAsia"/>
          <w:sz w:val="28"/>
          <w:szCs w:val="28"/>
        </w:rPr>
        <w:t>9</w:t>
      </w:r>
      <w:r>
        <w:rPr>
          <w:rFonts w:ascii="宋体" w:hAnsi="宋体" w:hint="eastAsia"/>
          <w:sz w:val="28"/>
          <w:szCs w:val="28"/>
        </w:rPr>
        <w:t>月</w:t>
      </w:r>
      <w:r>
        <w:rPr>
          <w:rFonts w:ascii="宋体" w:hAnsi="宋体" w:hint="eastAsia"/>
          <w:sz w:val="28"/>
          <w:szCs w:val="28"/>
        </w:rPr>
        <w:t>3</w:t>
      </w:r>
      <w:r>
        <w:rPr>
          <w:rFonts w:ascii="宋体" w:hAnsi="宋体"/>
          <w:sz w:val="28"/>
          <w:szCs w:val="28"/>
        </w:rPr>
        <w:t>0</w:t>
      </w:r>
      <w:r>
        <w:rPr>
          <w:rFonts w:ascii="宋体" w:hAnsi="宋体" w:hint="eastAsia"/>
          <w:sz w:val="28"/>
          <w:szCs w:val="28"/>
        </w:rPr>
        <w:t>日。</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（二）业绩预告情况</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经公司财务部门初步测算，本公司预计</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前三季度</w:t>
      </w:r>
      <w:r>
        <w:rPr>
          <w:rFonts w:ascii="宋体" w:hAnsi="宋体" w:hint="eastAsia"/>
          <w:sz w:val="28"/>
          <w:szCs w:val="28"/>
        </w:rPr>
        <w:t>实现归属于上市公司股东的净利润约</w:t>
      </w:r>
      <w:r>
        <w:rPr>
          <w:rFonts w:ascii="宋体" w:hAnsi="宋体" w:hint="eastAsia"/>
          <w:sz w:val="28"/>
          <w:szCs w:val="28"/>
        </w:rPr>
        <w:t>271</w:t>
      </w:r>
      <w:r>
        <w:rPr>
          <w:rFonts w:ascii="宋体" w:hAnsi="宋体" w:hint="eastAsia"/>
          <w:sz w:val="28"/>
          <w:szCs w:val="28"/>
        </w:rPr>
        <w:t>亿元</w:t>
      </w:r>
      <w:r>
        <w:rPr>
          <w:rFonts w:ascii="宋体" w:hAnsi="宋体" w:hint="eastAsia"/>
          <w:sz w:val="28"/>
          <w:szCs w:val="28"/>
        </w:rPr>
        <w:t>，与上年同期（法定披露数据）相比，将增加</w:t>
      </w:r>
      <w:r>
        <w:rPr>
          <w:rFonts w:ascii="宋体" w:hAnsi="宋体" w:hint="eastAsia"/>
          <w:sz w:val="28"/>
          <w:szCs w:val="28"/>
        </w:rPr>
        <w:t>155.68</w:t>
      </w:r>
      <w:r>
        <w:rPr>
          <w:rFonts w:ascii="宋体" w:hAnsi="宋体" w:hint="eastAsia"/>
          <w:sz w:val="28"/>
          <w:szCs w:val="28"/>
        </w:rPr>
        <w:t>亿元</w:t>
      </w:r>
      <w:r>
        <w:rPr>
          <w:rFonts w:ascii="宋体" w:hAnsi="宋体" w:hint="eastAsia"/>
          <w:sz w:val="28"/>
          <w:szCs w:val="28"/>
        </w:rPr>
        <w:t>左右，同比增加</w:t>
      </w:r>
      <w:r>
        <w:rPr>
          <w:rFonts w:ascii="宋体" w:hAnsi="宋体" w:hint="eastAsia"/>
          <w:sz w:val="28"/>
          <w:szCs w:val="28"/>
        </w:rPr>
        <w:t>135</w:t>
      </w:r>
      <w:r>
        <w:rPr>
          <w:rFonts w:ascii="宋体" w:hAnsi="宋体" w:hint="eastAsia"/>
          <w:sz w:val="28"/>
          <w:szCs w:val="28"/>
        </w:rPr>
        <w:t>%</w:t>
      </w:r>
      <w:r>
        <w:rPr>
          <w:rFonts w:ascii="宋体" w:hAnsi="宋体" w:hint="eastAsia"/>
          <w:sz w:val="28"/>
          <w:szCs w:val="28"/>
        </w:rPr>
        <w:t>左右；</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经公司财务部门初步测算，本公司预计</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前三季度</w:t>
      </w:r>
      <w:r>
        <w:rPr>
          <w:rFonts w:ascii="宋体" w:hAnsi="宋体" w:hint="eastAsia"/>
          <w:sz w:val="28"/>
          <w:szCs w:val="28"/>
        </w:rPr>
        <w:t>实现归属于上市公司股东的扣除非经常性损益的净利润约</w:t>
      </w:r>
      <w:r>
        <w:rPr>
          <w:rFonts w:ascii="宋体" w:hAnsi="宋体" w:hint="eastAsia"/>
          <w:sz w:val="28"/>
          <w:szCs w:val="28"/>
        </w:rPr>
        <w:t>267</w:t>
      </w:r>
      <w:r>
        <w:rPr>
          <w:rFonts w:ascii="宋体" w:hAnsi="宋体" w:hint="eastAsia"/>
          <w:sz w:val="28"/>
          <w:szCs w:val="28"/>
        </w:rPr>
        <w:t>亿元</w:t>
      </w:r>
      <w:r>
        <w:rPr>
          <w:rFonts w:ascii="宋体" w:hAnsi="宋体" w:hint="eastAsia"/>
          <w:sz w:val="28"/>
          <w:szCs w:val="28"/>
        </w:rPr>
        <w:t>，与上</w:t>
      </w:r>
      <w:r>
        <w:rPr>
          <w:rFonts w:ascii="宋体" w:hAnsi="宋体" w:hint="eastAsia"/>
          <w:sz w:val="28"/>
          <w:szCs w:val="28"/>
        </w:rPr>
        <w:lastRenderedPageBreak/>
        <w:t>年同期（法定披露数据）相比，将增加</w:t>
      </w:r>
      <w:r>
        <w:rPr>
          <w:rFonts w:ascii="宋体" w:hAnsi="宋体" w:hint="eastAsia"/>
          <w:sz w:val="28"/>
          <w:szCs w:val="28"/>
        </w:rPr>
        <w:t>149.41</w:t>
      </w:r>
      <w:r>
        <w:rPr>
          <w:rFonts w:ascii="宋体" w:hAnsi="宋体" w:hint="eastAsia"/>
          <w:sz w:val="28"/>
          <w:szCs w:val="28"/>
        </w:rPr>
        <w:t>亿元左右，同比增加</w:t>
      </w:r>
      <w:r>
        <w:rPr>
          <w:rFonts w:ascii="宋体" w:hAnsi="宋体" w:hint="eastAsia"/>
          <w:sz w:val="28"/>
          <w:szCs w:val="28"/>
        </w:rPr>
        <w:t>127</w:t>
      </w:r>
      <w:r>
        <w:rPr>
          <w:rFonts w:ascii="宋体" w:hAnsi="宋体" w:hint="eastAsia"/>
          <w:sz w:val="28"/>
          <w:szCs w:val="28"/>
        </w:rPr>
        <w:t>%</w:t>
      </w:r>
      <w:r>
        <w:rPr>
          <w:rFonts w:ascii="宋体" w:hAnsi="宋体" w:hint="eastAsia"/>
          <w:sz w:val="28"/>
          <w:szCs w:val="28"/>
        </w:rPr>
        <w:t>左右。</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（三）本期业绩预告未经注册会计师审计。</w:t>
      </w:r>
    </w:p>
    <w:p w:rsidR="00BC0725" w:rsidRDefault="00181DDE">
      <w:pPr>
        <w:spacing w:line="520" w:lineRule="exact"/>
        <w:ind w:firstLineChars="200" w:firstLine="562"/>
        <w:rPr>
          <w:rFonts w:ascii="宋体" w:hAnsi="宋体"/>
          <w:b/>
          <w:bCs/>
          <w:sz w:val="28"/>
          <w:szCs w:val="28"/>
        </w:rPr>
      </w:pPr>
      <w:r>
        <w:rPr>
          <w:rFonts w:ascii="宋体" w:hAnsi="宋体" w:hint="eastAsia"/>
          <w:b/>
          <w:bCs/>
          <w:sz w:val="28"/>
          <w:szCs w:val="28"/>
        </w:rPr>
        <w:t>二、上年同期业绩情况（按中国会计准则计算）</w:t>
      </w:r>
    </w:p>
    <w:p w:rsidR="00BC0725" w:rsidRDefault="00181DDE">
      <w:pPr>
        <w:spacing w:line="520" w:lineRule="exact"/>
        <w:ind w:firstLineChars="200" w:firstLine="560"/>
        <w:jc w:val="left"/>
        <w:rPr>
          <w:rFonts w:ascii="宋体" w:hAnsi="宋体"/>
          <w:sz w:val="28"/>
          <w:szCs w:val="28"/>
        </w:rPr>
      </w:pPr>
      <w:r>
        <w:rPr>
          <w:rFonts w:ascii="宋体" w:hAnsi="宋体" w:hint="eastAsia"/>
          <w:sz w:val="28"/>
          <w:szCs w:val="28"/>
        </w:rPr>
        <w:t>（一）归属于上市公司股东的净利润：</w:t>
      </w:r>
      <w:r>
        <w:rPr>
          <w:rFonts w:ascii="宋体" w:hAnsi="宋体" w:cs="宋体" w:hint="eastAsia"/>
          <w:sz w:val="28"/>
          <w:szCs w:val="28"/>
        </w:rPr>
        <w:t>115.32</w:t>
      </w:r>
      <w:r>
        <w:rPr>
          <w:rFonts w:ascii="宋体" w:hAnsi="宋体" w:hint="eastAsia"/>
          <w:sz w:val="28"/>
          <w:szCs w:val="28"/>
        </w:rPr>
        <w:t>亿元。</w:t>
      </w:r>
    </w:p>
    <w:p w:rsidR="00BC0725" w:rsidRDefault="00181DDE">
      <w:pPr>
        <w:spacing w:line="520" w:lineRule="exact"/>
        <w:ind w:firstLineChars="200" w:firstLine="560"/>
        <w:jc w:val="left"/>
        <w:rPr>
          <w:rFonts w:ascii="宋体" w:hAnsi="宋体"/>
          <w:sz w:val="28"/>
          <w:szCs w:val="28"/>
        </w:rPr>
      </w:pPr>
      <w:r>
        <w:rPr>
          <w:rFonts w:ascii="宋体" w:hAnsi="宋体" w:hint="eastAsia"/>
          <w:sz w:val="28"/>
          <w:szCs w:val="28"/>
        </w:rPr>
        <w:t>（二）归属于上市公司股东的扣除非经常性损益的净利润：</w:t>
      </w:r>
      <w:r>
        <w:rPr>
          <w:rFonts w:ascii="宋体" w:hAnsi="宋体" w:cs="宋体" w:hint="eastAsia"/>
          <w:sz w:val="28"/>
          <w:szCs w:val="28"/>
        </w:rPr>
        <w:t>117.59</w:t>
      </w:r>
      <w:r>
        <w:rPr>
          <w:rFonts w:ascii="宋体" w:hAnsi="宋体" w:hint="eastAsia"/>
          <w:sz w:val="28"/>
          <w:szCs w:val="28"/>
        </w:rPr>
        <w:t>亿元。</w:t>
      </w:r>
    </w:p>
    <w:p w:rsidR="00BC0725" w:rsidRDefault="00181DDE">
      <w:pPr>
        <w:spacing w:line="520" w:lineRule="exact"/>
        <w:ind w:firstLineChars="200" w:firstLine="560"/>
        <w:jc w:val="left"/>
        <w:rPr>
          <w:rFonts w:ascii="宋体" w:hAnsi="宋体"/>
          <w:sz w:val="28"/>
          <w:szCs w:val="28"/>
        </w:rPr>
      </w:pPr>
      <w:r>
        <w:rPr>
          <w:rFonts w:ascii="宋体" w:hAnsi="宋体" w:hint="eastAsia"/>
          <w:sz w:val="28"/>
          <w:szCs w:val="28"/>
        </w:rPr>
        <w:t>（三）每股收益：</w:t>
      </w:r>
      <w:r>
        <w:rPr>
          <w:rFonts w:ascii="宋体" w:hAnsi="宋体" w:cs="宋体" w:hint="eastAsia"/>
          <w:sz w:val="28"/>
          <w:szCs w:val="28"/>
        </w:rPr>
        <w:t>2.38</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股。</w:t>
      </w:r>
    </w:p>
    <w:p w:rsidR="00BC0725" w:rsidRDefault="00181DDE">
      <w:pPr>
        <w:spacing w:line="520" w:lineRule="exact"/>
        <w:ind w:firstLineChars="200" w:firstLine="562"/>
        <w:rPr>
          <w:rFonts w:ascii="宋体" w:hAnsi="宋体"/>
          <w:b/>
          <w:bCs/>
          <w:sz w:val="28"/>
          <w:szCs w:val="28"/>
        </w:rPr>
      </w:pPr>
      <w:r>
        <w:rPr>
          <w:rFonts w:ascii="宋体" w:hAnsi="宋体" w:hint="eastAsia"/>
          <w:b/>
          <w:bCs/>
          <w:sz w:val="28"/>
          <w:szCs w:val="28"/>
        </w:rPr>
        <w:t>三、本期业绩预增的主要原因</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公司</w:t>
      </w:r>
      <w:r>
        <w:rPr>
          <w:rFonts w:ascii="宋体" w:hAnsi="宋体" w:hint="eastAsia"/>
          <w:sz w:val="28"/>
          <w:szCs w:val="28"/>
        </w:rPr>
        <w:t>2022</w:t>
      </w:r>
      <w:r>
        <w:rPr>
          <w:rFonts w:ascii="宋体" w:hAnsi="宋体" w:hint="eastAsia"/>
          <w:sz w:val="28"/>
          <w:szCs w:val="28"/>
        </w:rPr>
        <w:t>年</w:t>
      </w:r>
      <w:r>
        <w:rPr>
          <w:rFonts w:ascii="宋体" w:hAnsi="宋体" w:hint="eastAsia"/>
          <w:sz w:val="28"/>
          <w:szCs w:val="28"/>
        </w:rPr>
        <w:t>前三季度</w:t>
      </w:r>
      <w:r>
        <w:rPr>
          <w:rFonts w:ascii="宋体" w:hAnsi="宋体" w:hint="eastAsia"/>
          <w:sz w:val="28"/>
          <w:szCs w:val="28"/>
        </w:rPr>
        <w:t>业绩较上年同期大幅提升，主要是由于：</w:t>
      </w:r>
    </w:p>
    <w:p w:rsidR="00BC0725" w:rsidRDefault="00181DDE">
      <w:pPr>
        <w:spacing w:line="520" w:lineRule="exact"/>
        <w:ind w:firstLineChars="200" w:firstLine="560"/>
        <w:rPr>
          <w:rFonts w:ascii="宋体" w:hAnsi="宋体"/>
          <w:sz w:val="28"/>
          <w:szCs w:val="28"/>
        </w:rPr>
      </w:pPr>
      <w:bookmarkStart w:id="2" w:name="_Hlk99398777"/>
      <w:r>
        <w:rPr>
          <w:rFonts w:ascii="宋体" w:hAnsi="宋体"/>
          <w:sz w:val="28"/>
          <w:szCs w:val="28"/>
        </w:rPr>
        <w:t>2022</w:t>
      </w:r>
      <w:r>
        <w:rPr>
          <w:rFonts w:ascii="宋体" w:hAnsi="宋体" w:hint="eastAsia"/>
          <w:sz w:val="28"/>
          <w:szCs w:val="28"/>
        </w:rPr>
        <w:t>年</w:t>
      </w:r>
      <w:r>
        <w:rPr>
          <w:rFonts w:ascii="宋体" w:hAnsi="宋体" w:hint="eastAsia"/>
          <w:sz w:val="28"/>
          <w:szCs w:val="28"/>
        </w:rPr>
        <w:t>前三季度</w:t>
      </w:r>
      <w:r>
        <w:rPr>
          <w:rFonts w:ascii="宋体" w:hAnsi="宋体" w:hint="eastAsia"/>
          <w:sz w:val="28"/>
          <w:szCs w:val="28"/>
        </w:rPr>
        <w:t>，受境内外能源价格上涨影响，本公司主要产品价格维持高位；本公司持续推进精益管理，对冲成本费用上涨影响，公司业绩大幅提升。</w:t>
      </w:r>
    </w:p>
    <w:bookmarkEnd w:id="2"/>
    <w:p w:rsidR="00BC0725" w:rsidRDefault="00181DDE">
      <w:pPr>
        <w:spacing w:line="520" w:lineRule="exact"/>
        <w:ind w:firstLineChars="200" w:firstLine="562"/>
        <w:rPr>
          <w:rFonts w:ascii="宋体" w:hAnsi="宋体"/>
          <w:b/>
          <w:bCs/>
          <w:sz w:val="28"/>
          <w:szCs w:val="28"/>
        </w:rPr>
      </w:pPr>
      <w:r>
        <w:rPr>
          <w:rFonts w:ascii="宋体" w:hAnsi="宋体" w:hint="eastAsia"/>
          <w:b/>
          <w:bCs/>
          <w:sz w:val="28"/>
          <w:szCs w:val="28"/>
        </w:rPr>
        <w:t>四、风险提示</w:t>
      </w:r>
      <w:r>
        <w:rPr>
          <w:rFonts w:ascii="宋体" w:hAnsi="宋体" w:hint="eastAsia"/>
          <w:b/>
          <w:bCs/>
          <w:sz w:val="28"/>
          <w:szCs w:val="28"/>
        </w:rPr>
        <w:t xml:space="preserve"> </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截至目前公司不存在影响本次业绩预告内容准确性的重大不确定因素。</w:t>
      </w:r>
    </w:p>
    <w:p w:rsidR="00BC0725" w:rsidRDefault="00181DDE">
      <w:pPr>
        <w:spacing w:line="520" w:lineRule="exact"/>
        <w:ind w:firstLineChars="200" w:firstLine="562"/>
        <w:rPr>
          <w:rFonts w:ascii="宋体" w:hAnsi="宋体"/>
          <w:b/>
          <w:bCs/>
          <w:sz w:val="28"/>
          <w:szCs w:val="28"/>
        </w:rPr>
      </w:pPr>
      <w:r>
        <w:rPr>
          <w:rFonts w:ascii="宋体" w:hAnsi="宋体" w:hint="eastAsia"/>
          <w:b/>
          <w:bCs/>
          <w:sz w:val="28"/>
          <w:szCs w:val="28"/>
        </w:rPr>
        <w:t>五、其他说明事项</w:t>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以上预告数据仅为初步核算数据，具体准确的财务数据以公司正式披露的</w:t>
      </w:r>
      <w:r>
        <w:rPr>
          <w:rFonts w:ascii="宋体" w:hAnsi="宋体" w:hint="eastAsia"/>
          <w:sz w:val="28"/>
          <w:szCs w:val="28"/>
        </w:rPr>
        <w:t>202</w:t>
      </w:r>
      <w:r>
        <w:rPr>
          <w:rFonts w:ascii="宋体" w:hAnsi="宋体"/>
          <w:sz w:val="28"/>
          <w:szCs w:val="28"/>
        </w:rPr>
        <w:t>2</w:t>
      </w:r>
      <w:r>
        <w:rPr>
          <w:rFonts w:ascii="宋体" w:hAnsi="宋体" w:hint="eastAsia"/>
          <w:sz w:val="28"/>
          <w:szCs w:val="28"/>
        </w:rPr>
        <w:t>年</w:t>
      </w:r>
      <w:r>
        <w:rPr>
          <w:rFonts w:ascii="宋体" w:hAnsi="宋体" w:hint="eastAsia"/>
          <w:sz w:val="28"/>
          <w:szCs w:val="28"/>
        </w:rPr>
        <w:t>第</w:t>
      </w:r>
      <w:r>
        <w:rPr>
          <w:rFonts w:ascii="宋体" w:hAnsi="宋体" w:hint="eastAsia"/>
          <w:sz w:val="28"/>
          <w:szCs w:val="28"/>
        </w:rPr>
        <w:t>三季度</w:t>
      </w:r>
      <w:r>
        <w:rPr>
          <w:rFonts w:ascii="宋体" w:hAnsi="宋体" w:hint="eastAsia"/>
          <w:sz w:val="28"/>
          <w:szCs w:val="28"/>
        </w:rPr>
        <w:t>报告为准，敬请广大投资者注意投资风险。</w:t>
      </w:r>
      <w:r>
        <w:rPr>
          <w:rFonts w:ascii="宋体" w:hAnsi="宋体"/>
          <w:sz w:val="28"/>
          <w:szCs w:val="28"/>
        </w:rPr>
        <w:cr/>
      </w:r>
    </w:p>
    <w:p w:rsidR="00BC0725" w:rsidRDefault="00181DDE">
      <w:pPr>
        <w:spacing w:line="520" w:lineRule="exact"/>
        <w:ind w:firstLineChars="200" w:firstLine="560"/>
        <w:rPr>
          <w:rFonts w:ascii="宋体" w:hAnsi="宋体"/>
          <w:sz w:val="28"/>
          <w:szCs w:val="28"/>
        </w:rPr>
      </w:pPr>
      <w:r>
        <w:rPr>
          <w:rFonts w:ascii="宋体" w:hAnsi="宋体" w:hint="eastAsia"/>
          <w:sz w:val="28"/>
          <w:szCs w:val="28"/>
        </w:rPr>
        <w:t>特此公告。</w:t>
      </w:r>
    </w:p>
    <w:p w:rsidR="00BC0725" w:rsidRDefault="00BC0725">
      <w:pPr>
        <w:spacing w:line="520" w:lineRule="exact"/>
        <w:jc w:val="right"/>
        <w:rPr>
          <w:rFonts w:ascii="宋体" w:hAnsi="宋体"/>
          <w:sz w:val="28"/>
          <w:szCs w:val="28"/>
        </w:rPr>
      </w:pPr>
    </w:p>
    <w:p w:rsidR="00BC0725" w:rsidRDefault="00BC0725">
      <w:pPr>
        <w:spacing w:line="520" w:lineRule="exact"/>
        <w:jc w:val="right"/>
        <w:rPr>
          <w:rFonts w:ascii="宋体" w:hAnsi="宋体"/>
          <w:sz w:val="28"/>
          <w:szCs w:val="28"/>
        </w:rPr>
      </w:pPr>
    </w:p>
    <w:p w:rsidR="00BC0725" w:rsidRDefault="00181DDE">
      <w:pPr>
        <w:spacing w:line="520" w:lineRule="exact"/>
        <w:ind w:firstLineChars="200" w:firstLine="560"/>
        <w:jc w:val="right"/>
        <w:rPr>
          <w:rFonts w:ascii="宋体" w:hAnsi="宋体"/>
          <w:sz w:val="28"/>
          <w:szCs w:val="28"/>
        </w:rPr>
      </w:pPr>
      <w:r>
        <w:rPr>
          <w:rFonts w:ascii="宋体" w:hAnsi="宋体" w:hint="eastAsia"/>
          <w:sz w:val="28"/>
          <w:szCs w:val="28"/>
        </w:rPr>
        <w:t>兖矿能源集团股份有限公司董事会</w:t>
      </w:r>
    </w:p>
    <w:p w:rsidR="00BC0725" w:rsidRDefault="00181DDE">
      <w:pPr>
        <w:spacing w:line="520" w:lineRule="exact"/>
        <w:ind w:right="560" w:firstLineChars="200" w:firstLine="560"/>
        <w:jc w:val="right"/>
        <w:rPr>
          <w:rFonts w:ascii="宋体" w:hAnsi="宋体"/>
          <w:sz w:val="28"/>
          <w:szCs w:val="28"/>
        </w:rPr>
      </w:pPr>
      <w:r>
        <w:rPr>
          <w:rFonts w:ascii="宋体" w:hAnsi="宋体" w:hint="eastAsia"/>
          <w:sz w:val="28"/>
          <w:szCs w:val="28"/>
        </w:rPr>
        <w:t>2</w:t>
      </w:r>
      <w:r>
        <w:rPr>
          <w:rFonts w:ascii="宋体" w:hAnsi="宋体"/>
          <w:sz w:val="28"/>
          <w:szCs w:val="28"/>
        </w:rPr>
        <w:t>022</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19</w:t>
      </w:r>
      <w:r>
        <w:rPr>
          <w:rFonts w:ascii="宋体" w:hAnsi="宋体" w:hint="eastAsia"/>
          <w:sz w:val="28"/>
          <w:szCs w:val="28"/>
        </w:rPr>
        <w:t>日</w:t>
      </w:r>
      <w:r>
        <w:rPr>
          <w:rFonts w:ascii="宋体" w:hAnsi="宋体" w:hint="eastAsia"/>
          <w:sz w:val="28"/>
          <w:szCs w:val="28"/>
        </w:rPr>
        <w:t xml:space="preserve"> </w:t>
      </w:r>
      <w:r>
        <w:rPr>
          <w:rFonts w:ascii="宋体" w:hAnsi="宋体"/>
          <w:sz w:val="28"/>
          <w:szCs w:val="28"/>
        </w:rPr>
        <w:t xml:space="preserve">    </w:t>
      </w:r>
    </w:p>
    <w:sectPr w:rsidR="00BC0725" w:rsidSect="00BC0725">
      <w:headerReference w:type="even" r:id="rId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DDE" w:rsidRDefault="00181DDE" w:rsidP="00BC0725">
      <w:r>
        <w:separator/>
      </w:r>
    </w:p>
  </w:endnote>
  <w:endnote w:type="continuationSeparator" w:id="1">
    <w:p w:rsidR="00181DDE" w:rsidRDefault="00181DDE" w:rsidP="00BC0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984120"/>
    </w:sdtPr>
    <w:sdtContent>
      <w:p w:rsidR="00BC0725" w:rsidRDefault="00BC0725">
        <w:pPr>
          <w:pStyle w:val="a4"/>
          <w:jc w:val="center"/>
        </w:pPr>
        <w:r>
          <w:fldChar w:fldCharType="begin"/>
        </w:r>
        <w:r w:rsidR="00181DDE">
          <w:instrText>PAGE   \* MERGEFORMAT</w:instrText>
        </w:r>
        <w:r>
          <w:fldChar w:fldCharType="separate"/>
        </w:r>
        <w:r w:rsidR="00C528FC" w:rsidRPr="00C528FC">
          <w:rPr>
            <w:noProof/>
            <w:lang w:val="zh-CN"/>
          </w:rPr>
          <w:t>1</w:t>
        </w:r>
        <w:r>
          <w:fldChar w:fldCharType="end"/>
        </w:r>
      </w:p>
    </w:sdtContent>
  </w:sdt>
  <w:p w:rsidR="00BC0725" w:rsidRDefault="00BC07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DDE" w:rsidRDefault="00181DDE" w:rsidP="00BC0725">
      <w:r>
        <w:separator/>
      </w:r>
    </w:p>
  </w:footnote>
  <w:footnote w:type="continuationSeparator" w:id="1">
    <w:p w:rsidR="00181DDE" w:rsidRDefault="00181DDE" w:rsidP="00BC0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25" w:rsidRDefault="00BC0725">
    <w:pPr>
      <w:pStyle w:val="a5"/>
      <w:framePr w:wrap="around" w:vAnchor="text" w:hAnchor="margin" w:xAlign="right" w:y="1"/>
      <w:rPr>
        <w:rStyle w:val="a6"/>
      </w:rPr>
    </w:pPr>
    <w:r>
      <w:fldChar w:fldCharType="begin"/>
    </w:r>
    <w:r w:rsidR="00181DDE">
      <w:rPr>
        <w:rStyle w:val="a6"/>
      </w:rPr>
      <w:instrText xml:space="preserve">PAGE  </w:instrText>
    </w:r>
    <w:r>
      <w:fldChar w:fldCharType="separate"/>
    </w:r>
    <w:r w:rsidR="00181DDE">
      <w:rPr>
        <w:rStyle w:val="a6"/>
      </w:rPr>
      <w:t>1</w:t>
    </w:r>
    <w:r>
      <w:fldChar w:fldCharType="end"/>
    </w:r>
  </w:p>
  <w:p w:rsidR="00BC0725" w:rsidRDefault="00BC072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25" w:rsidRDefault="00BC072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353A"/>
    <w:rsid w:val="00015F0F"/>
    <w:rsid w:val="00016980"/>
    <w:rsid w:val="000202B7"/>
    <w:rsid w:val="00020F1E"/>
    <w:rsid w:val="0002359A"/>
    <w:rsid w:val="00025026"/>
    <w:rsid w:val="00032E9A"/>
    <w:rsid w:val="00037FD9"/>
    <w:rsid w:val="00040F5A"/>
    <w:rsid w:val="00042A33"/>
    <w:rsid w:val="00042D44"/>
    <w:rsid w:val="000456C7"/>
    <w:rsid w:val="000A42FB"/>
    <w:rsid w:val="000A7643"/>
    <w:rsid w:val="000B07CE"/>
    <w:rsid w:val="000C5675"/>
    <w:rsid w:val="000D720C"/>
    <w:rsid w:val="00137881"/>
    <w:rsid w:val="0014197A"/>
    <w:rsid w:val="00146F0F"/>
    <w:rsid w:val="00163BEE"/>
    <w:rsid w:val="00165105"/>
    <w:rsid w:val="001737A8"/>
    <w:rsid w:val="00181DDE"/>
    <w:rsid w:val="001A01C6"/>
    <w:rsid w:val="001B7837"/>
    <w:rsid w:val="001E3091"/>
    <w:rsid w:val="001E4B92"/>
    <w:rsid w:val="001E57C6"/>
    <w:rsid w:val="00201CEC"/>
    <w:rsid w:val="002101D4"/>
    <w:rsid w:val="00211FFD"/>
    <w:rsid w:val="00212498"/>
    <w:rsid w:val="002143E1"/>
    <w:rsid w:val="00222FEB"/>
    <w:rsid w:val="002244FD"/>
    <w:rsid w:val="00225D1A"/>
    <w:rsid w:val="00226514"/>
    <w:rsid w:val="00232AE9"/>
    <w:rsid w:val="002332A2"/>
    <w:rsid w:val="00254B82"/>
    <w:rsid w:val="002629F5"/>
    <w:rsid w:val="00265A35"/>
    <w:rsid w:val="002737DE"/>
    <w:rsid w:val="00273A2A"/>
    <w:rsid w:val="00292220"/>
    <w:rsid w:val="002A3CAE"/>
    <w:rsid w:val="002A6B25"/>
    <w:rsid w:val="002B01DD"/>
    <w:rsid w:val="002B351E"/>
    <w:rsid w:val="002E6698"/>
    <w:rsid w:val="00303F19"/>
    <w:rsid w:val="00325B5B"/>
    <w:rsid w:val="00326905"/>
    <w:rsid w:val="00331171"/>
    <w:rsid w:val="003565E2"/>
    <w:rsid w:val="00360473"/>
    <w:rsid w:val="00380FC1"/>
    <w:rsid w:val="00381019"/>
    <w:rsid w:val="0038740C"/>
    <w:rsid w:val="003929CB"/>
    <w:rsid w:val="0039795B"/>
    <w:rsid w:val="003A4675"/>
    <w:rsid w:val="003A7F8C"/>
    <w:rsid w:val="003B4F02"/>
    <w:rsid w:val="003C5A0F"/>
    <w:rsid w:val="003D0362"/>
    <w:rsid w:val="003D722C"/>
    <w:rsid w:val="003E6537"/>
    <w:rsid w:val="003F2356"/>
    <w:rsid w:val="00407260"/>
    <w:rsid w:val="004109CC"/>
    <w:rsid w:val="00422D5B"/>
    <w:rsid w:val="0042485A"/>
    <w:rsid w:val="00432E07"/>
    <w:rsid w:val="00454EE2"/>
    <w:rsid w:val="004645F9"/>
    <w:rsid w:val="004A45FC"/>
    <w:rsid w:val="004C662B"/>
    <w:rsid w:val="004D45B9"/>
    <w:rsid w:val="004D746E"/>
    <w:rsid w:val="004E5344"/>
    <w:rsid w:val="004F2D8B"/>
    <w:rsid w:val="004F4FFD"/>
    <w:rsid w:val="005028DB"/>
    <w:rsid w:val="0051120F"/>
    <w:rsid w:val="00524EBE"/>
    <w:rsid w:val="00526E49"/>
    <w:rsid w:val="00532F01"/>
    <w:rsid w:val="00546D51"/>
    <w:rsid w:val="005503D5"/>
    <w:rsid w:val="005529F6"/>
    <w:rsid w:val="00577C96"/>
    <w:rsid w:val="00582461"/>
    <w:rsid w:val="005A5EDB"/>
    <w:rsid w:val="005A7B60"/>
    <w:rsid w:val="005C20FE"/>
    <w:rsid w:val="005C6998"/>
    <w:rsid w:val="005E0B1E"/>
    <w:rsid w:val="005F3430"/>
    <w:rsid w:val="005F5607"/>
    <w:rsid w:val="005F707A"/>
    <w:rsid w:val="00601304"/>
    <w:rsid w:val="00616A0F"/>
    <w:rsid w:val="006274DE"/>
    <w:rsid w:val="00627B41"/>
    <w:rsid w:val="00627FFC"/>
    <w:rsid w:val="00642A69"/>
    <w:rsid w:val="006451BF"/>
    <w:rsid w:val="00662D35"/>
    <w:rsid w:val="00690B3B"/>
    <w:rsid w:val="006950FD"/>
    <w:rsid w:val="006A1A56"/>
    <w:rsid w:val="006B25FB"/>
    <w:rsid w:val="006C6E7C"/>
    <w:rsid w:val="006D19F6"/>
    <w:rsid w:val="006D4A12"/>
    <w:rsid w:val="006F0FDF"/>
    <w:rsid w:val="006F4CE2"/>
    <w:rsid w:val="007003D5"/>
    <w:rsid w:val="00713E09"/>
    <w:rsid w:val="0071754F"/>
    <w:rsid w:val="00753D76"/>
    <w:rsid w:val="007652B6"/>
    <w:rsid w:val="00765F9F"/>
    <w:rsid w:val="00773A85"/>
    <w:rsid w:val="00786681"/>
    <w:rsid w:val="007B7329"/>
    <w:rsid w:val="007C0A2A"/>
    <w:rsid w:val="007E4CCF"/>
    <w:rsid w:val="00812E7E"/>
    <w:rsid w:val="008134C5"/>
    <w:rsid w:val="008207ED"/>
    <w:rsid w:val="008241AF"/>
    <w:rsid w:val="00832DC3"/>
    <w:rsid w:val="00834C67"/>
    <w:rsid w:val="00843890"/>
    <w:rsid w:val="0084674D"/>
    <w:rsid w:val="008477A6"/>
    <w:rsid w:val="008579AA"/>
    <w:rsid w:val="00857DCF"/>
    <w:rsid w:val="0087337F"/>
    <w:rsid w:val="00874DE6"/>
    <w:rsid w:val="0088056C"/>
    <w:rsid w:val="00887E88"/>
    <w:rsid w:val="008A3232"/>
    <w:rsid w:val="008B7DD1"/>
    <w:rsid w:val="008F5909"/>
    <w:rsid w:val="008F7DB1"/>
    <w:rsid w:val="009244AD"/>
    <w:rsid w:val="00933D15"/>
    <w:rsid w:val="00935542"/>
    <w:rsid w:val="00941BDD"/>
    <w:rsid w:val="0095576E"/>
    <w:rsid w:val="00967D54"/>
    <w:rsid w:val="00975754"/>
    <w:rsid w:val="00990A49"/>
    <w:rsid w:val="009A06ED"/>
    <w:rsid w:val="009A2E6A"/>
    <w:rsid w:val="009B4AE1"/>
    <w:rsid w:val="009C0C36"/>
    <w:rsid w:val="009C310A"/>
    <w:rsid w:val="009E6C44"/>
    <w:rsid w:val="009F5CE6"/>
    <w:rsid w:val="00A03515"/>
    <w:rsid w:val="00A05DF9"/>
    <w:rsid w:val="00A14BE5"/>
    <w:rsid w:val="00A1705B"/>
    <w:rsid w:val="00A20057"/>
    <w:rsid w:val="00A45BD1"/>
    <w:rsid w:val="00A565E8"/>
    <w:rsid w:val="00A65736"/>
    <w:rsid w:val="00A66C27"/>
    <w:rsid w:val="00A70B29"/>
    <w:rsid w:val="00A8602A"/>
    <w:rsid w:val="00A86530"/>
    <w:rsid w:val="00A968C6"/>
    <w:rsid w:val="00AB618D"/>
    <w:rsid w:val="00AC159D"/>
    <w:rsid w:val="00AC41DF"/>
    <w:rsid w:val="00AD0563"/>
    <w:rsid w:val="00AD4EED"/>
    <w:rsid w:val="00AD7483"/>
    <w:rsid w:val="00AE0397"/>
    <w:rsid w:val="00AF1E8C"/>
    <w:rsid w:val="00AF4487"/>
    <w:rsid w:val="00B056E4"/>
    <w:rsid w:val="00B16F9A"/>
    <w:rsid w:val="00B21D83"/>
    <w:rsid w:val="00B22B1E"/>
    <w:rsid w:val="00B30B5B"/>
    <w:rsid w:val="00B32BD1"/>
    <w:rsid w:val="00B348CA"/>
    <w:rsid w:val="00B5692D"/>
    <w:rsid w:val="00B80C98"/>
    <w:rsid w:val="00BA5183"/>
    <w:rsid w:val="00BB58AF"/>
    <w:rsid w:val="00BC0725"/>
    <w:rsid w:val="00BE703F"/>
    <w:rsid w:val="00BF231B"/>
    <w:rsid w:val="00BF4187"/>
    <w:rsid w:val="00BF5311"/>
    <w:rsid w:val="00C34511"/>
    <w:rsid w:val="00C37188"/>
    <w:rsid w:val="00C528FC"/>
    <w:rsid w:val="00C541A7"/>
    <w:rsid w:val="00C63C74"/>
    <w:rsid w:val="00C77245"/>
    <w:rsid w:val="00C8272C"/>
    <w:rsid w:val="00C90134"/>
    <w:rsid w:val="00CA021A"/>
    <w:rsid w:val="00CB1908"/>
    <w:rsid w:val="00CB323A"/>
    <w:rsid w:val="00CB3D9C"/>
    <w:rsid w:val="00CC5C85"/>
    <w:rsid w:val="00CD35E2"/>
    <w:rsid w:val="00CE4209"/>
    <w:rsid w:val="00CF140D"/>
    <w:rsid w:val="00D02125"/>
    <w:rsid w:val="00D04BDF"/>
    <w:rsid w:val="00D25291"/>
    <w:rsid w:val="00D4794D"/>
    <w:rsid w:val="00D551CF"/>
    <w:rsid w:val="00D83F9D"/>
    <w:rsid w:val="00D9498F"/>
    <w:rsid w:val="00DA00E2"/>
    <w:rsid w:val="00DA1F81"/>
    <w:rsid w:val="00DA4303"/>
    <w:rsid w:val="00DD35B9"/>
    <w:rsid w:val="00DF1FD1"/>
    <w:rsid w:val="00DF248E"/>
    <w:rsid w:val="00DF771F"/>
    <w:rsid w:val="00E01F95"/>
    <w:rsid w:val="00E02E46"/>
    <w:rsid w:val="00E06816"/>
    <w:rsid w:val="00E14ED3"/>
    <w:rsid w:val="00E2056D"/>
    <w:rsid w:val="00E229D0"/>
    <w:rsid w:val="00E30CAA"/>
    <w:rsid w:val="00E510F8"/>
    <w:rsid w:val="00E6710B"/>
    <w:rsid w:val="00E7209E"/>
    <w:rsid w:val="00E74155"/>
    <w:rsid w:val="00E90804"/>
    <w:rsid w:val="00E9170B"/>
    <w:rsid w:val="00E941B7"/>
    <w:rsid w:val="00EA0BB0"/>
    <w:rsid w:val="00EA4F8F"/>
    <w:rsid w:val="00EB2C0E"/>
    <w:rsid w:val="00EB3068"/>
    <w:rsid w:val="00EC4427"/>
    <w:rsid w:val="00EC5433"/>
    <w:rsid w:val="00EC6653"/>
    <w:rsid w:val="00ED28BC"/>
    <w:rsid w:val="00ED4B2B"/>
    <w:rsid w:val="00EE225D"/>
    <w:rsid w:val="00EF44D1"/>
    <w:rsid w:val="00F022EE"/>
    <w:rsid w:val="00F1207A"/>
    <w:rsid w:val="00F16EE4"/>
    <w:rsid w:val="00F253BB"/>
    <w:rsid w:val="00F3353A"/>
    <w:rsid w:val="00F63678"/>
    <w:rsid w:val="00F63D9F"/>
    <w:rsid w:val="00F63E99"/>
    <w:rsid w:val="00F80C1E"/>
    <w:rsid w:val="00F8587D"/>
    <w:rsid w:val="00F85BFD"/>
    <w:rsid w:val="00FB4D63"/>
    <w:rsid w:val="00FB6BB4"/>
    <w:rsid w:val="00FC7727"/>
    <w:rsid w:val="00FD0559"/>
    <w:rsid w:val="00FE18AB"/>
    <w:rsid w:val="00FE548C"/>
    <w:rsid w:val="02E63D50"/>
    <w:rsid w:val="03124E23"/>
    <w:rsid w:val="0E882EA6"/>
    <w:rsid w:val="189F0A32"/>
    <w:rsid w:val="1CF220C0"/>
    <w:rsid w:val="226F4765"/>
    <w:rsid w:val="24470144"/>
    <w:rsid w:val="2D716699"/>
    <w:rsid w:val="30F474E3"/>
    <w:rsid w:val="39CB2261"/>
    <w:rsid w:val="4C7073FE"/>
    <w:rsid w:val="4CF226DA"/>
    <w:rsid w:val="51754385"/>
    <w:rsid w:val="59EF7B75"/>
    <w:rsid w:val="5DA31F7F"/>
    <w:rsid w:val="652C794A"/>
    <w:rsid w:val="68241ED7"/>
    <w:rsid w:val="6E992301"/>
    <w:rsid w:val="71FE3C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725"/>
    <w:pPr>
      <w:widowControl w:val="0"/>
      <w:jc w:val="both"/>
    </w:pPr>
    <w:rPr>
      <w:kern w:val="2"/>
      <w:sz w:val="21"/>
      <w:szCs w:val="24"/>
    </w:rPr>
  </w:style>
  <w:style w:type="paragraph" w:styleId="1">
    <w:name w:val="heading 1"/>
    <w:basedOn w:val="a"/>
    <w:next w:val="a"/>
    <w:link w:val="1Char"/>
    <w:uiPriority w:val="9"/>
    <w:qFormat/>
    <w:rsid w:val="00BC0725"/>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C0725"/>
    <w:rPr>
      <w:sz w:val="18"/>
      <w:szCs w:val="18"/>
    </w:rPr>
  </w:style>
  <w:style w:type="paragraph" w:styleId="a4">
    <w:name w:val="footer"/>
    <w:basedOn w:val="a"/>
    <w:link w:val="Char0"/>
    <w:uiPriority w:val="99"/>
    <w:qFormat/>
    <w:rsid w:val="00BC0725"/>
    <w:pPr>
      <w:tabs>
        <w:tab w:val="center" w:pos="4153"/>
        <w:tab w:val="right" w:pos="8306"/>
      </w:tabs>
      <w:snapToGrid w:val="0"/>
      <w:jc w:val="left"/>
    </w:pPr>
    <w:rPr>
      <w:sz w:val="18"/>
      <w:szCs w:val="18"/>
    </w:rPr>
  </w:style>
  <w:style w:type="paragraph" w:styleId="a5">
    <w:name w:val="header"/>
    <w:basedOn w:val="a"/>
    <w:link w:val="Char1"/>
    <w:uiPriority w:val="99"/>
    <w:qFormat/>
    <w:rsid w:val="00BC0725"/>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BC0725"/>
  </w:style>
  <w:style w:type="table" w:styleId="a7">
    <w:name w:val="Table Grid"/>
    <w:basedOn w:val="a1"/>
    <w:uiPriority w:val="59"/>
    <w:qFormat/>
    <w:rsid w:val="00BC0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BC0725"/>
    <w:rPr>
      <w:rFonts w:ascii="Calibri" w:eastAsia="宋体" w:hAnsi="Calibri" w:cs="Times New Roman"/>
      <w:b/>
      <w:bCs/>
      <w:kern w:val="44"/>
      <w:sz w:val="24"/>
      <w:szCs w:val="44"/>
    </w:rPr>
  </w:style>
  <w:style w:type="character" w:customStyle="1" w:styleId="Char0">
    <w:name w:val="页脚 Char"/>
    <w:basedOn w:val="a0"/>
    <w:link w:val="a4"/>
    <w:uiPriority w:val="99"/>
    <w:qFormat/>
    <w:rsid w:val="00BC0725"/>
    <w:rPr>
      <w:rFonts w:ascii="Times New Roman" w:eastAsia="宋体" w:hAnsi="Times New Roman" w:cs="Times New Roman"/>
      <w:sz w:val="18"/>
      <w:szCs w:val="18"/>
    </w:rPr>
  </w:style>
  <w:style w:type="character" w:customStyle="1" w:styleId="Char1">
    <w:name w:val="页眉 Char"/>
    <w:basedOn w:val="a0"/>
    <w:link w:val="a5"/>
    <w:uiPriority w:val="99"/>
    <w:qFormat/>
    <w:rsid w:val="00BC0725"/>
    <w:rPr>
      <w:rFonts w:ascii="Times New Roman" w:eastAsia="宋体" w:hAnsi="Times New Roman" w:cs="Times New Roman"/>
      <w:sz w:val="18"/>
      <w:szCs w:val="18"/>
    </w:rPr>
  </w:style>
  <w:style w:type="paragraph" w:customStyle="1" w:styleId="10">
    <w:name w:val="列出段落1"/>
    <w:basedOn w:val="a"/>
    <w:uiPriority w:val="99"/>
    <w:unhideWhenUsed/>
    <w:qFormat/>
    <w:rsid w:val="00BC0725"/>
    <w:pPr>
      <w:ind w:firstLineChars="200" w:firstLine="420"/>
    </w:pPr>
  </w:style>
  <w:style w:type="table" w:customStyle="1" w:styleId="11">
    <w:name w:val="网格型1"/>
    <w:basedOn w:val="a1"/>
    <w:uiPriority w:val="59"/>
    <w:qFormat/>
    <w:rsid w:val="00BC072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BC0725"/>
    <w:rPr>
      <w:rFonts w:ascii="Times New Roman" w:eastAsia="宋体" w:hAnsi="Times New Roman" w:cs="Times New Roman"/>
      <w:sz w:val="18"/>
      <w:szCs w:val="18"/>
    </w:rPr>
  </w:style>
  <w:style w:type="paragraph" w:customStyle="1" w:styleId="12">
    <w:name w:val="修订1"/>
    <w:hidden/>
    <w:uiPriority w:val="99"/>
    <w:semiHidden/>
    <w:qFormat/>
    <w:rsid w:val="00BC072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婷玮 赵</dc:creator>
  <cp:lastModifiedBy>XTX</cp:lastModifiedBy>
  <cp:revision>121</cp:revision>
  <cp:lastPrinted>2022-10-14T07:19:00Z</cp:lastPrinted>
  <dcterms:created xsi:type="dcterms:W3CDTF">2021-09-21T08:47:00Z</dcterms:created>
  <dcterms:modified xsi:type="dcterms:W3CDTF">2022-10-19T01:56:00Z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