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2525B6" w14:textId="11EA528A" w:rsidR="00937DB8" w:rsidRDefault="00550566">
      <w:pPr>
        <w:spacing w:line="360" w:lineRule="auto"/>
        <w:jc w:val="center"/>
        <w:rPr>
          <w:rFonts w:ascii="黑体" w:eastAsia="黑体" w:hAnsi="黑体"/>
          <w:color w:val="000000"/>
          <w:szCs w:val="20"/>
        </w:rPr>
      </w:pPr>
      <w:r>
        <w:rPr>
          <w:rFonts w:ascii="黑体" w:eastAsia="黑体" w:hAnsi="黑体" w:hint="eastAsia"/>
          <w:color w:val="000000"/>
          <w:szCs w:val="20"/>
        </w:rPr>
        <w:t>股票代码：</w:t>
      </w:r>
      <w:r>
        <w:rPr>
          <w:rFonts w:ascii="黑体" w:eastAsia="黑体" w:hAnsi="黑体"/>
          <w:color w:val="000000"/>
          <w:szCs w:val="20"/>
        </w:rPr>
        <w:t xml:space="preserve">600188              </w:t>
      </w:r>
      <w:r>
        <w:rPr>
          <w:rFonts w:ascii="黑体" w:eastAsia="黑体" w:hAnsi="黑体" w:hint="eastAsia"/>
          <w:color w:val="000000"/>
          <w:szCs w:val="20"/>
        </w:rPr>
        <w:t>股票简称：</w:t>
      </w:r>
      <w:r>
        <w:rPr>
          <w:rFonts w:ascii="黑体" w:eastAsia="黑体" w:hAnsi="黑体"/>
          <w:color w:val="000000"/>
          <w:szCs w:val="20"/>
        </w:rPr>
        <w:t xml:space="preserve"> </w:t>
      </w:r>
      <w:r>
        <w:rPr>
          <w:rFonts w:ascii="黑体" w:eastAsia="黑体" w:hAnsi="黑体" w:hint="eastAsia"/>
          <w:color w:val="000000"/>
          <w:szCs w:val="20"/>
        </w:rPr>
        <w:t>兖矿能源</w:t>
      </w:r>
      <w:r>
        <w:rPr>
          <w:rFonts w:ascii="黑体" w:eastAsia="黑体" w:hAnsi="黑体"/>
          <w:color w:val="000000"/>
          <w:szCs w:val="20"/>
        </w:rPr>
        <w:t xml:space="preserve">   </w:t>
      </w:r>
      <w:r w:rsidR="007638CD">
        <w:rPr>
          <w:rFonts w:ascii="黑体" w:eastAsia="黑体" w:hAnsi="黑体"/>
          <w:color w:val="000000"/>
          <w:szCs w:val="20"/>
        </w:rPr>
        <w:t xml:space="preserve"> </w:t>
      </w:r>
      <w:r>
        <w:rPr>
          <w:rFonts w:ascii="黑体" w:eastAsia="黑体" w:hAnsi="黑体"/>
          <w:color w:val="000000"/>
          <w:szCs w:val="20"/>
        </w:rPr>
        <w:t xml:space="preserve">        </w:t>
      </w:r>
      <w:r>
        <w:rPr>
          <w:rFonts w:ascii="黑体" w:eastAsia="黑体" w:hAnsi="黑体" w:hint="eastAsia"/>
          <w:color w:val="000000"/>
          <w:szCs w:val="20"/>
        </w:rPr>
        <w:t>编号：临</w:t>
      </w:r>
      <w:r>
        <w:rPr>
          <w:rFonts w:ascii="黑体" w:eastAsia="黑体" w:hAnsi="黑体"/>
          <w:color w:val="000000"/>
          <w:szCs w:val="20"/>
        </w:rPr>
        <w:t>2022-</w:t>
      </w:r>
      <w:r w:rsidR="007638CD">
        <w:rPr>
          <w:rFonts w:ascii="黑体" w:eastAsia="黑体" w:hAnsi="黑体" w:hint="eastAsia"/>
          <w:color w:val="000000"/>
          <w:szCs w:val="20"/>
        </w:rPr>
        <w:t>0</w:t>
      </w:r>
      <w:r w:rsidR="007638CD">
        <w:rPr>
          <w:rFonts w:ascii="黑体" w:eastAsia="黑体" w:hAnsi="黑体"/>
          <w:color w:val="000000"/>
          <w:szCs w:val="20"/>
        </w:rPr>
        <w:t>46</w:t>
      </w:r>
    </w:p>
    <w:p w14:paraId="5224A39D" w14:textId="77777777" w:rsidR="00937DB8" w:rsidRDefault="00937DB8">
      <w:pPr>
        <w:spacing w:line="560" w:lineRule="exact"/>
        <w:jc w:val="center"/>
        <w:rPr>
          <w:rFonts w:ascii="黑体" w:eastAsia="黑体"/>
          <w:b/>
          <w:bCs/>
          <w:color w:val="FF0000"/>
          <w:sz w:val="36"/>
          <w:szCs w:val="36"/>
        </w:rPr>
      </w:pPr>
    </w:p>
    <w:p w14:paraId="62A59879" w14:textId="77777777" w:rsidR="00937DB8" w:rsidRDefault="00550566">
      <w:pPr>
        <w:spacing w:line="560" w:lineRule="exact"/>
        <w:jc w:val="center"/>
        <w:rPr>
          <w:rFonts w:ascii="黑体" w:eastAsia="黑体"/>
          <w:b/>
          <w:bCs/>
          <w:color w:val="FF0000"/>
          <w:sz w:val="36"/>
          <w:szCs w:val="36"/>
        </w:rPr>
      </w:pPr>
      <w:r>
        <w:rPr>
          <w:rFonts w:ascii="黑体" w:eastAsia="黑体" w:hint="eastAsia"/>
          <w:b/>
          <w:bCs/>
          <w:color w:val="FF0000"/>
          <w:sz w:val="36"/>
          <w:szCs w:val="36"/>
        </w:rPr>
        <w:t>兖矿能源集团股份有限公司</w:t>
      </w:r>
    </w:p>
    <w:p w14:paraId="05D73D04" w14:textId="77777777" w:rsidR="00937DB8" w:rsidRDefault="00550566">
      <w:pPr>
        <w:spacing w:line="560" w:lineRule="exact"/>
        <w:jc w:val="center"/>
        <w:rPr>
          <w:rFonts w:ascii="黑体" w:eastAsia="黑体"/>
          <w:b/>
          <w:bCs/>
          <w:color w:val="FF0000"/>
          <w:sz w:val="36"/>
          <w:szCs w:val="36"/>
        </w:rPr>
      </w:pPr>
      <w:r>
        <w:rPr>
          <w:rFonts w:ascii="黑体" w:eastAsia="黑体" w:hint="eastAsia"/>
          <w:b/>
          <w:bCs/>
          <w:color w:val="FF0000"/>
          <w:sz w:val="36"/>
          <w:szCs w:val="36"/>
        </w:rPr>
        <w:t>关于发行H股可转换债券用以增持</w:t>
      </w:r>
    </w:p>
    <w:p w14:paraId="2D4C7AE0" w14:textId="77777777" w:rsidR="00937DB8" w:rsidRDefault="00550566">
      <w:pPr>
        <w:spacing w:line="560" w:lineRule="exact"/>
        <w:jc w:val="center"/>
        <w:rPr>
          <w:rFonts w:ascii="黑体" w:eastAsia="黑体"/>
          <w:b/>
          <w:bCs/>
          <w:color w:val="FF0000"/>
          <w:sz w:val="36"/>
          <w:szCs w:val="36"/>
        </w:rPr>
      </w:pPr>
      <w:r>
        <w:rPr>
          <w:rFonts w:ascii="黑体" w:eastAsia="黑体" w:hint="eastAsia"/>
          <w:b/>
          <w:bCs/>
          <w:color w:val="FF0000"/>
          <w:sz w:val="36"/>
          <w:szCs w:val="36"/>
        </w:rPr>
        <w:t>兖州煤业澳大利亚有限公司股份的公告</w:t>
      </w:r>
    </w:p>
    <w:p w14:paraId="6A12B498" w14:textId="77777777" w:rsidR="00937DB8" w:rsidRDefault="00550566">
      <w:pPr>
        <w:spacing w:line="560" w:lineRule="exact"/>
        <w:jc w:val="center"/>
        <w:rPr>
          <w:rFonts w:ascii="黑体" w:eastAsia="黑体"/>
          <w:b/>
          <w:bCs/>
          <w:color w:val="FF0000"/>
          <w:sz w:val="36"/>
          <w:szCs w:val="36"/>
        </w:rPr>
      </w:pPr>
      <w:r>
        <w:rPr>
          <w:noProof/>
          <w:sz w:val="28"/>
          <w:szCs w:val="20"/>
        </w:rPr>
        <mc:AlternateContent>
          <mc:Choice Requires="wps">
            <w:drawing>
              <wp:anchor distT="0" distB="0" distL="114300" distR="114300" simplePos="0" relativeHeight="251659264" behindDoc="0" locked="0" layoutInCell="1" allowOverlap="1" wp14:anchorId="721FA7EB" wp14:editId="4379D443">
                <wp:simplePos x="0" y="0"/>
                <wp:positionH relativeFrom="column">
                  <wp:posOffset>-28575</wp:posOffset>
                </wp:positionH>
                <wp:positionV relativeFrom="paragraph">
                  <wp:posOffset>302260</wp:posOffset>
                </wp:positionV>
                <wp:extent cx="5372100" cy="980440"/>
                <wp:effectExtent l="0" t="0" r="19050" b="1016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ln>
                      </wps:spPr>
                      <wps:txbx>
                        <w:txbxContent>
                          <w:p w14:paraId="6FD0F34F" w14:textId="2ADDD270" w:rsidR="00937DB8" w:rsidRDefault="00550566">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w:t>
                            </w:r>
                            <w:r w:rsidR="007638CD">
                              <w:rPr>
                                <w:rFonts w:hint="eastAsia"/>
                                <w:sz w:val="28"/>
                              </w:rPr>
                              <w:t>法律责任</w:t>
                            </w:r>
                            <w:r>
                              <w:rPr>
                                <w:rFonts w:hint="eastAsia"/>
                                <w:sz w:val="28"/>
                              </w:rPr>
                              <w:t>。</w:t>
                            </w:r>
                          </w:p>
                        </w:txbxContent>
                      </wps:txbx>
                      <wps:bodyPr rot="0" vert="horz" wrap="square" anchor="t" anchorCtr="0" upright="1"/>
                    </wps:wsp>
                  </a:graphicData>
                </a:graphic>
              </wp:anchor>
            </w:drawing>
          </mc:Choice>
          <mc:Fallback>
            <w:pict>
              <v:shapetype w14:anchorId="721FA7EB" id="_x0000_t202" coordsize="21600,21600" o:spt="202" path="m,l,21600r21600,l21600,xe">
                <v:stroke joinstyle="miter"/>
                <v:path gradientshapeok="t" o:connecttype="rect"/>
              </v:shapetype>
              <v:shape id="文本框 2" o:spid="_x0000_s1026" type="#_x0000_t202" style="position:absolute;left:0;text-align:left;margin-left:-2.25pt;margin-top:23.8pt;width:423pt;height:7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">
                <v:textbox>
                  <w:txbxContent>
                    <w:p w14:paraId="6FD0F34F" w14:textId="2ADDD270" w:rsidR="00937DB8" w:rsidRDefault="00550566">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w:t>
                      </w:r>
                      <w:r w:rsidR="007638CD">
                        <w:rPr>
                          <w:rFonts w:hint="eastAsia"/>
                          <w:sz w:val="28"/>
                        </w:rPr>
                        <w:t>法律责任</w:t>
                      </w:r>
                      <w:r>
                        <w:rPr>
                          <w:rFonts w:hint="eastAsia"/>
                          <w:sz w:val="28"/>
                        </w:rPr>
                        <w:t>。</w:t>
                      </w:r>
                    </w:p>
                  </w:txbxContent>
                </v:textbox>
              </v:shape>
            </w:pict>
          </mc:Fallback>
        </mc:AlternateContent>
      </w:r>
    </w:p>
    <w:p w14:paraId="6AA72786" w14:textId="77777777" w:rsidR="00937DB8" w:rsidRDefault="00937DB8">
      <w:pPr>
        <w:spacing w:line="480" w:lineRule="exact"/>
        <w:ind w:firstLineChars="200" w:firstLine="482"/>
        <w:rPr>
          <w:b/>
          <w:bCs/>
          <w:sz w:val="24"/>
        </w:rPr>
      </w:pPr>
    </w:p>
    <w:p w14:paraId="29A426A2" w14:textId="77777777" w:rsidR="00937DB8" w:rsidRDefault="00937DB8">
      <w:pPr>
        <w:spacing w:line="480" w:lineRule="exact"/>
        <w:ind w:firstLineChars="200" w:firstLine="482"/>
        <w:rPr>
          <w:b/>
          <w:bCs/>
          <w:sz w:val="24"/>
        </w:rPr>
      </w:pPr>
    </w:p>
    <w:p w14:paraId="196ADE5C" w14:textId="77777777" w:rsidR="00937DB8" w:rsidRDefault="00937DB8">
      <w:pPr>
        <w:spacing w:line="480" w:lineRule="exact"/>
        <w:ind w:firstLineChars="200" w:firstLine="482"/>
        <w:rPr>
          <w:b/>
          <w:bCs/>
          <w:sz w:val="24"/>
        </w:rPr>
      </w:pPr>
    </w:p>
    <w:p w14:paraId="33E12A2B" w14:textId="77777777" w:rsidR="00937DB8" w:rsidRDefault="00937DB8">
      <w:pPr>
        <w:spacing w:line="360" w:lineRule="auto"/>
        <w:ind w:firstLineChars="200" w:firstLine="562"/>
        <w:rPr>
          <w:b/>
          <w:bCs/>
          <w:sz w:val="28"/>
          <w:szCs w:val="28"/>
        </w:rPr>
      </w:pPr>
    </w:p>
    <w:p w14:paraId="601B76AE" w14:textId="77777777" w:rsidR="00937DB8" w:rsidRDefault="00550566">
      <w:pPr>
        <w:spacing w:line="360" w:lineRule="auto"/>
        <w:ind w:firstLineChars="200" w:firstLine="562"/>
        <w:rPr>
          <w:b/>
          <w:bCs/>
          <w:sz w:val="24"/>
        </w:rPr>
      </w:pPr>
      <w:r>
        <w:rPr>
          <w:rFonts w:hint="eastAsia"/>
          <w:b/>
          <w:bCs/>
          <w:sz w:val="28"/>
          <w:szCs w:val="28"/>
        </w:rPr>
        <w:t>重要内容提示</w:t>
      </w:r>
      <w:r>
        <w:rPr>
          <w:b/>
          <w:bCs/>
          <w:sz w:val="24"/>
        </w:rPr>
        <w:t>：</w:t>
      </w:r>
    </w:p>
    <w:p w14:paraId="18A4E0DB" w14:textId="77777777" w:rsidR="00937DB8" w:rsidRDefault="00550566">
      <w:pPr>
        <w:pStyle w:val="af7"/>
        <w:numPr>
          <w:ilvl w:val="0"/>
          <w:numId w:val="1"/>
        </w:numPr>
        <w:spacing w:line="360" w:lineRule="auto"/>
        <w:ind w:firstLineChars="0"/>
        <w:rPr>
          <w:rFonts w:ascii="宋体" w:hAnsi="宋体"/>
          <w:sz w:val="28"/>
          <w:szCs w:val="28"/>
        </w:rPr>
      </w:pPr>
      <w:r>
        <w:rPr>
          <w:rFonts w:ascii="宋体" w:hAnsi="宋体" w:hint="eastAsia"/>
          <w:sz w:val="28"/>
          <w:szCs w:val="28"/>
        </w:rPr>
        <w:t>兖矿能源集团股份有限公司（“公司”或“本公司”）拟在满足所适用的境内外法律法规及上市监管规定要求的前提下，综合考虑市场情况，在前提条件（定义见后）满足或豁免后，以发行可转换为公司H股股份债券（“H股可转换债券”）（“本次发行”）为对价支付方式，以境内外法律法规及《香港收购及合并守则》（“《收购守则》”）允许的收购结构，增持公司控股子公司兖州煤业澳大利亚有限公司（“兖煤澳洲”）股份（“本次增持”，与本次发行合称“本次交易”）。视本次交易完成后情况，如公司届时在兖煤澳洲的持股比例触发相关上市监管规定，可能使兖煤澳洲股份从香港联合交易所有限公司（“香港联交所”）和/或澳大利亚证券交易有限公司（“澳交所”）退市。</w:t>
      </w:r>
    </w:p>
    <w:p w14:paraId="0852FDC4" w14:textId="77777777" w:rsidR="00937DB8" w:rsidRDefault="00550566">
      <w:pPr>
        <w:pStyle w:val="af7"/>
        <w:numPr>
          <w:ilvl w:val="0"/>
          <w:numId w:val="1"/>
        </w:numPr>
        <w:spacing w:line="360" w:lineRule="auto"/>
        <w:ind w:leftChars="270" w:left="990" w:hangingChars="151" w:hanging="423"/>
        <w:rPr>
          <w:rFonts w:ascii="宋体" w:hAnsi="宋体"/>
          <w:sz w:val="28"/>
          <w:szCs w:val="28"/>
        </w:rPr>
      </w:pPr>
      <w:r>
        <w:rPr>
          <w:rFonts w:ascii="宋体" w:hAnsi="宋体" w:hint="eastAsia"/>
          <w:sz w:val="28"/>
          <w:szCs w:val="28"/>
        </w:rPr>
        <w:t>本次交易系以公司发行的H股可转换债券作为增持股份的对</w:t>
      </w:r>
      <w:r>
        <w:rPr>
          <w:rFonts w:ascii="宋体" w:hAnsi="宋体" w:hint="eastAsia"/>
          <w:sz w:val="28"/>
          <w:szCs w:val="28"/>
        </w:rPr>
        <w:lastRenderedPageBreak/>
        <w:t>价方式，交易对方为由公司决定向其收购股份的兖煤澳洲股东（本公司除外），而兖煤澳洲股东中存在根据上市监管规定认定的公司的关联方，因此本次交易可能构成公司在《上海证券交易所股票上市规则》（“《上交所上市规则》”）项下的关联交易。本次交易不构成重大资产重组事项。</w:t>
      </w:r>
    </w:p>
    <w:p w14:paraId="72DDF143" w14:textId="77777777" w:rsidR="00937DB8" w:rsidRDefault="00550566">
      <w:pPr>
        <w:pStyle w:val="af7"/>
        <w:numPr>
          <w:ilvl w:val="0"/>
          <w:numId w:val="1"/>
        </w:numPr>
        <w:spacing w:line="360" w:lineRule="auto"/>
        <w:ind w:leftChars="270" w:left="990" w:hangingChars="151" w:hanging="423"/>
        <w:rPr>
          <w:rFonts w:ascii="宋体" w:hAnsi="宋体"/>
          <w:sz w:val="28"/>
          <w:szCs w:val="28"/>
        </w:rPr>
      </w:pPr>
      <w:r>
        <w:rPr>
          <w:rFonts w:ascii="宋体" w:hAnsi="宋体" w:hint="eastAsia"/>
          <w:sz w:val="28"/>
          <w:szCs w:val="28"/>
        </w:rPr>
        <w:t>本次交易已于2</w:t>
      </w:r>
      <w:r>
        <w:rPr>
          <w:rFonts w:ascii="宋体" w:hAnsi="宋体"/>
          <w:sz w:val="28"/>
          <w:szCs w:val="28"/>
        </w:rPr>
        <w:t>022</w:t>
      </w:r>
      <w:r>
        <w:rPr>
          <w:rFonts w:ascii="宋体" w:hAnsi="宋体" w:hint="eastAsia"/>
          <w:sz w:val="28"/>
          <w:szCs w:val="28"/>
        </w:rPr>
        <w:t>年3月</w:t>
      </w:r>
      <w:r>
        <w:rPr>
          <w:rFonts w:ascii="宋体" w:hAnsi="宋体"/>
          <w:sz w:val="28"/>
          <w:szCs w:val="28"/>
        </w:rPr>
        <w:t>30</w:t>
      </w:r>
      <w:r>
        <w:rPr>
          <w:rFonts w:ascii="宋体" w:hAnsi="宋体" w:hint="eastAsia"/>
          <w:sz w:val="28"/>
          <w:szCs w:val="28"/>
        </w:rPr>
        <w:t>日经公司第八届董事会第二十一次会议审议批准，其最终实施尚取决于前提条件的满足或豁免。根据公司上市地监管规定，在公司股东大会、A股类别股东大会及H股类别股东大会审议本次交易相关议案时，公司控股股东山东能源集团有限公司无需回避表决。</w:t>
      </w:r>
      <w:r>
        <w:rPr>
          <w:rFonts w:ascii="宋体" w:hAnsi="宋体" w:hint="eastAsia"/>
          <w:sz w:val="28"/>
          <w:szCs w:val="28"/>
          <w:lang w:val="en-GB"/>
        </w:rPr>
        <w:t>根据《上交所上市规则》相关规定，前述董事会决议在本公告披露前予以暂缓披露并严格保密。</w:t>
      </w:r>
    </w:p>
    <w:p w14:paraId="477D85DC" w14:textId="77777777" w:rsidR="00937DB8" w:rsidRDefault="00550566">
      <w:pPr>
        <w:pStyle w:val="af7"/>
        <w:numPr>
          <w:ilvl w:val="0"/>
          <w:numId w:val="1"/>
        </w:numPr>
        <w:spacing w:line="360" w:lineRule="auto"/>
        <w:ind w:leftChars="270" w:left="990" w:hangingChars="151" w:hanging="423"/>
        <w:rPr>
          <w:rFonts w:ascii="宋体" w:hAnsi="宋体"/>
          <w:sz w:val="28"/>
          <w:szCs w:val="28"/>
        </w:rPr>
      </w:pPr>
      <w:r>
        <w:rPr>
          <w:rFonts w:ascii="宋体" w:hAnsi="宋体" w:hint="eastAsia"/>
          <w:sz w:val="28"/>
          <w:szCs w:val="28"/>
        </w:rPr>
        <w:t>公司尚需视市场情况，最终决定是否及何时实施本次交易。本次交易能否及何时能够满足前提条件存在重大的不确定性，敬请股东及广大潜在投资者注意投资风险。</w:t>
      </w:r>
    </w:p>
    <w:p w14:paraId="35851FC4" w14:textId="77777777" w:rsidR="00937DB8" w:rsidRDefault="00550566">
      <w:pPr>
        <w:pStyle w:val="af7"/>
        <w:numPr>
          <w:ilvl w:val="0"/>
          <w:numId w:val="1"/>
        </w:numPr>
        <w:spacing w:line="360" w:lineRule="auto"/>
        <w:ind w:leftChars="270" w:left="990" w:hangingChars="151" w:hanging="423"/>
        <w:rPr>
          <w:rFonts w:ascii="宋体" w:hAnsi="宋体"/>
          <w:sz w:val="28"/>
          <w:szCs w:val="28"/>
        </w:rPr>
      </w:pPr>
      <w:r>
        <w:rPr>
          <w:rFonts w:ascii="宋体" w:hAnsi="宋体" w:hint="eastAsia"/>
          <w:sz w:val="28"/>
          <w:szCs w:val="28"/>
        </w:rPr>
        <w:t>本次交易方案尚未最终确定，如公司决定最终实施本次交易，公司将根据所适用的境内外上市监管规定依法履行相关信息披露义务。</w:t>
      </w:r>
    </w:p>
    <w:p w14:paraId="4F2069AF" w14:textId="6CA9BE3F" w:rsidR="00937DB8" w:rsidRDefault="00550566">
      <w:pPr>
        <w:pStyle w:val="af7"/>
        <w:numPr>
          <w:ilvl w:val="0"/>
          <w:numId w:val="1"/>
        </w:numPr>
        <w:spacing w:line="360" w:lineRule="auto"/>
        <w:ind w:leftChars="270" w:left="990" w:hangingChars="151" w:hanging="423"/>
        <w:rPr>
          <w:rFonts w:ascii="宋体" w:hAnsi="宋体"/>
          <w:sz w:val="28"/>
          <w:szCs w:val="28"/>
        </w:rPr>
      </w:pPr>
      <w:r>
        <w:rPr>
          <w:rFonts w:ascii="宋体" w:hAnsi="宋体" w:hint="eastAsia"/>
          <w:sz w:val="28"/>
          <w:szCs w:val="28"/>
        </w:rPr>
        <w:t>敬请股东及广大潜在投资者注意，本公告无意构成且不会构成可接受的要约或以其他方式产生任何具有约束力的协议或承诺，亦不会构成根据《澳大利亚公司法（2001年）》（Cth）第631条规定作出的要约收购提议，或根据《收购守则》作</w:t>
      </w:r>
      <w:r>
        <w:rPr>
          <w:rFonts w:ascii="宋体" w:hAnsi="宋体" w:hint="eastAsia"/>
          <w:sz w:val="28"/>
          <w:szCs w:val="28"/>
        </w:rPr>
        <w:lastRenderedPageBreak/>
        <w:t>出的任何要约的任何确实意向。</w:t>
      </w:r>
    </w:p>
    <w:p w14:paraId="2983435B" w14:textId="77777777" w:rsidR="00937DB8" w:rsidRDefault="00550566">
      <w:pPr>
        <w:spacing w:line="360" w:lineRule="auto"/>
        <w:ind w:left="562"/>
        <w:rPr>
          <w:rFonts w:ascii="宋体" w:hAnsi="宋体"/>
          <w:sz w:val="28"/>
          <w:szCs w:val="28"/>
        </w:rPr>
      </w:pPr>
      <w:r>
        <w:rPr>
          <w:rFonts w:ascii="宋体" w:hAnsi="宋体" w:hint="eastAsia"/>
          <w:b/>
          <w:bCs/>
          <w:sz w:val="28"/>
          <w:szCs w:val="28"/>
        </w:rPr>
        <w:t>一、本次交易概述</w:t>
      </w:r>
    </w:p>
    <w:p w14:paraId="2BBBB94D"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（一）本次交易基本情况</w:t>
      </w:r>
    </w:p>
    <w:p w14:paraId="5BC07E23"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为进一步优化公司整体资产结构，提升股东权益价值，支持兖煤澳洲发展，在满足所适用的境内外法律法规及上市监管规定要求的前提下，综合考虑市场情况，在前提条件满足或豁免后，公司拟以发行H股可转换债券为对价支付方式，以境内外法律法规及《收购守则》允许的收购结构，增持兖煤澳洲股份。视本次交易完成后情况，如公司届时在兖煤澳洲的持股比例触发相关上市监管规定，可能使兖煤澳洲股份从香港联交所和/或澳交所退市。截至本公告日，本次交易方案尚未最终确定。</w:t>
      </w:r>
    </w:p>
    <w:p w14:paraId="02B3E347"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本次交易已于2</w:t>
      </w:r>
      <w:r>
        <w:rPr>
          <w:rFonts w:ascii="宋体" w:hAnsi="宋体"/>
          <w:sz w:val="28"/>
          <w:szCs w:val="28"/>
        </w:rPr>
        <w:t>022</w:t>
      </w:r>
      <w:r>
        <w:rPr>
          <w:rFonts w:ascii="宋体" w:hAnsi="宋体" w:hint="eastAsia"/>
          <w:sz w:val="28"/>
          <w:szCs w:val="28"/>
        </w:rPr>
        <w:t>年</w:t>
      </w:r>
      <w:r>
        <w:rPr>
          <w:rFonts w:ascii="宋体" w:hAnsi="宋体"/>
          <w:sz w:val="28"/>
          <w:szCs w:val="28"/>
        </w:rPr>
        <w:t>3</w:t>
      </w:r>
      <w:r>
        <w:rPr>
          <w:rFonts w:ascii="宋体" w:hAnsi="宋体" w:hint="eastAsia"/>
          <w:sz w:val="28"/>
          <w:szCs w:val="28"/>
        </w:rPr>
        <w:t>月3</w:t>
      </w:r>
      <w:r>
        <w:rPr>
          <w:rFonts w:ascii="宋体" w:hAnsi="宋体"/>
          <w:sz w:val="28"/>
          <w:szCs w:val="28"/>
        </w:rPr>
        <w:t>0</w:t>
      </w:r>
      <w:r>
        <w:rPr>
          <w:rFonts w:ascii="宋体" w:hAnsi="宋体" w:hint="eastAsia"/>
          <w:sz w:val="28"/>
          <w:szCs w:val="28"/>
        </w:rPr>
        <w:t>日经公司第八届董事会第二十一次会议审议批准，其最终实施尚取决于前提条件的满足或豁免。</w:t>
      </w:r>
    </w:p>
    <w:p w14:paraId="4A22D71C"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鉴于本次交易尚需取得境内外多个政府主管部门和监管机构的批准和备案，其最终能否及何时实施存在一定的不确定性；而本次交易价格属于重要商业秘密，为保证本次交易顺利进入最终实施阶段，保证公平信息披露，避免误导投资者，切实维护本公司、中小股东和广大投资者的利益，根据</w:t>
      </w:r>
      <w:r>
        <w:rPr>
          <w:rFonts w:ascii="宋体" w:hAnsi="宋体" w:hint="eastAsia"/>
          <w:sz w:val="28"/>
          <w:szCs w:val="28"/>
          <w:lang w:val="en-GB"/>
        </w:rPr>
        <w:t>《上交所上市规则》</w:t>
      </w:r>
      <w:r>
        <w:rPr>
          <w:rFonts w:ascii="宋体" w:hAnsi="宋体" w:hint="eastAsia"/>
          <w:sz w:val="28"/>
          <w:szCs w:val="28"/>
        </w:rPr>
        <w:t>相关规定，公司在2022年3月30日发布的董事会决议公告中暂缓披露本次交易相关决议，并履行暂缓披露相关程序，采取严格保密措施。</w:t>
      </w:r>
    </w:p>
    <w:p w14:paraId="35A32F7B" w14:textId="77777777" w:rsidR="00937DB8" w:rsidRDefault="00550566">
      <w:pPr>
        <w:numPr>
          <w:ilvl w:val="0"/>
          <w:numId w:val="2"/>
        </w:numPr>
        <w:spacing w:line="360" w:lineRule="auto"/>
        <w:ind w:firstLineChars="200" w:firstLine="560"/>
        <w:rPr>
          <w:rFonts w:ascii="宋体" w:hAnsi="宋体"/>
          <w:sz w:val="28"/>
          <w:szCs w:val="28"/>
        </w:rPr>
      </w:pPr>
      <w:r>
        <w:rPr>
          <w:rFonts w:ascii="宋体" w:hAnsi="宋体" w:hint="eastAsia"/>
          <w:sz w:val="28"/>
          <w:szCs w:val="28"/>
        </w:rPr>
        <w:t>本次交易可能构成关联交易，本次交易系以公司发行的</w:t>
      </w:r>
      <w:r>
        <w:rPr>
          <w:rFonts w:ascii="宋体" w:hAnsi="宋体"/>
          <w:sz w:val="28"/>
          <w:szCs w:val="28"/>
        </w:rPr>
        <w:t>H</w:t>
      </w:r>
      <w:r>
        <w:rPr>
          <w:rFonts w:ascii="宋体" w:hAnsi="宋体" w:hint="eastAsia"/>
          <w:sz w:val="28"/>
          <w:szCs w:val="28"/>
        </w:rPr>
        <w:t>股可转换债券作为增持股份的对价方式，交易对方为由公司决定向其</w:t>
      </w:r>
      <w:r>
        <w:rPr>
          <w:rFonts w:ascii="宋体" w:hAnsi="宋体" w:hint="eastAsia"/>
          <w:sz w:val="28"/>
          <w:szCs w:val="28"/>
        </w:rPr>
        <w:lastRenderedPageBreak/>
        <w:t>收购股份的兖煤澳洲股东（本公司除外），而兖煤澳洲股东中存在根据上市监管规定认定的公司关联方，因此本次交易可能构成公司在《上交所上市规则》项下的关联交易，并根据适用的上市地监管规则履行股东批准程序。</w:t>
      </w:r>
    </w:p>
    <w:p w14:paraId="50615826"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根据公司上市地监管规则，在公司股东大会、A股类别股东大会及H股类别股东大会审议本次交易相关议案时，公司控股股东山东能源集团有限公司无需回避表决。</w:t>
      </w:r>
    </w:p>
    <w:p w14:paraId="417F9B2C" w14:textId="77777777" w:rsidR="00937DB8" w:rsidRDefault="00550566">
      <w:pPr>
        <w:numPr>
          <w:ilvl w:val="0"/>
          <w:numId w:val="2"/>
        </w:numPr>
        <w:spacing w:line="360" w:lineRule="auto"/>
        <w:ind w:firstLineChars="200" w:firstLine="560"/>
        <w:rPr>
          <w:rFonts w:ascii="宋体" w:hAnsi="宋体"/>
          <w:sz w:val="28"/>
          <w:szCs w:val="28"/>
        </w:rPr>
      </w:pPr>
      <w:r>
        <w:rPr>
          <w:rFonts w:ascii="宋体" w:hAnsi="宋体" w:hint="eastAsia"/>
          <w:sz w:val="28"/>
          <w:szCs w:val="28"/>
        </w:rPr>
        <w:t>本次交易不构成重大资产重组</w:t>
      </w:r>
    </w:p>
    <w:p w14:paraId="5770BA01"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本次交易不构成《上市公司重大资产重组管理办法》规定的重大资产重组事项。</w:t>
      </w:r>
    </w:p>
    <w:p w14:paraId="1A9C9C18" w14:textId="77777777" w:rsidR="00937DB8" w:rsidRDefault="00550566">
      <w:pPr>
        <w:spacing w:line="360" w:lineRule="auto"/>
        <w:ind w:firstLineChars="200" w:firstLine="562"/>
        <w:rPr>
          <w:rFonts w:ascii="宋体" w:hAnsi="宋体"/>
          <w:b/>
          <w:bCs/>
          <w:sz w:val="28"/>
          <w:szCs w:val="28"/>
        </w:rPr>
      </w:pPr>
      <w:r>
        <w:rPr>
          <w:rFonts w:ascii="宋体" w:hAnsi="宋体" w:hint="eastAsia"/>
          <w:b/>
          <w:bCs/>
          <w:sz w:val="28"/>
          <w:szCs w:val="28"/>
        </w:rPr>
        <w:t>二、交易对方</w:t>
      </w:r>
    </w:p>
    <w:p w14:paraId="051D157F"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如本次交易最终实施，本次交易的交易对方为在本次交易中由公司决定向其收购股份的兖煤澳洲股东（本公司除外）。</w:t>
      </w:r>
    </w:p>
    <w:p w14:paraId="47CE5545" w14:textId="77777777" w:rsidR="00937DB8" w:rsidRDefault="00550566">
      <w:pPr>
        <w:spacing w:line="360" w:lineRule="auto"/>
        <w:ind w:firstLineChars="200" w:firstLine="562"/>
        <w:rPr>
          <w:rFonts w:ascii="宋体" w:hAnsi="宋体"/>
          <w:b/>
          <w:sz w:val="28"/>
          <w:szCs w:val="28"/>
        </w:rPr>
      </w:pPr>
      <w:r>
        <w:rPr>
          <w:rFonts w:ascii="宋体" w:hAnsi="宋体" w:hint="eastAsia"/>
          <w:b/>
          <w:sz w:val="28"/>
          <w:szCs w:val="28"/>
        </w:rPr>
        <w:t>三、交易标的公司基本情况</w:t>
      </w:r>
    </w:p>
    <w:p w14:paraId="51AA1161" w14:textId="77777777" w:rsidR="00937DB8" w:rsidRDefault="00550566">
      <w:pPr>
        <w:spacing w:line="360" w:lineRule="auto"/>
        <w:ind w:firstLineChars="200" w:firstLine="562"/>
        <w:rPr>
          <w:rFonts w:ascii="宋体" w:hAnsi="宋体"/>
          <w:b/>
          <w:sz w:val="28"/>
          <w:szCs w:val="28"/>
        </w:rPr>
      </w:pPr>
      <w:r>
        <w:rPr>
          <w:rFonts w:ascii="宋体" w:hAnsi="宋体" w:hint="eastAsia"/>
          <w:b/>
          <w:sz w:val="28"/>
          <w:szCs w:val="28"/>
        </w:rPr>
        <w:t>（一）基本情况</w:t>
      </w:r>
    </w:p>
    <w:p w14:paraId="0469A3DD"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本次交易的标的公司为兖煤澳洲，其于2004年在澳大利亚悉尼市注册设立，分别于2012年和2018年在澳交所（澳交所股份代码：Y</w:t>
      </w:r>
      <w:r>
        <w:rPr>
          <w:rFonts w:ascii="宋体" w:hAnsi="宋体"/>
          <w:sz w:val="28"/>
          <w:szCs w:val="28"/>
        </w:rPr>
        <w:t>AL</w:t>
      </w:r>
      <w:r>
        <w:rPr>
          <w:rFonts w:ascii="宋体" w:hAnsi="宋体" w:hint="eastAsia"/>
          <w:sz w:val="28"/>
          <w:szCs w:val="28"/>
        </w:rPr>
        <w:t>）和香港联交所（香港联交所股份代码：03</w:t>
      </w:r>
      <w:r>
        <w:rPr>
          <w:rFonts w:ascii="宋体" w:hAnsi="宋体"/>
          <w:sz w:val="28"/>
          <w:szCs w:val="28"/>
        </w:rPr>
        <w:t>668</w:t>
      </w:r>
      <w:r>
        <w:rPr>
          <w:rFonts w:ascii="宋体" w:hAnsi="宋体" w:hint="eastAsia"/>
          <w:sz w:val="28"/>
          <w:szCs w:val="28"/>
        </w:rPr>
        <w:t>）上市。截至本公告日，兖煤澳洲是澳大利亚最大的煤炭专营公司，2021年实现原煤产量6,320万吨（以兖煤澳洲持有各矿山的权益按100%计算）。</w:t>
      </w:r>
    </w:p>
    <w:p w14:paraId="63BFFECB" w14:textId="77777777" w:rsidR="00937DB8" w:rsidRDefault="00550566">
      <w:pPr>
        <w:spacing w:line="360" w:lineRule="auto"/>
        <w:ind w:firstLine="600"/>
        <w:rPr>
          <w:rFonts w:ascii="宋体" w:hAnsi="宋体"/>
          <w:b/>
          <w:sz w:val="28"/>
          <w:szCs w:val="28"/>
        </w:rPr>
      </w:pPr>
      <w:r>
        <w:rPr>
          <w:rFonts w:ascii="宋体" w:hAnsi="宋体" w:hint="eastAsia"/>
          <w:b/>
          <w:sz w:val="28"/>
          <w:szCs w:val="28"/>
        </w:rPr>
        <w:t>（二）股权结构</w:t>
      </w:r>
    </w:p>
    <w:p w14:paraId="579EA3B6"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截至本公告日，兖煤澳洲为公司控股子公司，公司持有兖煤澳洲</w:t>
      </w:r>
      <w:r>
        <w:rPr>
          <w:rFonts w:ascii="宋体" w:hAnsi="宋体" w:hint="eastAsia"/>
          <w:sz w:val="28"/>
          <w:szCs w:val="28"/>
        </w:rPr>
        <w:lastRenderedPageBreak/>
        <w:t>822,157,715股股份，占比62.26%。根据兖煤澳洲发布的2</w:t>
      </w:r>
      <w:r>
        <w:rPr>
          <w:rFonts w:ascii="宋体" w:hAnsi="宋体"/>
          <w:sz w:val="28"/>
          <w:szCs w:val="28"/>
        </w:rPr>
        <w:t>021</w:t>
      </w:r>
      <w:r>
        <w:rPr>
          <w:rFonts w:ascii="宋体" w:hAnsi="宋体" w:hint="eastAsia"/>
          <w:sz w:val="28"/>
          <w:szCs w:val="28"/>
        </w:rPr>
        <w:t>年度报告，截至2</w:t>
      </w:r>
      <w:r>
        <w:rPr>
          <w:rFonts w:ascii="宋体" w:hAnsi="宋体"/>
          <w:sz w:val="28"/>
          <w:szCs w:val="28"/>
        </w:rPr>
        <w:t>021</w:t>
      </w:r>
      <w:r>
        <w:rPr>
          <w:rFonts w:ascii="宋体" w:hAnsi="宋体" w:hint="eastAsia"/>
          <w:sz w:val="28"/>
          <w:szCs w:val="28"/>
        </w:rPr>
        <w:t>年1</w:t>
      </w:r>
      <w:r>
        <w:rPr>
          <w:rFonts w:ascii="宋体" w:hAnsi="宋体"/>
          <w:sz w:val="28"/>
          <w:szCs w:val="28"/>
        </w:rPr>
        <w:t>2</w:t>
      </w:r>
      <w:r>
        <w:rPr>
          <w:rFonts w:ascii="宋体" w:hAnsi="宋体" w:hint="eastAsia"/>
          <w:sz w:val="28"/>
          <w:szCs w:val="28"/>
        </w:rPr>
        <w:t>月3</w:t>
      </w:r>
      <w:r>
        <w:rPr>
          <w:rFonts w:ascii="宋体" w:hAnsi="宋体"/>
          <w:sz w:val="28"/>
          <w:szCs w:val="28"/>
        </w:rPr>
        <w:t>1</w:t>
      </w:r>
      <w:r>
        <w:rPr>
          <w:rFonts w:ascii="宋体" w:hAnsi="宋体" w:hint="eastAsia"/>
          <w:sz w:val="28"/>
          <w:szCs w:val="28"/>
        </w:rPr>
        <w:t>日，持有兖煤澳洲</w:t>
      </w:r>
      <w:r>
        <w:rPr>
          <w:rFonts w:ascii="宋体" w:hAnsi="宋体"/>
          <w:sz w:val="28"/>
          <w:szCs w:val="28"/>
        </w:rPr>
        <w:t>5%以上权益</w:t>
      </w:r>
      <w:r>
        <w:rPr>
          <w:rFonts w:ascii="宋体" w:hAnsi="宋体" w:hint="eastAsia"/>
          <w:sz w:val="28"/>
          <w:szCs w:val="28"/>
        </w:rPr>
        <w:t>的主要股东名单及相应所持或拥有权益股份情况如下：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266"/>
        <w:gridCol w:w="2302"/>
        <w:gridCol w:w="1786"/>
      </w:tblGrid>
      <w:tr w:rsidR="00937DB8" w14:paraId="5A52F5B9" w14:textId="77777777">
        <w:trPr>
          <w:trHeight w:val="312"/>
        </w:trPr>
        <w:tc>
          <w:tcPr>
            <w:tcW w:w="942" w:type="dxa"/>
            <w:vAlign w:val="center"/>
          </w:tcPr>
          <w:p w14:paraId="7BFB6185" w14:textId="77777777" w:rsidR="00937DB8" w:rsidRDefault="00550566">
            <w:pPr>
              <w:jc w:val="center"/>
              <w:rPr>
                <w:rFonts w:ascii="宋体" w:hAnsi="宋体"/>
                <w:b/>
                <w:szCs w:val="21"/>
              </w:rPr>
            </w:pPr>
            <w:r>
              <w:rPr>
                <w:rFonts w:ascii="宋体" w:hAnsi="宋体" w:hint="eastAsia"/>
                <w:b/>
                <w:szCs w:val="21"/>
              </w:rPr>
              <w:t>序号</w:t>
            </w:r>
          </w:p>
        </w:tc>
        <w:tc>
          <w:tcPr>
            <w:tcW w:w="3266" w:type="dxa"/>
            <w:vAlign w:val="center"/>
          </w:tcPr>
          <w:p w14:paraId="75D91470" w14:textId="77777777" w:rsidR="00937DB8" w:rsidRDefault="00550566">
            <w:pPr>
              <w:jc w:val="center"/>
              <w:rPr>
                <w:rFonts w:ascii="宋体" w:hAnsi="宋体"/>
                <w:b/>
                <w:szCs w:val="21"/>
              </w:rPr>
            </w:pPr>
            <w:r>
              <w:rPr>
                <w:rFonts w:ascii="宋体" w:hAnsi="宋体" w:hint="eastAsia"/>
                <w:b/>
                <w:szCs w:val="21"/>
              </w:rPr>
              <w:t>股东名称</w:t>
            </w:r>
          </w:p>
        </w:tc>
        <w:tc>
          <w:tcPr>
            <w:tcW w:w="2302" w:type="dxa"/>
            <w:vAlign w:val="center"/>
          </w:tcPr>
          <w:p w14:paraId="23F206E6" w14:textId="77777777" w:rsidR="00937DB8" w:rsidRDefault="00550566">
            <w:pPr>
              <w:jc w:val="center"/>
              <w:rPr>
                <w:rFonts w:ascii="宋体" w:hAnsi="宋体"/>
                <w:b/>
                <w:szCs w:val="21"/>
              </w:rPr>
            </w:pPr>
            <w:r>
              <w:rPr>
                <w:rFonts w:ascii="宋体" w:hAnsi="宋体" w:hint="eastAsia"/>
                <w:b/>
                <w:szCs w:val="21"/>
              </w:rPr>
              <w:t>所持或拥有权益的</w:t>
            </w:r>
          </w:p>
          <w:p w14:paraId="16FF62EC" w14:textId="77777777" w:rsidR="00937DB8" w:rsidRDefault="00550566">
            <w:pPr>
              <w:jc w:val="center"/>
              <w:rPr>
                <w:rFonts w:ascii="宋体" w:hAnsi="宋体"/>
                <w:b/>
                <w:szCs w:val="21"/>
              </w:rPr>
            </w:pPr>
            <w:r>
              <w:rPr>
                <w:rFonts w:ascii="宋体" w:hAnsi="宋体" w:hint="eastAsia"/>
                <w:b/>
                <w:szCs w:val="21"/>
              </w:rPr>
              <w:t>股份持股数量（股）</w:t>
            </w:r>
          </w:p>
        </w:tc>
        <w:tc>
          <w:tcPr>
            <w:tcW w:w="1786" w:type="dxa"/>
            <w:vAlign w:val="center"/>
          </w:tcPr>
          <w:p w14:paraId="5E82C881" w14:textId="77777777" w:rsidR="00937DB8" w:rsidRDefault="00550566">
            <w:pPr>
              <w:jc w:val="center"/>
              <w:rPr>
                <w:rFonts w:ascii="宋体" w:hAnsi="宋体"/>
                <w:b/>
                <w:szCs w:val="21"/>
              </w:rPr>
            </w:pPr>
            <w:r>
              <w:rPr>
                <w:rFonts w:ascii="宋体" w:hAnsi="宋体" w:hint="eastAsia"/>
                <w:b/>
                <w:szCs w:val="21"/>
              </w:rPr>
              <w:t>持股比例</w:t>
            </w:r>
          </w:p>
        </w:tc>
      </w:tr>
      <w:tr w:rsidR="00937DB8" w14:paraId="0976DCA8" w14:textId="77777777">
        <w:trPr>
          <w:trHeight w:val="312"/>
        </w:trPr>
        <w:tc>
          <w:tcPr>
            <w:tcW w:w="942" w:type="dxa"/>
            <w:vAlign w:val="center"/>
          </w:tcPr>
          <w:p w14:paraId="3BA99386" w14:textId="77777777" w:rsidR="00937DB8" w:rsidRDefault="00550566">
            <w:pPr>
              <w:spacing w:line="360" w:lineRule="auto"/>
              <w:jc w:val="center"/>
              <w:rPr>
                <w:rFonts w:ascii="宋体" w:hAnsi="宋体"/>
                <w:szCs w:val="21"/>
              </w:rPr>
            </w:pPr>
            <w:r>
              <w:rPr>
                <w:rFonts w:ascii="宋体" w:hAnsi="宋体" w:hint="eastAsia"/>
                <w:szCs w:val="21"/>
              </w:rPr>
              <w:t>1</w:t>
            </w:r>
          </w:p>
        </w:tc>
        <w:tc>
          <w:tcPr>
            <w:tcW w:w="3266" w:type="dxa"/>
          </w:tcPr>
          <w:p w14:paraId="738D42EF" w14:textId="77777777" w:rsidR="00937DB8" w:rsidRDefault="00550566">
            <w:pPr>
              <w:spacing w:line="360" w:lineRule="auto"/>
              <w:jc w:val="center"/>
              <w:rPr>
                <w:rFonts w:ascii="宋体" w:hAnsi="宋体"/>
                <w:szCs w:val="21"/>
              </w:rPr>
            </w:pPr>
            <w:r>
              <w:rPr>
                <w:rFonts w:ascii="宋体" w:hAnsi="宋体" w:hint="eastAsia"/>
                <w:szCs w:val="21"/>
              </w:rPr>
              <w:t>兖矿能源集团股份有限公司</w:t>
            </w:r>
          </w:p>
        </w:tc>
        <w:tc>
          <w:tcPr>
            <w:tcW w:w="2302" w:type="dxa"/>
            <w:vAlign w:val="center"/>
          </w:tcPr>
          <w:p w14:paraId="0D4DC111" w14:textId="77777777" w:rsidR="00937DB8" w:rsidRDefault="00550566">
            <w:pPr>
              <w:spacing w:line="360" w:lineRule="auto"/>
              <w:jc w:val="center"/>
              <w:rPr>
                <w:rFonts w:ascii="宋体" w:hAnsi="宋体"/>
                <w:szCs w:val="21"/>
              </w:rPr>
            </w:pPr>
            <w:r>
              <w:rPr>
                <w:rFonts w:ascii="宋体" w:hAnsi="宋体" w:hint="eastAsia"/>
                <w:szCs w:val="21"/>
              </w:rPr>
              <w:t>822,157,715</w:t>
            </w:r>
          </w:p>
        </w:tc>
        <w:tc>
          <w:tcPr>
            <w:tcW w:w="1786" w:type="dxa"/>
            <w:vAlign w:val="center"/>
          </w:tcPr>
          <w:p w14:paraId="7AF44E90" w14:textId="77777777" w:rsidR="00937DB8" w:rsidRDefault="00550566">
            <w:pPr>
              <w:spacing w:line="360" w:lineRule="auto"/>
              <w:jc w:val="center"/>
              <w:rPr>
                <w:rFonts w:ascii="宋体" w:hAnsi="宋体"/>
                <w:szCs w:val="21"/>
              </w:rPr>
            </w:pPr>
            <w:r>
              <w:rPr>
                <w:rFonts w:ascii="宋体" w:hAnsi="宋体" w:hint="eastAsia"/>
                <w:szCs w:val="21"/>
              </w:rPr>
              <w:t>62.26%</w:t>
            </w:r>
          </w:p>
        </w:tc>
      </w:tr>
      <w:tr w:rsidR="00937DB8" w14:paraId="19C23621" w14:textId="77777777">
        <w:trPr>
          <w:trHeight w:val="312"/>
        </w:trPr>
        <w:tc>
          <w:tcPr>
            <w:tcW w:w="942" w:type="dxa"/>
            <w:vAlign w:val="center"/>
          </w:tcPr>
          <w:p w14:paraId="2FFBD3B4" w14:textId="77777777" w:rsidR="00937DB8" w:rsidRDefault="00550566">
            <w:pPr>
              <w:spacing w:line="360" w:lineRule="auto"/>
              <w:jc w:val="center"/>
              <w:rPr>
                <w:rFonts w:ascii="宋体" w:hAnsi="宋体"/>
                <w:szCs w:val="21"/>
              </w:rPr>
            </w:pPr>
            <w:r>
              <w:rPr>
                <w:rFonts w:ascii="宋体" w:hAnsi="宋体" w:hint="eastAsia"/>
                <w:szCs w:val="21"/>
              </w:rPr>
              <w:t>2</w:t>
            </w:r>
          </w:p>
        </w:tc>
        <w:tc>
          <w:tcPr>
            <w:tcW w:w="3266" w:type="dxa"/>
          </w:tcPr>
          <w:p w14:paraId="6AF55C7B" w14:textId="77777777" w:rsidR="00937DB8" w:rsidRDefault="00550566">
            <w:pPr>
              <w:spacing w:line="360" w:lineRule="auto"/>
              <w:jc w:val="center"/>
              <w:rPr>
                <w:rFonts w:ascii="宋体" w:hAnsi="宋体"/>
                <w:szCs w:val="21"/>
              </w:rPr>
            </w:pPr>
            <w:r>
              <w:rPr>
                <w:rFonts w:ascii="宋体" w:hAnsi="宋体" w:hint="eastAsia"/>
                <w:szCs w:val="21"/>
              </w:rPr>
              <w:t>Cinda International HGB Investment (UK) Limited</w:t>
            </w:r>
          </w:p>
        </w:tc>
        <w:tc>
          <w:tcPr>
            <w:tcW w:w="2302" w:type="dxa"/>
            <w:vAlign w:val="center"/>
          </w:tcPr>
          <w:p w14:paraId="61E9CE72" w14:textId="77777777" w:rsidR="00937DB8" w:rsidRDefault="00550566">
            <w:pPr>
              <w:spacing w:line="360" w:lineRule="auto"/>
              <w:jc w:val="center"/>
              <w:rPr>
                <w:rFonts w:ascii="宋体" w:hAnsi="宋体"/>
                <w:szCs w:val="21"/>
              </w:rPr>
            </w:pPr>
            <w:r>
              <w:rPr>
                <w:rFonts w:ascii="宋体" w:hAnsi="宋体"/>
                <w:szCs w:val="21"/>
              </w:rPr>
              <w:t>209,</w:t>
            </w:r>
            <w:r>
              <w:rPr>
                <w:rFonts w:ascii="宋体" w:hAnsi="宋体" w:hint="eastAsia"/>
                <w:szCs w:val="21"/>
              </w:rPr>
              <w:t>800</w:t>
            </w:r>
            <w:r>
              <w:rPr>
                <w:rFonts w:ascii="宋体" w:hAnsi="宋体"/>
                <w:szCs w:val="21"/>
              </w:rPr>
              <w:t>,</w:t>
            </w:r>
            <w:r>
              <w:rPr>
                <w:rFonts w:ascii="宋体" w:hAnsi="宋体" w:hint="eastAsia"/>
                <w:szCs w:val="21"/>
              </w:rPr>
              <w:t>010</w:t>
            </w:r>
          </w:p>
        </w:tc>
        <w:tc>
          <w:tcPr>
            <w:tcW w:w="1786" w:type="dxa"/>
            <w:vAlign w:val="center"/>
          </w:tcPr>
          <w:p w14:paraId="61A1DDAE" w14:textId="77777777" w:rsidR="00937DB8" w:rsidRDefault="00550566">
            <w:pPr>
              <w:spacing w:line="360" w:lineRule="auto"/>
              <w:jc w:val="center"/>
              <w:rPr>
                <w:rFonts w:ascii="宋体" w:hAnsi="宋体"/>
                <w:szCs w:val="21"/>
              </w:rPr>
            </w:pPr>
            <w:r>
              <w:rPr>
                <w:rFonts w:ascii="宋体" w:hAnsi="宋体"/>
                <w:szCs w:val="21"/>
              </w:rPr>
              <w:t>15.</w:t>
            </w:r>
            <w:r>
              <w:rPr>
                <w:rFonts w:ascii="宋体" w:hAnsi="宋体" w:hint="eastAsia"/>
                <w:szCs w:val="21"/>
              </w:rPr>
              <w:t>89%</w:t>
            </w:r>
          </w:p>
        </w:tc>
      </w:tr>
      <w:tr w:rsidR="00937DB8" w14:paraId="2818ADD2" w14:textId="77777777">
        <w:trPr>
          <w:trHeight w:val="312"/>
        </w:trPr>
        <w:tc>
          <w:tcPr>
            <w:tcW w:w="942" w:type="dxa"/>
            <w:vAlign w:val="center"/>
          </w:tcPr>
          <w:p w14:paraId="4AA34244" w14:textId="77777777" w:rsidR="00937DB8" w:rsidRDefault="00550566">
            <w:pPr>
              <w:spacing w:line="360" w:lineRule="auto"/>
              <w:jc w:val="center"/>
              <w:rPr>
                <w:rFonts w:ascii="宋体" w:hAnsi="宋体"/>
                <w:szCs w:val="21"/>
              </w:rPr>
            </w:pPr>
            <w:r>
              <w:rPr>
                <w:rFonts w:ascii="宋体" w:hAnsi="宋体" w:hint="eastAsia"/>
                <w:szCs w:val="21"/>
              </w:rPr>
              <w:t>3</w:t>
            </w:r>
          </w:p>
        </w:tc>
        <w:tc>
          <w:tcPr>
            <w:tcW w:w="3266" w:type="dxa"/>
          </w:tcPr>
          <w:p w14:paraId="7431FFF8" w14:textId="77777777" w:rsidR="00937DB8" w:rsidRDefault="00550566">
            <w:pPr>
              <w:spacing w:line="360" w:lineRule="auto"/>
              <w:jc w:val="center"/>
              <w:rPr>
                <w:rFonts w:ascii="宋体" w:hAnsi="宋体"/>
                <w:szCs w:val="21"/>
              </w:rPr>
            </w:pPr>
            <w:r>
              <w:rPr>
                <w:rFonts w:ascii="宋体" w:hAnsi="宋体"/>
                <w:szCs w:val="21"/>
              </w:rPr>
              <w:t>G</w:t>
            </w:r>
            <w:r>
              <w:rPr>
                <w:rFonts w:ascii="宋体" w:hAnsi="宋体" w:hint="eastAsia"/>
                <w:szCs w:val="21"/>
              </w:rPr>
              <w:t>lencore</w:t>
            </w:r>
            <w:r>
              <w:rPr>
                <w:rFonts w:ascii="宋体" w:hAnsi="宋体"/>
                <w:szCs w:val="21"/>
              </w:rPr>
              <w:t xml:space="preserve"> C</w:t>
            </w:r>
            <w:r>
              <w:rPr>
                <w:rFonts w:ascii="宋体" w:hAnsi="宋体" w:hint="eastAsia"/>
                <w:szCs w:val="21"/>
              </w:rPr>
              <w:t>oal</w:t>
            </w:r>
            <w:r>
              <w:rPr>
                <w:rFonts w:ascii="宋体" w:hAnsi="宋体"/>
                <w:szCs w:val="21"/>
              </w:rPr>
              <w:t xml:space="preserve"> P</w:t>
            </w:r>
            <w:r>
              <w:rPr>
                <w:rFonts w:ascii="宋体" w:hAnsi="宋体" w:hint="eastAsia"/>
                <w:szCs w:val="21"/>
              </w:rPr>
              <w:t>ty</w:t>
            </w:r>
            <w:r>
              <w:rPr>
                <w:rFonts w:ascii="宋体" w:hAnsi="宋体"/>
                <w:szCs w:val="21"/>
              </w:rPr>
              <w:t xml:space="preserve"> L</w:t>
            </w:r>
            <w:r>
              <w:rPr>
                <w:rFonts w:ascii="宋体" w:hAnsi="宋体" w:hint="eastAsia"/>
                <w:szCs w:val="21"/>
              </w:rPr>
              <w:t>td</w:t>
            </w:r>
          </w:p>
        </w:tc>
        <w:tc>
          <w:tcPr>
            <w:tcW w:w="2302" w:type="dxa"/>
            <w:vAlign w:val="center"/>
          </w:tcPr>
          <w:p w14:paraId="3D35C20F" w14:textId="77777777" w:rsidR="00937DB8" w:rsidRDefault="00550566">
            <w:pPr>
              <w:spacing w:line="360" w:lineRule="auto"/>
              <w:jc w:val="center"/>
              <w:rPr>
                <w:rFonts w:ascii="宋体" w:hAnsi="宋体"/>
                <w:szCs w:val="21"/>
              </w:rPr>
            </w:pPr>
            <w:r>
              <w:rPr>
                <w:rFonts w:ascii="宋体" w:hAnsi="宋体"/>
                <w:szCs w:val="21"/>
              </w:rPr>
              <w:t>84,497,858</w:t>
            </w:r>
          </w:p>
        </w:tc>
        <w:tc>
          <w:tcPr>
            <w:tcW w:w="1786" w:type="dxa"/>
            <w:vAlign w:val="center"/>
          </w:tcPr>
          <w:p w14:paraId="526281C1" w14:textId="77777777" w:rsidR="00937DB8" w:rsidRDefault="00550566">
            <w:pPr>
              <w:spacing w:line="360" w:lineRule="auto"/>
              <w:jc w:val="center"/>
              <w:rPr>
                <w:rFonts w:ascii="宋体" w:hAnsi="宋体"/>
                <w:szCs w:val="21"/>
              </w:rPr>
            </w:pPr>
            <w:r>
              <w:rPr>
                <w:rFonts w:ascii="宋体" w:hAnsi="宋体" w:hint="eastAsia"/>
                <w:szCs w:val="21"/>
              </w:rPr>
              <w:t>6.40%</w:t>
            </w:r>
          </w:p>
        </w:tc>
      </w:tr>
      <w:tr w:rsidR="00937DB8" w14:paraId="4B99E654" w14:textId="77777777">
        <w:trPr>
          <w:trHeight w:val="312"/>
        </w:trPr>
        <w:tc>
          <w:tcPr>
            <w:tcW w:w="942" w:type="dxa"/>
            <w:vAlign w:val="center"/>
          </w:tcPr>
          <w:p w14:paraId="55D1098F" w14:textId="77777777" w:rsidR="00937DB8" w:rsidRDefault="00550566">
            <w:pPr>
              <w:spacing w:line="360" w:lineRule="auto"/>
              <w:jc w:val="center"/>
              <w:rPr>
                <w:rFonts w:ascii="宋体" w:hAnsi="宋体"/>
                <w:szCs w:val="21"/>
              </w:rPr>
            </w:pPr>
            <w:r>
              <w:rPr>
                <w:rFonts w:ascii="宋体" w:hAnsi="宋体" w:hint="eastAsia"/>
                <w:szCs w:val="21"/>
              </w:rPr>
              <w:t>4</w:t>
            </w:r>
          </w:p>
        </w:tc>
        <w:tc>
          <w:tcPr>
            <w:tcW w:w="3266" w:type="dxa"/>
          </w:tcPr>
          <w:p w14:paraId="4F689C99" w14:textId="77777777" w:rsidR="00937DB8" w:rsidRDefault="00550566">
            <w:pPr>
              <w:spacing w:line="360" w:lineRule="auto"/>
              <w:jc w:val="center"/>
              <w:rPr>
                <w:rFonts w:ascii="宋体" w:hAnsi="宋体"/>
                <w:szCs w:val="21"/>
              </w:rPr>
            </w:pPr>
            <w:r>
              <w:rPr>
                <w:rFonts w:ascii="宋体" w:hAnsi="宋体" w:hint="eastAsia"/>
                <w:szCs w:val="21"/>
              </w:rPr>
              <w:t>China Shandong Investment Limited</w:t>
            </w:r>
          </w:p>
        </w:tc>
        <w:tc>
          <w:tcPr>
            <w:tcW w:w="2302" w:type="dxa"/>
            <w:vAlign w:val="center"/>
          </w:tcPr>
          <w:p w14:paraId="7B4C77C3" w14:textId="77777777" w:rsidR="00937DB8" w:rsidRDefault="00550566">
            <w:pPr>
              <w:spacing w:line="360" w:lineRule="auto"/>
              <w:jc w:val="center"/>
              <w:rPr>
                <w:rFonts w:ascii="宋体" w:hAnsi="宋体"/>
                <w:szCs w:val="21"/>
              </w:rPr>
            </w:pPr>
            <w:r>
              <w:rPr>
                <w:rFonts w:ascii="宋体" w:hAnsi="宋体"/>
                <w:szCs w:val="21"/>
              </w:rPr>
              <w:t>7</w:t>
            </w:r>
            <w:r>
              <w:rPr>
                <w:rFonts w:ascii="宋体" w:hAnsi="宋体" w:hint="eastAsia"/>
                <w:szCs w:val="21"/>
              </w:rPr>
              <w:t>1</w:t>
            </w:r>
            <w:r>
              <w:rPr>
                <w:rFonts w:ascii="宋体" w:hAnsi="宋体"/>
                <w:szCs w:val="21"/>
              </w:rPr>
              <w:t>,</w:t>
            </w:r>
            <w:r>
              <w:rPr>
                <w:rFonts w:ascii="宋体" w:hAnsi="宋体" w:hint="eastAsia"/>
                <w:szCs w:val="21"/>
              </w:rPr>
              <w:t>428</w:t>
            </w:r>
            <w:r>
              <w:rPr>
                <w:rFonts w:ascii="宋体" w:hAnsi="宋体"/>
                <w:szCs w:val="21"/>
              </w:rPr>
              <w:t>,</w:t>
            </w:r>
            <w:r>
              <w:rPr>
                <w:rFonts w:ascii="宋体" w:hAnsi="宋体" w:hint="eastAsia"/>
                <w:szCs w:val="21"/>
              </w:rPr>
              <w:t>571</w:t>
            </w:r>
          </w:p>
        </w:tc>
        <w:tc>
          <w:tcPr>
            <w:tcW w:w="1786" w:type="dxa"/>
            <w:vAlign w:val="center"/>
          </w:tcPr>
          <w:p w14:paraId="3F9B8068" w14:textId="77777777" w:rsidR="00937DB8" w:rsidRDefault="00550566">
            <w:pPr>
              <w:spacing w:line="360" w:lineRule="auto"/>
              <w:jc w:val="center"/>
              <w:rPr>
                <w:rFonts w:ascii="宋体" w:hAnsi="宋体"/>
                <w:szCs w:val="21"/>
              </w:rPr>
            </w:pPr>
            <w:r>
              <w:rPr>
                <w:rFonts w:ascii="宋体" w:hAnsi="宋体"/>
                <w:szCs w:val="21"/>
              </w:rPr>
              <w:t>5.</w:t>
            </w:r>
            <w:r>
              <w:rPr>
                <w:rFonts w:ascii="宋体" w:hAnsi="宋体" w:hint="eastAsia"/>
                <w:szCs w:val="21"/>
              </w:rPr>
              <w:t>41%</w:t>
            </w:r>
          </w:p>
        </w:tc>
      </w:tr>
      <w:tr w:rsidR="00937DB8" w14:paraId="126126E2" w14:textId="77777777">
        <w:trPr>
          <w:trHeight w:val="312"/>
        </w:trPr>
        <w:tc>
          <w:tcPr>
            <w:tcW w:w="942" w:type="dxa"/>
            <w:vAlign w:val="center"/>
          </w:tcPr>
          <w:p w14:paraId="6A260878" w14:textId="77777777" w:rsidR="00937DB8" w:rsidRDefault="00550566">
            <w:pPr>
              <w:spacing w:line="360" w:lineRule="auto"/>
              <w:jc w:val="center"/>
              <w:rPr>
                <w:rFonts w:ascii="宋体" w:hAnsi="宋体"/>
                <w:szCs w:val="21"/>
              </w:rPr>
            </w:pPr>
            <w:r>
              <w:rPr>
                <w:rFonts w:ascii="宋体" w:hAnsi="宋体" w:hint="eastAsia"/>
                <w:szCs w:val="21"/>
              </w:rPr>
              <w:t>5</w:t>
            </w:r>
          </w:p>
        </w:tc>
        <w:tc>
          <w:tcPr>
            <w:tcW w:w="3266" w:type="dxa"/>
          </w:tcPr>
          <w:p w14:paraId="501FC945" w14:textId="77777777" w:rsidR="00937DB8" w:rsidRDefault="00550566">
            <w:pPr>
              <w:spacing w:line="360" w:lineRule="auto"/>
              <w:jc w:val="center"/>
              <w:rPr>
                <w:rFonts w:ascii="宋体" w:hAnsi="宋体"/>
                <w:szCs w:val="21"/>
              </w:rPr>
            </w:pPr>
            <w:r>
              <w:rPr>
                <w:rFonts w:ascii="宋体" w:hAnsi="宋体" w:hint="eastAsia"/>
                <w:szCs w:val="21"/>
              </w:rPr>
              <w:t>其他股东</w:t>
            </w:r>
          </w:p>
        </w:tc>
        <w:tc>
          <w:tcPr>
            <w:tcW w:w="2302" w:type="dxa"/>
            <w:vAlign w:val="center"/>
          </w:tcPr>
          <w:p w14:paraId="6E79488F" w14:textId="77777777" w:rsidR="00937DB8" w:rsidRDefault="00550566">
            <w:pPr>
              <w:spacing w:line="360" w:lineRule="auto"/>
              <w:jc w:val="center"/>
              <w:rPr>
                <w:rFonts w:ascii="宋体" w:hAnsi="宋体"/>
                <w:szCs w:val="21"/>
              </w:rPr>
            </w:pPr>
            <w:r>
              <w:rPr>
                <w:rFonts w:ascii="宋体" w:hAnsi="宋体"/>
                <w:szCs w:val="21"/>
              </w:rPr>
              <w:t>132,555,283</w:t>
            </w:r>
          </w:p>
        </w:tc>
        <w:tc>
          <w:tcPr>
            <w:tcW w:w="1786" w:type="dxa"/>
            <w:vAlign w:val="center"/>
          </w:tcPr>
          <w:p w14:paraId="3DE196C0" w14:textId="77777777" w:rsidR="00937DB8" w:rsidRDefault="00550566">
            <w:pPr>
              <w:spacing w:line="360" w:lineRule="auto"/>
              <w:jc w:val="center"/>
              <w:rPr>
                <w:rFonts w:ascii="宋体" w:hAnsi="宋体"/>
                <w:szCs w:val="21"/>
              </w:rPr>
            </w:pPr>
            <w:r>
              <w:rPr>
                <w:rFonts w:ascii="宋体" w:hAnsi="宋体" w:hint="eastAsia"/>
                <w:szCs w:val="21"/>
              </w:rPr>
              <w:t>10.04%</w:t>
            </w:r>
          </w:p>
        </w:tc>
      </w:tr>
      <w:tr w:rsidR="00937DB8" w14:paraId="10CD89BC" w14:textId="77777777">
        <w:trPr>
          <w:trHeight w:val="312"/>
        </w:trPr>
        <w:tc>
          <w:tcPr>
            <w:tcW w:w="4208" w:type="dxa"/>
            <w:gridSpan w:val="2"/>
            <w:vAlign w:val="center"/>
          </w:tcPr>
          <w:p w14:paraId="341D6B7E" w14:textId="77777777" w:rsidR="00937DB8" w:rsidRDefault="00550566">
            <w:pPr>
              <w:spacing w:line="360" w:lineRule="auto"/>
              <w:jc w:val="center"/>
              <w:rPr>
                <w:rFonts w:ascii="宋体" w:hAnsi="宋体"/>
                <w:b/>
                <w:szCs w:val="21"/>
              </w:rPr>
            </w:pPr>
            <w:r>
              <w:rPr>
                <w:rFonts w:ascii="宋体" w:hAnsi="宋体" w:hint="eastAsia"/>
                <w:b/>
                <w:szCs w:val="21"/>
              </w:rPr>
              <w:t>合计</w:t>
            </w:r>
          </w:p>
        </w:tc>
        <w:tc>
          <w:tcPr>
            <w:tcW w:w="2302" w:type="dxa"/>
          </w:tcPr>
          <w:p w14:paraId="67B18DDF" w14:textId="77777777" w:rsidR="00937DB8" w:rsidRDefault="00550566">
            <w:pPr>
              <w:spacing w:line="360" w:lineRule="auto"/>
              <w:jc w:val="center"/>
              <w:rPr>
                <w:rFonts w:ascii="宋体" w:hAnsi="宋体"/>
                <w:b/>
                <w:szCs w:val="21"/>
              </w:rPr>
            </w:pPr>
            <w:r>
              <w:rPr>
                <w:rFonts w:ascii="宋体" w:hAnsi="宋体" w:hint="eastAsia"/>
                <w:b/>
                <w:szCs w:val="21"/>
              </w:rPr>
              <w:t>1,320,439,437</w:t>
            </w:r>
          </w:p>
        </w:tc>
        <w:tc>
          <w:tcPr>
            <w:tcW w:w="1786" w:type="dxa"/>
          </w:tcPr>
          <w:p w14:paraId="219CA0B2" w14:textId="77777777" w:rsidR="00937DB8" w:rsidRDefault="00550566">
            <w:pPr>
              <w:spacing w:line="360" w:lineRule="auto"/>
              <w:jc w:val="center"/>
              <w:rPr>
                <w:rFonts w:ascii="宋体" w:hAnsi="宋体"/>
                <w:b/>
                <w:szCs w:val="21"/>
              </w:rPr>
            </w:pPr>
            <w:r>
              <w:rPr>
                <w:rFonts w:ascii="宋体" w:hAnsi="宋体" w:hint="eastAsia"/>
                <w:b/>
                <w:szCs w:val="21"/>
              </w:rPr>
              <w:t>100.00%</w:t>
            </w:r>
          </w:p>
        </w:tc>
      </w:tr>
    </w:tbl>
    <w:p w14:paraId="3829A632" w14:textId="77777777" w:rsidR="00937DB8" w:rsidRDefault="00550566">
      <w:pPr>
        <w:spacing w:line="360" w:lineRule="auto"/>
        <w:ind w:firstLine="600"/>
        <w:rPr>
          <w:rFonts w:ascii="宋体" w:hAnsi="宋体"/>
          <w:b/>
          <w:sz w:val="28"/>
          <w:szCs w:val="28"/>
        </w:rPr>
      </w:pPr>
      <w:r>
        <w:rPr>
          <w:rFonts w:ascii="宋体" w:hAnsi="宋体" w:hint="eastAsia"/>
          <w:b/>
          <w:sz w:val="28"/>
          <w:szCs w:val="28"/>
        </w:rPr>
        <w:t>（三）主要财务数据</w:t>
      </w:r>
    </w:p>
    <w:p w14:paraId="30D9AF25" w14:textId="77777777" w:rsidR="00937DB8" w:rsidRDefault="00550566">
      <w:pPr>
        <w:spacing w:line="360" w:lineRule="auto"/>
        <w:ind w:firstLine="600"/>
        <w:rPr>
          <w:rFonts w:ascii="宋体" w:hAnsi="宋体"/>
          <w:sz w:val="28"/>
          <w:szCs w:val="28"/>
        </w:rPr>
      </w:pPr>
      <w:r>
        <w:rPr>
          <w:rFonts w:ascii="宋体" w:hAnsi="宋体" w:hint="eastAsia"/>
          <w:sz w:val="28"/>
          <w:szCs w:val="28"/>
        </w:rPr>
        <w:t>兖煤澳洲近五年经审计主要财务数据如下：</w:t>
      </w:r>
    </w:p>
    <w:p w14:paraId="2A20F642" w14:textId="77777777" w:rsidR="00937DB8" w:rsidRDefault="00550566">
      <w:pPr>
        <w:spacing w:line="520" w:lineRule="exact"/>
        <w:ind w:firstLine="600"/>
        <w:jc w:val="right"/>
        <w:rPr>
          <w:kern w:val="0"/>
        </w:rPr>
      </w:pPr>
      <w:r>
        <w:rPr>
          <w:rFonts w:hint="eastAsia"/>
          <w:kern w:val="0"/>
        </w:rPr>
        <w:t>单位：亿澳元</w:t>
      </w:r>
    </w:p>
    <w:tbl>
      <w:tblPr>
        <w:tblStyle w:val="af1"/>
        <w:tblW w:w="5000" w:type="pct"/>
        <w:tblLayout w:type="fixed"/>
        <w:tblLook w:val="04A0" w:firstRow="1" w:lastRow="0" w:firstColumn="1" w:lastColumn="0" w:noHBand="0" w:noVBand="1"/>
      </w:tblPr>
      <w:tblGrid>
        <w:gridCol w:w="2263"/>
        <w:gridCol w:w="1206"/>
        <w:gridCol w:w="1207"/>
        <w:gridCol w:w="1206"/>
        <w:gridCol w:w="1207"/>
        <w:gridCol w:w="1207"/>
      </w:tblGrid>
      <w:tr w:rsidR="00937DB8" w14:paraId="3C9B9D77" w14:textId="77777777">
        <w:trPr>
          <w:trHeight w:val="20"/>
        </w:trPr>
        <w:tc>
          <w:tcPr>
            <w:tcW w:w="2263" w:type="dxa"/>
            <w:vAlign w:val="center"/>
          </w:tcPr>
          <w:p w14:paraId="4D941752" w14:textId="77777777" w:rsidR="00937DB8" w:rsidRDefault="00550566">
            <w:pPr>
              <w:pStyle w:val="af8"/>
              <w:spacing w:before="160" w:line="240" w:lineRule="auto"/>
              <w:rPr>
                <w:b/>
              </w:rPr>
            </w:pPr>
            <w:r>
              <w:rPr>
                <w:rFonts w:hint="eastAsia"/>
                <w:b/>
              </w:rPr>
              <w:t>项</w:t>
            </w:r>
            <w:r>
              <w:rPr>
                <w:rFonts w:hint="eastAsia"/>
                <w:b/>
              </w:rPr>
              <w:t xml:space="preserve">  </w:t>
            </w:r>
            <w:r>
              <w:rPr>
                <w:rFonts w:hint="eastAsia"/>
                <w:b/>
              </w:rPr>
              <w:t>目</w:t>
            </w:r>
          </w:p>
        </w:tc>
        <w:tc>
          <w:tcPr>
            <w:tcW w:w="1206" w:type="dxa"/>
            <w:vAlign w:val="center"/>
          </w:tcPr>
          <w:p w14:paraId="454F7A5B" w14:textId="77777777" w:rsidR="00937DB8" w:rsidRDefault="00550566">
            <w:pPr>
              <w:pStyle w:val="af8"/>
              <w:spacing w:before="160" w:line="240" w:lineRule="auto"/>
              <w:jc w:val="center"/>
              <w:rPr>
                <w:b/>
              </w:rPr>
            </w:pPr>
            <w:r>
              <w:rPr>
                <w:rFonts w:hint="eastAsia"/>
                <w:b/>
              </w:rPr>
              <w:t>截至</w:t>
            </w:r>
            <w:r>
              <w:rPr>
                <w:b/>
              </w:rPr>
              <w:t>2021</w:t>
            </w:r>
            <w:r>
              <w:rPr>
                <w:rFonts w:hint="eastAsia"/>
                <w:b/>
              </w:rPr>
              <w:t>年末</w:t>
            </w:r>
          </w:p>
        </w:tc>
        <w:tc>
          <w:tcPr>
            <w:tcW w:w="1207" w:type="dxa"/>
            <w:vAlign w:val="center"/>
          </w:tcPr>
          <w:p w14:paraId="1515DF89" w14:textId="77777777" w:rsidR="00937DB8" w:rsidRDefault="00550566">
            <w:pPr>
              <w:pStyle w:val="af8"/>
              <w:spacing w:before="160" w:line="240" w:lineRule="auto"/>
              <w:jc w:val="center"/>
              <w:rPr>
                <w:b/>
              </w:rPr>
            </w:pPr>
            <w:r>
              <w:rPr>
                <w:rFonts w:hint="eastAsia"/>
                <w:b/>
              </w:rPr>
              <w:t>截至</w:t>
            </w:r>
            <w:r>
              <w:rPr>
                <w:rFonts w:hint="eastAsia"/>
                <w:b/>
              </w:rPr>
              <w:t>20</w:t>
            </w:r>
            <w:r>
              <w:rPr>
                <w:b/>
              </w:rPr>
              <w:t>20</w:t>
            </w:r>
            <w:r>
              <w:rPr>
                <w:rFonts w:hint="eastAsia"/>
                <w:b/>
              </w:rPr>
              <w:t>年末</w:t>
            </w:r>
          </w:p>
        </w:tc>
        <w:tc>
          <w:tcPr>
            <w:tcW w:w="1206" w:type="dxa"/>
            <w:vAlign w:val="center"/>
          </w:tcPr>
          <w:p w14:paraId="032D4285" w14:textId="77777777" w:rsidR="00937DB8" w:rsidRDefault="00550566">
            <w:pPr>
              <w:pStyle w:val="af8"/>
              <w:spacing w:before="160" w:line="240" w:lineRule="auto"/>
              <w:jc w:val="center"/>
              <w:rPr>
                <w:b/>
              </w:rPr>
            </w:pPr>
            <w:r>
              <w:rPr>
                <w:rFonts w:hint="eastAsia"/>
                <w:b/>
              </w:rPr>
              <w:t>截至</w:t>
            </w:r>
            <w:r>
              <w:rPr>
                <w:rFonts w:hint="eastAsia"/>
                <w:b/>
              </w:rPr>
              <w:t>201</w:t>
            </w:r>
            <w:r>
              <w:rPr>
                <w:b/>
              </w:rPr>
              <w:t>9</w:t>
            </w:r>
            <w:r>
              <w:rPr>
                <w:rFonts w:hint="eastAsia"/>
                <w:b/>
              </w:rPr>
              <w:t>年末</w:t>
            </w:r>
          </w:p>
        </w:tc>
        <w:tc>
          <w:tcPr>
            <w:tcW w:w="1207" w:type="dxa"/>
            <w:vAlign w:val="center"/>
          </w:tcPr>
          <w:p w14:paraId="7A5DA12F" w14:textId="77777777" w:rsidR="00937DB8" w:rsidRDefault="00550566">
            <w:pPr>
              <w:pStyle w:val="af8"/>
              <w:spacing w:before="160" w:line="240" w:lineRule="auto"/>
              <w:jc w:val="center"/>
              <w:rPr>
                <w:b/>
              </w:rPr>
            </w:pPr>
            <w:r>
              <w:rPr>
                <w:rFonts w:hint="eastAsia"/>
                <w:b/>
              </w:rPr>
              <w:t>截至</w:t>
            </w:r>
            <w:r>
              <w:rPr>
                <w:rFonts w:hint="eastAsia"/>
                <w:b/>
              </w:rPr>
              <w:t>201</w:t>
            </w:r>
            <w:r>
              <w:rPr>
                <w:b/>
              </w:rPr>
              <w:t>8</w:t>
            </w:r>
            <w:r>
              <w:rPr>
                <w:rFonts w:hint="eastAsia"/>
                <w:b/>
              </w:rPr>
              <w:t>年末</w:t>
            </w:r>
          </w:p>
        </w:tc>
        <w:tc>
          <w:tcPr>
            <w:tcW w:w="1207" w:type="dxa"/>
            <w:vAlign w:val="center"/>
          </w:tcPr>
          <w:p w14:paraId="74FD831B" w14:textId="77777777" w:rsidR="00937DB8" w:rsidRDefault="00550566">
            <w:pPr>
              <w:pStyle w:val="af8"/>
              <w:spacing w:before="160" w:line="240" w:lineRule="auto"/>
              <w:jc w:val="center"/>
              <w:rPr>
                <w:b/>
              </w:rPr>
            </w:pPr>
            <w:r>
              <w:rPr>
                <w:rFonts w:hint="eastAsia"/>
                <w:b/>
              </w:rPr>
              <w:t>截至</w:t>
            </w:r>
            <w:r>
              <w:rPr>
                <w:rFonts w:hint="eastAsia"/>
                <w:b/>
              </w:rPr>
              <w:t>201</w:t>
            </w:r>
            <w:r>
              <w:rPr>
                <w:b/>
              </w:rPr>
              <w:t>7</w:t>
            </w:r>
            <w:r>
              <w:rPr>
                <w:rFonts w:hint="eastAsia"/>
                <w:b/>
              </w:rPr>
              <w:t>年末</w:t>
            </w:r>
          </w:p>
        </w:tc>
      </w:tr>
      <w:tr w:rsidR="00937DB8" w14:paraId="1F121D72" w14:textId="77777777">
        <w:trPr>
          <w:trHeight w:val="20"/>
        </w:trPr>
        <w:tc>
          <w:tcPr>
            <w:tcW w:w="2263" w:type="dxa"/>
            <w:vAlign w:val="center"/>
          </w:tcPr>
          <w:p w14:paraId="38F4C568" w14:textId="77777777" w:rsidR="00937DB8" w:rsidRDefault="00550566">
            <w:pPr>
              <w:pStyle w:val="af8"/>
              <w:spacing w:before="160" w:line="260" w:lineRule="auto"/>
            </w:pPr>
            <w:r>
              <w:rPr>
                <w:rFonts w:hint="eastAsia"/>
              </w:rPr>
              <w:t>资产总额</w:t>
            </w:r>
          </w:p>
        </w:tc>
        <w:tc>
          <w:tcPr>
            <w:tcW w:w="1206" w:type="dxa"/>
            <w:shd w:val="clear" w:color="auto" w:fill="FFFFFF" w:themeFill="background1"/>
            <w:vAlign w:val="center"/>
          </w:tcPr>
          <w:p w14:paraId="21460531" w14:textId="77777777" w:rsidR="00937DB8" w:rsidRDefault="00550566">
            <w:pPr>
              <w:pStyle w:val="af8"/>
              <w:spacing w:before="160" w:line="260" w:lineRule="auto"/>
              <w:jc w:val="right"/>
            </w:pPr>
            <w:r>
              <w:rPr>
                <w:rFonts w:hint="eastAsia"/>
                <w:color w:val="000000"/>
                <w:szCs w:val="21"/>
              </w:rPr>
              <w:t>1</w:t>
            </w:r>
            <w:r>
              <w:rPr>
                <w:color w:val="000000"/>
                <w:szCs w:val="21"/>
              </w:rPr>
              <w:t>18.00</w:t>
            </w:r>
          </w:p>
        </w:tc>
        <w:tc>
          <w:tcPr>
            <w:tcW w:w="1207" w:type="dxa"/>
            <w:shd w:val="clear" w:color="auto" w:fill="FFFFFF" w:themeFill="background1"/>
            <w:vAlign w:val="center"/>
          </w:tcPr>
          <w:p w14:paraId="1641FD8C" w14:textId="77777777" w:rsidR="00937DB8" w:rsidRDefault="00550566">
            <w:pPr>
              <w:pStyle w:val="af8"/>
              <w:spacing w:before="160" w:line="260" w:lineRule="auto"/>
              <w:jc w:val="right"/>
            </w:pPr>
            <w:r>
              <w:rPr>
                <w:color w:val="000000"/>
                <w:szCs w:val="21"/>
              </w:rPr>
              <w:t>110.55</w:t>
            </w:r>
          </w:p>
        </w:tc>
        <w:tc>
          <w:tcPr>
            <w:tcW w:w="1206" w:type="dxa"/>
            <w:shd w:val="clear" w:color="auto" w:fill="FFFFFF" w:themeFill="background1"/>
            <w:vAlign w:val="center"/>
          </w:tcPr>
          <w:p w14:paraId="7CA8A80A" w14:textId="77777777" w:rsidR="00937DB8" w:rsidRDefault="00550566">
            <w:pPr>
              <w:pStyle w:val="af8"/>
              <w:spacing w:before="160" w:line="260" w:lineRule="auto"/>
              <w:jc w:val="right"/>
            </w:pPr>
            <w:r>
              <w:rPr>
                <w:color w:val="000000"/>
                <w:szCs w:val="21"/>
              </w:rPr>
              <w:t>110.93</w:t>
            </w:r>
          </w:p>
        </w:tc>
        <w:tc>
          <w:tcPr>
            <w:tcW w:w="1207" w:type="dxa"/>
            <w:shd w:val="clear" w:color="auto" w:fill="FFFFFF" w:themeFill="background1"/>
            <w:vAlign w:val="center"/>
          </w:tcPr>
          <w:p w14:paraId="6D439312" w14:textId="77777777" w:rsidR="00937DB8" w:rsidRDefault="00550566">
            <w:pPr>
              <w:pStyle w:val="af8"/>
              <w:spacing w:before="160" w:line="260" w:lineRule="auto"/>
              <w:jc w:val="right"/>
              <w:rPr>
                <w:color w:val="000000"/>
                <w:szCs w:val="21"/>
              </w:rPr>
            </w:pPr>
            <w:r>
              <w:rPr>
                <w:color w:val="000000"/>
                <w:szCs w:val="21"/>
              </w:rPr>
              <w:t>113.79</w:t>
            </w:r>
          </w:p>
        </w:tc>
        <w:tc>
          <w:tcPr>
            <w:tcW w:w="1207" w:type="dxa"/>
            <w:shd w:val="clear" w:color="auto" w:fill="FFFFFF" w:themeFill="background1"/>
            <w:vAlign w:val="center"/>
          </w:tcPr>
          <w:p w14:paraId="546E1B17" w14:textId="77777777" w:rsidR="00937DB8" w:rsidRDefault="00550566">
            <w:pPr>
              <w:pStyle w:val="af8"/>
              <w:spacing w:before="160" w:line="260" w:lineRule="auto"/>
              <w:jc w:val="right"/>
              <w:rPr>
                <w:color w:val="000000"/>
                <w:szCs w:val="21"/>
              </w:rPr>
            </w:pPr>
            <w:r>
              <w:rPr>
                <w:rFonts w:hint="eastAsia"/>
                <w:color w:val="000000"/>
                <w:szCs w:val="21"/>
              </w:rPr>
              <w:t>123.13</w:t>
            </w:r>
          </w:p>
        </w:tc>
      </w:tr>
      <w:tr w:rsidR="00937DB8" w14:paraId="63A71A33" w14:textId="77777777">
        <w:trPr>
          <w:trHeight w:val="20"/>
        </w:trPr>
        <w:tc>
          <w:tcPr>
            <w:tcW w:w="2263" w:type="dxa"/>
            <w:vAlign w:val="center"/>
          </w:tcPr>
          <w:p w14:paraId="15005AF6" w14:textId="77777777" w:rsidR="00937DB8" w:rsidRDefault="00550566">
            <w:pPr>
              <w:pStyle w:val="af8"/>
              <w:spacing w:before="160" w:line="260" w:lineRule="auto"/>
            </w:pPr>
            <w:r>
              <w:rPr>
                <w:rFonts w:hint="eastAsia"/>
              </w:rPr>
              <w:t>净资产</w:t>
            </w:r>
          </w:p>
        </w:tc>
        <w:tc>
          <w:tcPr>
            <w:tcW w:w="1206" w:type="dxa"/>
            <w:shd w:val="clear" w:color="auto" w:fill="FFFFFF" w:themeFill="background1"/>
            <w:vAlign w:val="center"/>
          </w:tcPr>
          <w:p w14:paraId="49AE39DA" w14:textId="77777777" w:rsidR="00937DB8" w:rsidRDefault="00550566">
            <w:pPr>
              <w:pStyle w:val="af8"/>
              <w:spacing w:before="160" w:line="260" w:lineRule="auto"/>
              <w:jc w:val="right"/>
            </w:pPr>
            <w:r>
              <w:rPr>
                <w:rFonts w:hint="eastAsia"/>
                <w:color w:val="000000"/>
                <w:szCs w:val="21"/>
              </w:rPr>
              <w:t>6</w:t>
            </w:r>
            <w:r>
              <w:rPr>
                <w:color w:val="000000"/>
                <w:szCs w:val="21"/>
              </w:rPr>
              <w:t>1.46</w:t>
            </w:r>
          </w:p>
        </w:tc>
        <w:tc>
          <w:tcPr>
            <w:tcW w:w="1207" w:type="dxa"/>
            <w:shd w:val="clear" w:color="auto" w:fill="FFFFFF" w:themeFill="background1"/>
            <w:vAlign w:val="center"/>
          </w:tcPr>
          <w:p w14:paraId="3BEE39A9" w14:textId="77777777" w:rsidR="00937DB8" w:rsidRDefault="00550566">
            <w:pPr>
              <w:pStyle w:val="af8"/>
              <w:spacing w:before="160" w:line="260" w:lineRule="auto"/>
              <w:jc w:val="right"/>
            </w:pPr>
            <w:r>
              <w:rPr>
                <w:color w:val="000000"/>
                <w:szCs w:val="21"/>
              </w:rPr>
              <w:t>51.93</w:t>
            </w:r>
          </w:p>
        </w:tc>
        <w:tc>
          <w:tcPr>
            <w:tcW w:w="1206" w:type="dxa"/>
            <w:shd w:val="clear" w:color="auto" w:fill="FFFFFF" w:themeFill="background1"/>
            <w:vAlign w:val="center"/>
          </w:tcPr>
          <w:p w14:paraId="3D26DD97" w14:textId="77777777" w:rsidR="00937DB8" w:rsidRDefault="00550566">
            <w:pPr>
              <w:pStyle w:val="af8"/>
              <w:spacing w:before="160" w:line="260" w:lineRule="auto"/>
              <w:jc w:val="right"/>
            </w:pPr>
            <w:r>
              <w:rPr>
                <w:color w:val="000000"/>
                <w:szCs w:val="21"/>
              </w:rPr>
              <w:t>61.63</w:t>
            </w:r>
          </w:p>
        </w:tc>
        <w:tc>
          <w:tcPr>
            <w:tcW w:w="1207" w:type="dxa"/>
            <w:shd w:val="clear" w:color="auto" w:fill="FFFFFF" w:themeFill="background1"/>
            <w:vAlign w:val="center"/>
          </w:tcPr>
          <w:p w14:paraId="170FB17D" w14:textId="77777777" w:rsidR="00937DB8" w:rsidRDefault="00550566">
            <w:pPr>
              <w:pStyle w:val="af8"/>
              <w:spacing w:before="160" w:line="260" w:lineRule="auto"/>
              <w:jc w:val="right"/>
              <w:rPr>
                <w:color w:val="000000"/>
                <w:szCs w:val="21"/>
              </w:rPr>
            </w:pPr>
            <w:r>
              <w:rPr>
                <w:color w:val="000000"/>
                <w:szCs w:val="21"/>
              </w:rPr>
              <w:t>58.38</w:t>
            </w:r>
          </w:p>
        </w:tc>
        <w:tc>
          <w:tcPr>
            <w:tcW w:w="1207" w:type="dxa"/>
            <w:shd w:val="clear" w:color="auto" w:fill="FFFFFF" w:themeFill="background1"/>
            <w:vAlign w:val="center"/>
          </w:tcPr>
          <w:p w14:paraId="5018D4C3" w14:textId="77777777" w:rsidR="00937DB8" w:rsidRDefault="00550566">
            <w:pPr>
              <w:pStyle w:val="af8"/>
              <w:spacing w:before="160" w:line="260" w:lineRule="auto"/>
              <w:jc w:val="right"/>
              <w:rPr>
                <w:color w:val="000000"/>
                <w:szCs w:val="21"/>
              </w:rPr>
            </w:pPr>
            <w:r>
              <w:rPr>
                <w:color w:val="000000"/>
                <w:szCs w:val="21"/>
              </w:rPr>
              <w:t>50.26</w:t>
            </w:r>
          </w:p>
        </w:tc>
      </w:tr>
      <w:tr w:rsidR="00937DB8" w14:paraId="7B9AC455" w14:textId="77777777">
        <w:trPr>
          <w:trHeight w:val="20"/>
        </w:trPr>
        <w:tc>
          <w:tcPr>
            <w:tcW w:w="2263" w:type="dxa"/>
            <w:vAlign w:val="center"/>
          </w:tcPr>
          <w:p w14:paraId="1CA4FCCF" w14:textId="77777777" w:rsidR="00937DB8" w:rsidRDefault="00550566">
            <w:pPr>
              <w:pStyle w:val="af8"/>
              <w:spacing w:before="160" w:line="260" w:lineRule="auto"/>
              <w:rPr>
                <w:b/>
              </w:rPr>
            </w:pPr>
            <w:r>
              <w:rPr>
                <w:rFonts w:hint="eastAsia"/>
                <w:b/>
              </w:rPr>
              <w:t>项</w:t>
            </w:r>
            <w:r>
              <w:rPr>
                <w:rFonts w:hint="eastAsia"/>
                <w:b/>
              </w:rPr>
              <w:t xml:space="preserve">  </w:t>
            </w:r>
            <w:r>
              <w:rPr>
                <w:rFonts w:hint="eastAsia"/>
                <w:b/>
              </w:rPr>
              <w:t>目</w:t>
            </w:r>
          </w:p>
        </w:tc>
        <w:tc>
          <w:tcPr>
            <w:tcW w:w="1206" w:type="dxa"/>
            <w:vAlign w:val="center"/>
          </w:tcPr>
          <w:p w14:paraId="0083425B" w14:textId="77777777" w:rsidR="00937DB8" w:rsidRDefault="00550566">
            <w:pPr>
              <w:pStyle w:val="af8"/>
              <w:spacing w:before="160" w:line="260" w:lineRule="auto"/>
              <w:jc w:val="center"/>
              <w:rPr>
                <w:b/>
              </w:rPr>
            </w:pPr>
            <w:r>
              <w:rPr>
                <w:b/>
              </w:rPr>
              <w:t>2021</w:t>
            </w:r>
            <w:r>
              <w:rPr>
                <w:rFonts w:hint="eastAsia"/>
                <w:b/>
              </w:rPr>
              <w:t>年度</w:t>
            </w:r>
          </w:p>
        </w:tc>
        <w:tc>
          <w:tcPr>
            <w:tcW w:w="1207" w:type="dxa"/>
            <w:vAlign w:val="center"/>
          </w:tcPr>
          <w:p w14:paraId="46955687" w14:textId="77777777" w:rsidR="00937DB8" w:rsidRDefault="00550566">
            <w:pPr>
              <w:pStyle w:val="af8"/>
              <w:spacing w:before="160" w:line="260" w:lineRule="auto"/>
              <w:jc w:val="center"/>
              <w:rPr>
                <w:b/>
              </w:rPr>
            </w:pPr>
            <w:r>
              <w:rPr>
                <w:rFonts w:hint="eastAsia"/>
                <w:b/>
              </w:rPr>
              <w:t>20</w:t>
            </w:r>
            <w:r>
              <w:rPr>
                <w:b/>
              </w:rPr>
              <w:t>20</w:t>
            </w:r>
            <w:r>
              <w:rPr>
                <w:rFonts w:hint="eastAsia"/>
                <w:b/>
              </w:rPr>
              <w:t>年度</w:t>
            </w:r>
          </w:p>
        </w:tc>
        <w:tc>
          <w:tcPr>
            <w:tcW w:w="1206" w:type="dxa"/>
            <w:vAlign w:val="center"/>
          </w:tcPr>
          <w:p w14:paraId="6A255F18" w14:textId="77777777" w:rsidR="00937DB8" w:rsidRDefault="00550566">
            <w:pPr>
              <w:pStyle w:val="af8"/>
              <w:spacing w:before="160" w:line="260" w:lineRule="auto"/>
              <w:jc w:val="center"/>
              <w:rPr>
                <w:b/>
              </w:rPr>
            </w:pPr>
            <w:r>
              <w:rPr>
                <w:rFonts w:hint="eastAsia"/>
                <w:b/>
              </w:rPr>
              <w:t>201</w:t>
            </w:r>
            <w:r>
              <w:rPr>
                <w:b/>
              </w:rPr>
              <w:t>9</w:t>
            </w:r>
            <w:r>
              <w:rPr>
                <w:rFonts w:hint="eastAsia"/>
                <w:b/>
              </w:rPr>
              <w:t>年度</w:t>
            </w:r>
          </w:p>
        </w:tc>
        <w:tc>
          <w:tcPr>
            <w:tcW w:w="1207" w:type="dxa"/>
            <w:vAlign w:val="center"/>
          </w:tcPr>
          <w:p w14:paraId="36BE1029" w14:textId="77777777" w:rsidR="00937DB8" w:rsidRDefault="00550566">
            <w:pPr>
              <w:pStyle w:val="af8"/>
              <w:spacing w:before="160" w:line="260" w:lineRule="auto"/>
              <w:jc w:val="center"/>
              <w:rPr>
                <w:b/>
              </w:rPr>
            </w:pPr>
            <w:r>
              <w:rPr>
                <w:rFonts w:hint="eastAsia"/>
                <w:b/>
              </w:rPr>
              <w:t>2018</w:t>
            </w:r>
            <w:r>
              <w:rPr>
                <w:rFonts w:hint="eastAsia"/>
                <w:b/>
              </w:rPr>
              <w:t>年度</w:t>
            </w:r>
          </w:p>
        </w:tc>
        <w:tc>
          <w:tcPr>
            <w:tcW w:w="1207" w:type="dxa"/>
            <w:vAlign w:val="center"/>
          </w:tcPr>
          <w:p w14:paraId="347EB2B6" w14:textId="77777777" w:rsidR="00937DB8" w:rsidRDefault="00550566">
            <w:pPr>
              <w:pStyle w:val="af8"/>
              <w:spacing w:before="160" w:line="260" w:lineRule="auto"/>
              <w:jc w:val="center"/>
              <w:rPr>
                <w:b/>
              </w:rPr>
            </w:pPr>
            <w:r>
              <w:rPr>
                <w:rFonts w:hint="eastAsia"/>
                <w:b/>
              </w:rPr>
              <w:t>2017</w:t>
            </w:r>
            <w:r>
              <w:rPr>
                <w:rFonts w:hint="eastAsia"/>
                <w:b/>
              </w:rPr>
              <w:t>年度</w:t>
            </w:r>
          </w:p>
        </w:tc>
      </w:tr>
      <w:tr w:rsidR="00937DB8" w14:paraId="4AE7AA6B" w14:textId="77777777">
        <w:trPr>
          <w:trHeight w:val="20"/>
        </w:trPr>
        <w:tc>
          <w:tcPr>
            <w:tcW w:w="2263" w:type="dxa"/>
            <w:vAlign w:val="center"/>
          </w:tcPr>
          <w:p w14:paraId="7B6AF75F" w14:textId="77777777" w:rsidR="00937DB8" w:rsidRDefault="00550566">
            <w:pPr>
              <w:pStyle w:val="af8"/>
              <w:spacing w:before="160" w:line="260" w:lineRule="auto"/>
            </w:pPr>
            <w:r>
              <w:rPr>
                <w:rFonts w:hint="eastAsia"/>
              </w:rPr>
              <w:t>营业收入</w:t>
            </w:r>
          </w:p>
        </w:tc>
        <w:tc>
          <w:tcPr>
            <w:tcW w:w="1206" w:type="dxa"/>
            <w:shd w:val="clear" w:color="auto" w:fill="FFFFFF" w:themeFill="background1"/>
            <w:vAlign w:val="center"/>
          </w:tcPr>
          <w:p w14:paraId="51A0F983" w14:textId="77777777" w:rsidR="00937DB8" w:rsidRDefault="00550566">
            <w:pPr>
              <w:pStyle w:val="af8"/>
              <w:spacing w:before="160" w:line="260" w:lineRule="auto"/>
              <w:jc w:val="right"/>
            </w:pPr>
            <w:r>
              <w:rPr>
                <w:rFonts w:hint="eastAsia"/>
                <w:color w:val="000000"/>
                <w:szCs w:val="21"/>
              </w:rPr>
              <w:t>5</w:t>
            </w:r>
            <w:r>
              <w:rPr>
                <w:color w:val="000000"/>
                <w:szCs w:val="21"/>
              </w:rPr>
              <w:t>4.04</w:t>
            </w:r>
          </w:p>
        </w:tc>
        <w:tc>
          <w:tcPr>
            <w:tcW w:w="1207" w:type="dxa"/>
            <w:shd w:val="clear" w:color="auto" w:fill="FFFFFF" w:themeFill="background1"/>
            <w:vAlign w:val="center"/>
          </w:tcPr>
          <w:p w14:paraId="2790F620" w14:textId="77777777" w:rsidR="00937DB8" w:rsidRDefault="00550566">
            <w:pPr>
              <w:pStyle w:val="af8"/>
              <w:spacing w:before="160" w:line="260" w:lineRule="auto"/>
              <w:jc w:val="right"/>
            </w:pPr>
            <w:r>
              <w:rPr>
                <w:color w:val="000000"/>
                <w:szCs w:val="21"/>
              </w:rPr>
              <w:t>34.73</w:t>
            </w:r>
          </w:p>
        </w:tc>
        <w:tc>
          <w:tcPr>
            <w:tcW w:w="1206" w:type="dxa"/>
            <w:vAlign w:val="center"/>
          </w:tcPr>
          <w:p w14:paraId="7F3EF3CD" w14:textId="77777777" w:rsidR="00937DB8" w:rsidRDefault="00550566">
            <w:pPr>
              <w:pStyle w:val="af8"/>
              <w:spacing w:before="160" w:line="260" w:lineRule="auto"/>
              <w:jc w:val="right"/>
            </w:pPr>
            <w:r>
              <w:rPr>
                <w:color w:val="000000"/>
                <w:szCs w:val="21"/>
              </w:rPr>
              <w:t>44.59</w:t>
            </w:r>
          </w:p>
        </w:tc>
        <w:tc>
          <w:tcPr>
            <w:tcW w:w="1207" w:type="dxa"/>
            <w:shd w:val="clear" w:color="auto" w:fill="FFFFFF" w:themeFill="background1"/>
            <w:vAlign w:val="center"/>
          </w:tcPr>
          <w:p w14:paraId="2D1BF8EF" w14:textId="77777777" w:rsidR="00937DB8" w:rsidRDefault="00550566">
            <w:pPr>
              <w:pStyle w:val="af8"/>
              <w:spacing w:before="160" w:line="260" w:lineRule="auto"/>
              <w:jc w:val="right"/>
              <w:rPr>
                <w:color w:val="000000"/>
                <w:szCs w:val="21"/>
              </w:rPr>
            </w:pPr>
            <w:r>
              <w:rPr>
                <w:rFonts w:hint="eastAsia"/>
                <w:color w:val="000000"/>
                <w:szCs w:val="21"/>
              </w:rPr>
              <w:t>4</w:t>
            </w:r>
            <w:r>
              <w:rPr>
                <w:color w:val="000000"/>
                <w:szCs w:val="21"/>
              </w:rPr>
              <w:t>8.50</w:t>
            </w:r>
          </w:p>
        </w:tc>
        <w:tc>
          <w:tcPr>
            <w:tcW w:w="1207" w:type="dxa"/>
            <w:shd w:val="clear" w:color="auto" w:fill="FFFFFF" w:themeFill="background1"/>
            <w:vAlign w:val="center"/>
          </w:tcPr>
          <w:p w14:paraId="2529AD3C" w14:textId="77777777" w:rsidR="00937DB8" w:rsidRDefault="00550566">
            <w:pPr>
              <w:pStyle w:val="af8"/>
              <w:spacing w:before="160" w:line="260" w:lineRule="auto"/>
              <w:jc w:val="right"/>
              <w:rPr>
                <w:color w:val="000000"/>
                <w:szCs w:val="21"/>
              </w:rPr>
            </w:pPr>
            <w:r>
              <w:rPr>
                <w:rFonts w:hint="eastAsia"/>
                <w:color w:val="000000"/>
                <w:szCs w:val="21"/>
              </w:rPr>
              <w:t>2</w:t>
            </w:r>
            <w:r>
              <w:rPr>
                <w:color w:val="000000"/>
                <w:szCs w:val="21"/>
              </w:rPr>
              <w:t>6.01</w:t>
            </w:r>
          </w:p>
        </w:tc>
      </w:tr>
      <w:tr w:rsidR="00937DB8" w14:paraId="0671A142" w14:textId="77777777">
        <w:trPr>
          <w:trHeight w:val="20"/>
        </w:trPr>
        <w:tc>
          <w:tcPr>
            <w:tcW w:w="2263" w:type="dxa"/>
            <w:vAlign w:val="center"/>
          </w:tcPr>
          <w:p w14:paraId="3481999F" w14:textId="77777777" w:rsidR="00937DB8" w:rsidRDefault="00550566">
            <w:pPr>
              <w:pStyle w:val="af8"/>
              <w:spacing w:before="160" w:line="260" w:lineRule="auto"/>
              <w:rPr>
                <w:szCs w:val="21"/>
              </w:rPr>
            </w:pPr>
            <w:r>
              <w:rPr>
                <w:szCs w:val="21"/>
              </w:rPr>
              <w:t>净利润</w:t>
            </w:r>
            <w:r>
              <w:rPr>
                <w:rFonts w:hint="eastAsia"/>
                <w:szCs w:val="21"/>
              </w:rPr>
              <w:t>（扣除非经常性项目前）</w:t>
            </w:r>
          </w:p>
        </w:tc>
        <w:tc>
          <w:tcPr>
            <w:tcW w:w="1206" w:type="dxa"/>
            <w:shd w:val="clear" w:color="auto" w:fill="FFFFFF" w:themeFill="background1"/>
            <w:vAlign w:val="center"/>
          </w:tcPr>
          <w:p w14:paraId="6AEF3EED" w14:textId="77777777" w:rsidR="00937DB8" w:rsidRDefault="00550566">
            <w:pPr>
              <w:pStyle w:val="af8"/>
              <w:spacing w:before="160" w:line="260" w:lineRule="auto"/>
              <w:jc w:val="right"/>
              <w:rPr>
                <w:color w:val="000000"/>
                <w:szCs w:val="21"/>
              </w:rPr>
            </w:pPr>
            <w:r>
              <w:rPr>
                <w:rFonts w:hint="eastAsia"/>
                <w:color w:val="000000"/>
                <w:szCs w:val="21"/>
              </w:rPr>
              <w:t>8.61</w:t>
            </w:r>
          </w:p>
        </w:tc>
        <w:tc>
          <w:tcPr>
            <w:tcW w:w="1207" w:type="dxa"/>
            <w:shd w:val="clear" w:color="auto" w:fill="FFFFFF" w:themeFill="background1"/>
            <w:vAlign w:val="center"/>
          </w:tcPr>
          <w:p w14:paraId="774E05F3" w14:textId="77777777" w:rsidR="00937DB8" w:rsidRDefault="00550566">
            <w:pPr>
              <w:pStyle w:val="af8"/>
              <w:spacing w:before="160" w:line="260" w:lineRule="auto"/>
              <w:jc w:val="right"/>
              <w:rPr>
                <w:color w:val="000000"/>
                <w:szCs w:val="21"/>
              </w:rPr>
            </w:pPr>
            <w:r>
              <w:rPr>
                <w:rFonts w:hint="eastAsia"/>
                <w:color w:val="000000"/>
                <w:szCs w:val="21"/>
              </w:rPr>
              <w:t>-2.95</w:t>
            </w:r>
          </w:p>
        </w:tc>
        <w:tc>
          <w:tcPr>
            <w:tcW w:w="1206" w:type="dxa"/>
            <w:shd w:val="clear" w:color="auto" w:fill="FFFFFF" w:themeFill="background1"/>
            <w:vAlign w:val="center"/>
          </w:tcPr>
          <w:p w14:paraId="07474539" w14:textId="77777777" w:rsidR="00937DB8" w:rsidRDefault="00550566">
            <w:pPr>
              <w:pStyle w:val="af8"/>
              <w:spacing w:before="160" w:line="260" w:lineRule="auto"/>
              <w:jc w:val="right"/>
              <w:rPr>
                <w:color w:val="000000"/>
                <w:szCs w:val="21"/>
              </w:rPr>
            </w:pPr>
            <w:r>
              <w:rPr>
                <w:rFonts w:hint="eastAsia"/>
                <w:color w:val="000000"/>
                <w:szCs w:val="21"/>
              </w:rPr>
              <w:t>6.80</w:t>
            </w:r>
          </w:p>
        </w:tc>
        <w:tc>
          <w:tcPr>
            <w:tcW w:w="1207" w:type="dxa"/>
            <w:shd w:val="clear" w:color="auto" w:fill="FFFFFF" w:themeFill="background1"/>
            <w:vAlign w:val="center"/>
          </w:tcPr>
          <w:p w14:paraId="54375E9E" w14:textId="77777777" w:rsidR="00937DB8" w:rsidRDefault="00550566">
            <w:pPr>
              <w:pStyle w:val="af8"/>
              <w:spacing w:before="160" w:line="260" w:lineRule="auto"/>
              <w:jc w:val="right"/>
              <w:rPr>
                <w:color w:val="000000"/>
                <w:szCs w:val="21"/>
              </w:rPr>
            </w:pPr>
            <w:r>
              <w:rPr>
                <w:rFonts w:hint="eastAsia"/>
                <w:color w:val="000000"/>
                <w:szCs w:val="21"/>
              </w:rPr>
              <w:t>8.68</w:t>
            </w:r>
          </w:p>
        </w:tc>
        <w:tc>
          <w:tcPr>
            <w:tcW w:w="1207" w:type="dxa"/>
            <w:shd w:val="clear" w:color="auto" w:fill="FFFFFF" w:themeFill="background1"/>
            <w:vAlign w:val="center"/>
          </w:tcPr>
          <w:p w14:paraId="6B35B51A" w14:textId="77777777" w:rsidR="00937DB8" w:rsidRDefault="00550566">
            <w:pPr>
              <w:pStyle w:val="af8"/>
              <w:spacing w:before="160" w:line="260" w:lineRule="auto"/>
              <w:jc w:val="right"/>
              <w:rPr>
                <w:color w:val="000000"/>
                <w:szCs w:val="21"/>
              </w:rPr>
            </w:pPr>
            <w:r>
              <w:rPr>
                <w:rFonts w:hint="eastAsia"/>
                <w:color w:val="000000"/>
                <w:szCs w:val="21"/>
              </w:rPr>
              <w:t>2.11</w:t>
            </w:r>
          </w:p>
        </w:tc>
      </w:tr>
      <w:tr w:rsidR="00937DB8" w14:paraId="3B5F1096" w14:textId="77777777">
        <w:trPr>
          <w:trHeight w:val="20"/>
        </w:trPr>
        <w:tc>
          <w:tcPr>
            <w:tcW w:w="2263" w:type="dxa"/>
            <w:vAlign w:val="center"/>
          </w:tcPr>
          <w:p w14:paraId="5044095D" w14:textId="77777777" w:rsidR="00937DB8" w:rsidRDefault="00550566">
            <w:pPr>
              <w:pStyle w:val="af8"/>
              <w:spacing w:before="160" w:line="260" w:lineRule="auto"/>
            </w:pPr>
            <w:r>
              <w:rPr>
                <w:szCs w:val="21"/>
              </w:rPr>
              <w:t>净利润</w:t>
            </w:r>
            <w:r>
              <w:rPr>
                <w:rFonts w:hint="eastAsia"/>
                <w:szCs w:val="21"/>
              </w:rPr>
              <w:t>（扣除非经常性项目后）</w:t>
            </w:r>
          </w:p>
        </w:tc>
        <w:tc>
          <w:tcPr>
            <w:tcW w:w="1206" w:type="dxa"/>
            <w:shd w:val="clear" w:color="auto" w:fill="FFFFFF" w:themeFill="background1"/>
            <w:vAlign w:val="center"/>
          </w:tcPr>
          <w:p w14:paraId="5D280AF4" w14:textId="77777777" w:rsidR="00937DB8" w:rsidRDefault="00550566">
            <w:pPr>
              <w:pStyle w:val="af8"/>
              <w:spacing w:before="160" w:line="260" w:lineRule="auto"/>
              <w:jc w:val="right"/>
            </w:pPr>
            <w:r>
              <w:rPr>
                <w:rFonts w:hint="eastAsia"/>
                <w:color w:val="000000"/>
                <w:szCs w:val="21"/>
              </w:rPr>
              <w:t>7</w:t>
            </w:r>
            <w:r>
              <w:rPr>
                <w:color w:val="000000"/>
                <w:szCs w:val="21"/>
              </w:rPr>
              <w:t>.91</w:t>
            </w:r>
          </w:p>
        </w:tc>
        <w:tc>
          <w:tcPr>
            <w:tcW w:w="1207" w:type="dxa"/>
            <w:shd w:val="clear" w:color="auto" w:fill="FFFFFF" w:themeFill="background1"/>
            <w:vAlign w:val="center"/>
          </w:tcPr>
          <w:p w14:paraId="64390822" w14:textId="77777777" w:rsidR="00937DB8" w:rsidRDefault="00550566">
            <w:pPr>
              <w:pStyle w:val="af8"/>
              <w:spacing w:before="160" w:line="260" w:lineRule="auto"/>
              <w:jc w:val="right"/>
            </w:pPr>
            <w:r>
              <w:rPr>
                <w:color w:val="000000"/>
                <w:szCs w:val="21"/>
              </w:rPr>
              <w:t>-10.40</w:t>
            </w:r>
          </w:p>
        </w:tc>
        <w:tc>
          <w:tcPr>
            <w:tcW w:w="1206" w:type="dxa"/>
            <w:shd w:val="clear" w:color="auto" w:fill="FFFFFF" w:themeFill="background1"/>
            <w:vAlign w:val="center"/>
          </w:tcPr>
          <w:p w14:paraId="7AF9E3DA" w14:textId="77777777" w:rsidR="00937DB8" w:rsidRDefault="00550566">
            <w:pPr>
              <w:pStyle w:val="af8"/>
              <w:spacing w:before="160" w:line="260" w:lineRule="auto"/>
              <w:jc w:val="right"/>
            </w:pPr>
            <w:r>
              <w:rPr>
                <w:color w:val="000000"/>
                <w:szCs w:val="21"/>
              </w:rPr>
              <w:t>7.19</w:t>
            </w:r>
          </w:p>
        </w:tc>
        <w:tc>
          <w:tcPr>
            <w:tcW w:w="1207" w:type="dxa"/>
            <w:shd w:val="clear" w:color="auto" w:fill="FFFFFF" w:themeFill="background1"/>
            <w:vAlign w:val="center"/>
          </w:tcPr>
          <w:p w14:paraId="5FA72ACA" w14:textId="77777777" w:rsidR="00937DB8" w:rsidRDefault="00550566">
            <w:pPr>
              <w:pStyle w:val="af8"/>
              <w:spacing w:before="160" w:line="260" w:lineRule="auto"/>
              <w:jc w:val="right"/>
              <w:rPr>
                <w:color w:val="000000"/>
                <w:szCs w:val="21"/>
              </w:rPr>
            </w:pPr>
            <w:r>
              <w:rPr>
                <w:color w:val="000000"/>
                <w:szCs w:val="21"/>
              </w:rPr>
              <w:t>8.52</w:t>
            </w:r>
          </w:p>
        </w:tc>
        <w:tc>
          <w:tcPr>
            <w:tcW w:w="1207" w:type="dxa"/>
            <w:shd w:val="clear" w:color="auto" w:fill="FFFFFF" w:themeFill="background1"/>
            <w:vAlign w:val="center"/>
          </w:tcPr>
          <w:p w14:paraId="2B216652" w14:textId="77777777" w:rsidR="00937DB8" w:rsidRDefault="00550566">
            <w:pPr>
              <w:pStyle w:val="af8"/>
              <w:spacing w:before="160" w:line="260" w:lineRule="auto"/>
              <w:jc w:val="right"/>
              <w:rPr>
                <w:color w:val="000000"/>
                <w:szCs w:val="21"/>
              </w:rPr>
            </w:pPr>
            <w:r>
              <w:rPr>
                <w:color w:val="000000"/>
                <w:szCs w:val="21"/>
              </w:rPr>
              <w:t>2.29</w:t>
            </w:r>
          </w:p>
        </w:tc>
      </w:tr>
    </w:tbl>
    <w:p w14:paraId="490C1831"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lastRenderedPageBreak/>
        <w:t>注：兖煤澳洲财务报表按照澳大利亚会计准则进行编制</w:t>
      </w:r>
      <w:r>
        <w:rPr>
          <w:rFonts w:ascii="宋体" w:hAnsi="宋体"/>
          <w:sz w:val="28"/>
          <w:szCs w:val="28"/>
        </w:rPr>
        <w:t>,</w:t>
      </w:r>
      <w:r>
        <w:rPr>
          <w:rFonts w:ascii="宋体" w:hAnsi="宋体" w:hint="eastAsia"/>
          <w:sz w:val="28"/>
          <w:szCs w:val="28"/>
        </w:rPr>
        <w:t>其中：（</w:t>
      </w:r>
      <w:r>
        <w:rPr>
          <w:rFonts w:ascii="宋体" w:hAnsi="宋体"/>
          <w:sz w:val="28"/>
          <w:szCs w:val="28"/>
        </w:rPr>
        <w:t>1</w:t>
      </w:r>
      <w:r>
        <w:rPr>
          <w:rFonts w:ascii="宋体" w:hAnsi="宋体" w:hint="eastAsia"/>
          <w:sz w:val="28"/>
          <w:szCs w:val="28"/>
        </w:rPr>
        <w:t>）</w:t>
      </w:r>
      <w:r>
        <w:rPr>
          <w:rFonts w:ascii="宋体" w:hAnsi="宋体"/>
          <w:sz w:val="28"/>
          <w:szCs w:val="28"/>
        </w:rPr>
        <w:t>2018</w:t>
      </w:r>
      <w:r>
        <w:rPr>
          <w:rFonts w:ascii="宋体" w:hAnsi="宋体" w:hint="eastAsia"/>
          <w:sz w:val="28"/>
          <w:szCs w:val="28"/>
        </w:rPr>
        <w:t>年财务数据中资产总额系重列后数据（因</w:t>
      </w:r>
      <w:r>
        <w:rPr>
          <w:rFonts w:ascii="宋体" w:hAnsi="宋体"/>
          <w:sz w:val="28"/>
          <w:szCs w:val="28"/>
        </w:rPr>
        <w:t>2019</w:t>
      </w:r>
      <w:r>
        <w:rPr>
          <w:rFonts w:ascii="宋体" w:hAnsi="宋体" w:hint="eastAsia"/>
          <w:sz w:val="28"/>
          <w:szCs w:val="28"/>
        </w:rPr>
        <w:t>年</w:t>
      </w:r>
      <w:r>
        <w:rPr>
          <w:rFonts w:ascii="宋体" w:hAnsi="宋体"/>
          <w:sz w:val="28"/>
          <w:szCs w:val="28"/>
        </w:rPr>
        <w:t>1</w:t>
      </w:r>
      <w:r>
        <w:rPr>
          <w:rFonts w:ascii="宋体" w:hAnsi="宋体" w:hint="eastAsia"/>
          <w:sz w:val="28"/>
          <w:szCs w:val="28"/>
        </w:rPr>
        <w:t>月</w:t>
      </w:r>
      <w:r>
        <w:rPr>
          <w:rFonts w:ascii="宋体" w:hAnsi="宋体"/>
          <w:sz w:val="28"/>
          <w:szCs w:val="28"/>
        </w:rPr>
        <w:t>1</w:t>
      </w:r>
      <w:r>
        <w:rPr>
          <w:rFonts w:ascii="宋体" w:hAnsi="宋体" w:hint="eastAsia"/>
          <w:sz w:val="28"/>
          <w:szCs w:val="28"/>
        </w:rPr>
        <w:t>日兖煤澳洲按照会计准则的规定对递延税项资产及负债进行了抵消，故相应对</w:t>
      </w:r>
      <w:r>
        <w:rPr>
          <w:rFonts w:ascii="宋体" w:hAnsi="宋体"/>
          <w:sz w:val="28"/>
          <w:szCs w:val="28"/>
        </w:rPr>
        <w:t>2018</w:t>
      </w:r>
      <w:r>
        <w:rPr>
          <w:rFonts w:ascii="宋体" w:hAnsi="宋体" w:hint="eastAsia"/>
          <w:sz w:val="28"/>
          <w:szCs w:val="28"/>
        </w:rPr>
        <w:t>年</w:t>
      </w:r>
      <w:r>
        <w:rPr>
          <w:rFonts w:ascii="宋体" w:hAnsi="宋体"/>
          <w:sz w:val="28"/>
          <w:szCs w:val="28"/>
        </w:rPr>
        <w:t>12</w:t>
      </w:r>
      <w:r>
        <w:rPr>
          <w:rFonts w:ascii="宋体" w:hAnsi="宋体" w:hint="eastAsia"/>
          <w:sz w:val="28"/>
          <w:szCs w:val="28"/>
        </w:rPr>
        <w:t>月</w:t>
      </w:r>
      <w:r>
        <w:rPr>
          <w:rFonts w:ascii="宋体" w:hAnsi="宋体"/>
          <w:sz w:val="28"/>
          <w:szCs w:val="28"/>
        </w:rPr>
        <w:t>31</w:t>
      </w:r>
      <w:r>
        <w:rPr>
          <w:rFonts w:ascii="宋体" w:hAnsi="宋体" w:hint="eastAsia"/>
          <w:sz w:val="28"/>
          <w:szCs w:val="28"/>
        </w:rPr>
        <w:t>日数据进行了重列），重列前为</w:t>
      </w:r>
      <w:r>
        <w:rPr>
          <w:rFonts w:ascii="宋体" w:hAnsi="宋体"/>
          <w:sz w:val="28"/>
          <w:szCs w:val="28"/>
        </w:rPr>
        <w:t>124.08</w:t>
      </w:r>
      <w:r>
        <w:rPr>
          <w:rFonts w:ascii="宋体" w:hAnsi="宋体" w:hint="eastAsia"/>
          <w:sz w:val="28"/>
          <w:szCs w:val="28"/>
        </w:rPr>
        <w:t>亿澳元；（</w:t>
      </w:r>
      <w:r>
        <w:rPr>
          <w:rFonts w:ascii="宋体" w:hAnsi="宋体"/>
          <w:sz w:val="28"/>
          <w:szCs w:val="28"/>
        </w:rPr>
        <w:t>2</w:t>
      </w:r>
      <w:r>
        <w:rPr>
          <w:rFonts w:ascii="宋体" w:hAnsi="宋体" w:hint="eastAsia"/>
          <w:sz w:val="28"/>
          <w:szCs w:val="28"/>
        </w:rPr>
        <w:t>）</w:t>
      </w:r>
      <w:r>
        <w:rPr>
          <w:rFonts w:ascii="宋体" w:hAnsi="宋体"/>
          <w:sz w:val="28"/>
          <w:szCs w:val="28"/>
        </w:rPr>
        <w:t>2019</w:t>
      </w:r>
      <w:r>
        <w:rPr>
          <w:rFonts w:ascii="宋体" w:hAnsi="宋体" w:hint="eastAsia"/>
          <w:sz w:val="28"/>
          <w:szCs w:val="28"/>
        </w:rPr>
        <w:t>年财务数据中营业收入系重列后数据（因兖煤澳洲在</w:t>
      </w:r>
      <w:r>
        <w:rPr>
          <w:rFonts w:ascii="宋体" w:hAnsi="宋体"/>
          <w:sz w:val="28"/>
          <w:szCs w:val="28"/>
        </w:rPr>
        <w:t>2020</w:t>
      </w:r>
      <w:r>
        <w:rPr>
          <w:rFonts w:ascii="宋体" w:hAnsi="宋体" w:hint="eastAsia"/>
          <w:sz w:val="28"/>
          <w:szCs w:val="28"/>
        </w:rPr>
        <w:t>年度财务报告中，对</w:t>
      </w:r>
      <w:r>
        <w:rPr>
          <w:rFonts w:ascii="宋体" w:hAnsi="宋体"/>
          <w:sz w:val="28"/>
          <w:szCs w:val="28"/>
        </w:rPr>
        <w:t>2019</w:t>
      </w:r>
      <w:r>
        <w:rPr>
          <w:rFonts w:ascii="宋体" w:hAnsi="宋体" w:hint="eastAsia"/>
          <w:sz w:val="28"/>
          <w:szCs w:val="28"/>
        </w:rPr>
        <w:t>年披露的</w:t>
      </w:r>
      <w:r>
        <w:rPr>
          <w:rFonts w:ascii="宋体" w:hAnsi="宋体"/>
          <w:sz w:val="28"/>
          <w:szCs w:val="28"/>
        </w:rPr>
        <w:t>Middlemount Coal Pty Ltd</w:t>
      </w:r>
      <w:r>
        <w:rPr>
          <w:rFonts w:ascii="宋体" w:hAnsi="宋体" w:hint="eastAsia"/>
          <w:sz w:val="28"/>
          <w:szCs w:val="28"/>
        </w:rPr>
        <w:t>特许权使用费收入进行了重新分类调整），重列前为</w:t>
      </w:r>
      <w:r>
        <w:rPr>
          <w:rFonts w:ascii="宋体" w:hAnsi="宋体"/>
          <w:sz w:val="28"/>
          <w:szCs w:val="28"/>
        </w:rPr>
        <w:t>44.60</w:t>
      </w:r>
      <w:r>
        <w:rPr>
          <w:rFonts w:ascii="宋体" w:hAnsi="宋体" w:hint="eastAsia"/>
          <w:sz w:val="28"/>
          <w:szCs w:val="28"/>
        </w:rPr>
        <w:t>亿澳元；（</w:t>
      </w:r>
      <w:r>
        <w:rPr>
          <w:rFonts w:ascii="宋体" w:hAnsi="宋体"/>
          <w:sz w:val="28"/>
          <w:szCs w:val="28"/>
        </w:rPr>
        <w:t>3</w:t>
      </w:r>
      <w:r>
        <w:rPr>
          <w:rFonts w:ascii="宋体" w:hAnsi="宋体" w:hint="eastAsia"/>
          <w:sz w:val="28"/>
          <w:szCs w:val="28"/>
        </w:rPr>
        <w:t>）因疫情、自然灾害及非经营性减值等原因影响，兖煤澳洲于</w:t>
      </w:r>
      <w:r>
        <w:rPr>
          <w:rFonts w:ascii="宋体" w:hAnsi="宋体"/>
          <w:sz w:val="28"/>
          <w:szCs w:val="28"/>
        </w:rPr>
        <w:t>2020</w:t>
      </w:r>
      <w:r>
        <w:rPr>
          <w:rFonts w:ascii="宋体" w:hAnsi="宋体" w:hint="eastAsia"/>
          <w:sz w:val="28"/>
          <w:szCs w:val="28"/>
        </w:rPr>
        <w:t>年出现亏损。</w:t>
      </w:r>
    </w:p>
    <w:p w14:paraId="7008F780" w14:textId="77777777" w:rsidR="00937DB8" w:rsidRDefault="00550566">
      <w:pPr>
        <w:spacing w:line="500" w:lineRule="exact"/>
        <w:ind w:firstLineChars="200" w:firstLine="562"/>
        <w:rPr>
          <w:rFonts w:ascii="宋体" w:hAnsi="宋体"/>
          <w:b/>
          <w:sz w:val="28"/>
          <w:szCs w:val="28"/>
        </w:rPr>
      </w:pPr>
      <w:r>
        <w:rPr>
          <w:rFonts w:ascii="宋体" w:hAnsi="宋体" w:hint="eastAsia"/>
          <w:b/>
          <w:sz w:val="28"/>
          <w:szCs w:val="28"/>
        </w:rPr>
        <w:t>四、本次交易方案的主要内容</w:t>
      </w:r>
    </w:p>
    <w:p w14:paraId="230BD254" w14:textId="77777777" w:rsidR="00937DB8" w:rsidRDefault="00550566">
      <w:pPr>
        <w:spacing w:line="360" w:lineRule="auto"/>
        <w:ind w:firstLineChars="200" w:firstLine="562"/>
        <w:rPr>
          <w:rFonts w:ascii="宋体" w:hAnsi="宋体"/>
          <w:b/>
          <w:sz w:val="28"/>
          <w:szCs w:val="28"/>
        </w:rPr>
      </w:pPr>
      <w:r>
        <w:rPr>
          <w:rFonts w:ascii="宋体" w:hAnsi="宋体" w:hint="eastAsia"/>
          <w:b/>
          <w:sz w:val="28"/>
          <w:szCs w:val="28"/>
        </w:rPr>
        <w:t>（一）交易方式</w:t>
      </w:r>
    </w:p>
    <w:p w14:paraId="1790987D"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在满足所适用的境内外法律法规及上市监管规定要求的前提下，综合考虑市场情况，在前提条件满足或豁免后，公司拟以发行H股可转换债券为对价支付方式，以境内外法律法规及《收购守则》允许的收购结构，增持兖煤澳洲股份。视本次交易完成后情况，如公司届时在兖煤澳洲的持股比例触发相关上市监管规定，可能使兖煤澳洲股份从香港联交所和/或澳交所退市。截至本公告日，本次交易方案尚未最终确定。</w:t>
      </w:r>
    </w:p>
    <w:p w14:paraId="2136C130" w14:textId="77777777" w:rsidR="00937DB8" w:rsidRDefault="00550566">
      <w:pPr>
        <w:spacing w:line="360" w:lineRule="auto"/>
        <w:ind w:firstLineChars="200" w:firstLine="562"/>
        <w:rPr>
          <w:rFonts w:ascii="宋体" w:hAnsi="宋体"/>
          <w:b/>
          <w:sz w:val="28"/>
          <w:szCs w:val="28"/>
        </w:rPr>
      </w:pPr>
      <w:r>
        <w:rPr>
          <w:rFonts w:ascii="宋体" w:hAnsi="宋体" w:hint="eastAsia"/>
          <w:b/>
          <w:sz w:val="28"/>
          <w:szCs w:val="28"/>
        </w:rPr>
        <w:t>（二）交易标的</w:t>
      </w:r>
    </w:p>
    <w:p w14:paraId="4C9E16BE"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本次交易标的为兖煤澳洲已发行股份中除本公司所持股份以外的其他股份（“标的股份”）。截至本公告日，除本公司持有的兖煤澳洲股份外，其他兖煤澳洲已发行的股份数量为</w:t>
      </w:r>
      <w:r>
        <w:rPr>
          <w:rFonts w:ascii="宋体" w:hAnsi="宋体"/>
          <w:sz w:val="28"/>
          <w:szCs w:val="28"/>
        </w:rPr>
        <w:t>498,281,722</w:t>
      </w:r>
      <w:r>
        <w:rPr>
          <w:rFonts w:ascii="宋体" w:hAnsi="宋体" w:hint="eastAsia"/>
          <w:sz w:val="28"/>
          <w:szCs w:val="28"/>
        </w:rPr>
        <w:t>股，占</w:t>
      </w:r>
      <w:r>
        <w:rPr>
          <w:rFonts w:ascii="宋体" w:hAnsi="宋体" w:hint="eastAsia"/>
          <w:sz w:val="28"/>
          <w:szCs w:val="28"/>
        </w:rPr>
        <w:lastRenderedPageBreak/>
        <w:t>兖煤澳洲已发行股份比例约为</w:t>
      </w:r>
      <w:r>
        <w:rPr>
          <w:rFonts w:ascii="宋体" w:hAnsi="宋体"/>
          <w:sz w:val="28"/>
          <w:szCs w:val="28"/>
        </w:rPr>
        <w:t>37.74%</w:t>
      </w:r>
      <w:r>
        <w:rPr>
          <w:rFonts w:ascii="宋体" w:hAnsi="宋体" w:hint="eastAsia"/>
          <w:sz w:val="28"/>
          <w:szCs w:val="28"/>
        </w:rPr>
        <w:t>。</w:t>
      </w:r>
    </w:p>
    <w:p w14:paraId="67DB5BBA" w14:textId="77777777" w:rsidR="00937DB8" w:rsidRDefault="00550566">
      <w:pPr>
        <w:spacing w:line="360" w:lineRule="auto"/>
        <w:ind w:firstLineChars="200" w:firstLine="562"/>
        <w:rPr>
          <w:rFonts w:ascii="宋体" w:hAnsi="宋体"/>
          <w:b/>
          <w:sz w:val="28"/>
          <w:szCs w:val="28"/>
        </w:rPr>
      </w:pPr>
      <w:r>
        <w:rPr>
          <w:rFonts w:ascii="宋体" w:hAnsi="宋体" w:hint="eastAsia"/>
          <w:b/>
          <w:sz w:val="28"/>
          <w:szCs w:val="28"/>
        </w:rPr>
        <w:t>（三）交易价格</w:t>
      </w:r>
    </w:p>
    <w:p w14:paraId="655ACD34"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本次交易建议股东授权的兖煤澳洲股份每股收购价格为3</w:t>
      </w:r>
      <w:r>
        <w:rPr>
          <w:rFonts w:ascii="宋体" w:hAnsi="宋体"/>
          <w:sz w:val="28"/>
          <w:szCs w:val="28"/>
        </w:rPr>
        <w:t>.60</w:t>
      </w:r>
      <w:r>
        <w:rPr>
          <w:rFonts w:ascii="宋体" w:hAnsi="宋体" w:hint="eastAsia"/>
          <w:sz w:val="28"/>
          <w:szCs w:val="28"/>
        </w:rPr>
        <w:t>美元（“本次交易价格”），该价格为本次交易的对价，即获公司收购的每股兖煤澳洲股份所能收到的H股可转换债券本金金额。假设标的股份数量保持不变且最终全部被公司所收购，本次交易对价总额约1</w:t>
      </w:r>
      <w:r>
        <w:rPr>
          <w:rFonts w:ascii="宋体" w:hAnsi="宋体"/>
          <w:sz w:val="28"/>
          <w:szCs w:val="28"/>
        </w:rPr>
        <w:t>7.94</w:t>
      </w:r>
      <w:r>
        <w:rPr>
          <w:rFonts w:ascii="宋体" w:hAnsi="宋体" w:hint="eastAsia"/>
          <w:sz w:val="28"/>
          <w:szCs w:val="28"/>
        </w:rPr>
        <w:t>亿美元。若在对价支付前，兖煤澳洲作出或支付任何现金分红或其他分派，则本次交易价格将相应扣除该等分红或分派的金额。</w:t>
      </w:r>
    </w:p>
    <w:p w14:paraId="677F2D8A"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本次交易价格系公司综合考虑兖煤澳洲资产状况、盈利水平、业务发展等因素所确定。</w:t>
      </w:r>
    </w:p>
    <w:p w14:paraId="1502E552" w14:textId="6B8A4C9E" w:rsidR="00937DB8" w:rsidRDefault="00550566">
      <w:pPr>
        <w:spacing w:line="360" w:lineRule="auto"/>
        <w:ind w:firstLineChars="200" w:firstLine="560"/>
        <w:rPr>
          <w:rFonts w:ascii="宋体" w:hAnsi="宋体"/>
          <w:sz w:val="28"/>
          <w:szCs w:val="28"/>
        </w:rPr>
      </w:pPr>
      <w:r>
        <w:rPr>
          <w:rFonts w:ascii="宋体" w:hAnsi="宋体" w:hint="eastAsia"/>
          <w:sz w:val="28"/>
          <w:szCs w:val="28"/>
        </w:rPr>
        <w:t>本次交易价格每股兖煤澳洲股份3</w:t>
      </w:r>
      <w:r>
        <w:rPr>
          <w:rFonts w:ascii="宋体" w:hAnsi="宋体"/>
          <w:sz w:val="28"/>
          <w:szCs w:val="28"/>
        </w:rPr>
        <w:t>.6</w:t>
      </w:r>
      <w:r>
        <w:rPr>
          <w:rFonts w:ascii="宋体" w:hAnsi="宋体" w:hint="eastAsia"/>
          <w:sz w:val="28"/>
          <w:szCs w:val="28"/>
        </w:rPr>
        <w:t>0美元（折合约2</w:t>
      </w:r>
      <w:r>
        <w:rPr>
          <w:rFonts w:ascii="宋体" w:hAnsi="宋体"/>
          <w:sz w:val="28"/>
          <w:szCs w:val="28"/>
        </w:rPr>
        <w:t>8.26</w:t>
      </w:r>
      <w:r>
        <w:rPr>
          <w:rFonts w:ascii="宋体" w:hAnsi="宋体" w:hint="eastAsia"/>
          <w:sz w:val="28"/>
          <w:szCs w:val="28"/>
        </w:rPr>
        <w:t>港</w:t>
      </w:r>
      <w:r w:rsidR="002C19D1">
        <w:rPr>
          <w:rFonts w:ascii="宋体" w:hAnsi="宋体" w:hint="eastAsia"/>
          <w:sz w:val="28"/>
          <w:szCs w:val="28"/>
        </w:rPr>
        <w:t>元</w:t>
      </w:r>
      <w:r>
        <w:rPr>
          <w:rFonts w:ascii="宋体" w:hAnsi="宋体" w:hint="eastAsia"/>
          <w:sz w:val="28"/>
          <w:szCs w:val="28"/>
        </w:rPr>
        <w:t>）:</w:t>
      </w:r>
    </w:p>
    <w:p w14:paraId="2B243AA1"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1、较兖煤澳洲股份截至2</w:t>
      </w:r>
      <w:r>
        <w:rPr>
          <w:rFonts w:ascii="宋体" w:hAnsi="宋体"/>
          <w:sz w:val="28"/>
          <w:szCs w:val="28"/>
        </w:rPr>
        <w:t>022</w:t>
      </w:r>
      <w:r>
        <w:rPr>
          <w:rFonts w:ascii="宋体" w:hAnsi="宋体" w:hint="eastAsia"/>
          <w:sz w:val="28"/>
          <w:szCs w:val="28"/>
        </w:rPr>
        <w:t>年5月2</w:t>
      </w:r>
      <w:r>
        <w:rPr>
          <w:rFonts w:ascii="宋体" w:hAnsi="宋体"/>
          <w:sz w:val="28"/>
          <w:szCs w:val="28"/>
        </w:rPr>
        <w:t>5</w:t>
      </w:r>
      <w:r>
        <w:rPr>
          <w:rFonts w:ascii="宋体" w:hAnsi="宋体" w:hint="eastAsia"/>
          <w:sz w:val="28"/>
          <w:szCs w:val="28"/>
        </w:rPr>
        <w:t>日（包括当日，下同）前6</w:t>
      </w:r>
      <w:r>
        <w:rPr>
          <w:rFonts w:ascii="宋体" w:hAnsi="宋体"/>
          <w:sz w:val="28"/>
          <w:szCs w:val="28"/>
        </w:rPr>
        <w:t>0</w:t>
      </w:r>
      <w:r>
        <w:rPr>
          <w:rFonts w:ascii="宋体" w:hAnsi="宋体" w:hint="eastAsia"/>
          <w:sz w:val="28"/>
          <w:szCs w:val="28"/>
        </w:rPr>
        <w:t>个交易日在香港联交所平均收盘价（按除息基准）约每股2</w:t>
      </w:r>
      <w:r>
        <w:rPr>
          <w:rFonts w:ascii="宋体" w:hAnsi="宋体"/>
          <w:sz w:val="28"/>
          <w:szCs w:val="28"/>
        </w:rPr>
        <w:t>7.60</w:t>
      </w:r>
      <w:r>
        <w:rPr>
          <w:rFonts w:ascii="宋体" w:hAnsi="宋体" w:hint="eastAsia"/>
          <w:sz w:val="28"/>
          <w:szCs w:val="28"/>
        </w:rPr>
        <w:t>港元溢价约2</w:t>
      </w:r>
      <w:r>
        <w:rPr>
          <w:rFonts w:ascii="宋体" w:hAnsi="宋体"/>
          <w:sz w:val="28"/>
          <w:szCs w:val="28"/>
        </w:rPr>
        <w:t>.38</w:t>
      </w:r>
      <w:r>
        <w:rPr>
          <w:rFonts w:ascii="宋体" w:hAnsi="宋体" w:hint="eastAsia"/>
          <w:sz w:val="28"/>
          <w:szCs w:val="28"/>
        </w:rPr>
        <w:t>%；</w:t>
      </w:r>
    </w:p>
    <w:p w14:paraId="27EA030A" w14:textId="7615526E" w:rsidR="00937DB8" w:rsidRDefault="00550566">
      <w:pPr>
        <w:spacing w:line="360" w:lineRule="auto"/>
        <w:ind w:firstLineChars="200" w:firstLine="560"/>
        <w:rPr>
          <w:rFonts w:ascii="宋体" w:hAnsi="宋体"/>
          <w:sz w:val="28"/>
          <w:szCs w:val="28"/>
        </w:rPr>
      </w:pPr>
      <w:r>
        <w:rPr>
          <w:rFonts w:ascii="宋体" w:hAnsi="宋体" w:hint="eastAsia"/>
          <w:sz w:val="28"/>
          <w:szCs w:val="28"/>
        </w:rPr>
        <w:t>2、较兖煤澳洲股份截至2</w:t>
      </w:r>
      <w:r>
        <w:rPr>
          <w:rFonts w:ascii="宋体" w:hAnsi="宋体"/>
          <w:sz w:val="28"/>
          <w:szCs w:val="28"/>
        </w:rPr>
        <w:t>022</w:t>
      </w:r>
      <w:r>
        <w:rPr>
          <w:rFonts w:ascii="宋体" w:hAnsi="宋体" w:hint="eastAsia"/>
          <w:sz w:val="28"/>
          <w:szCs w:val="28"/>
        </w:rPr>
        <w:t>年5月2</w:t>
      </w:r>
      <w:r>
        <w:rPr>
          <w:rFonts w:ascii="宋体" w:hAnsi="宋体"/>
          <w:sz w:val="28"/>
          <w:szCs w:val="28"/>
        </w:rPr>
        <w:t>5</w:t>
      </w:r>
      <w:r>
        <w:rPr>
          <w:rFonts w:ascii="宋体" w:hAnsi="宋体" w:hint="eastAsia"/>
          <w:sz w:val="28"/>
          <w:szCs w:val="28"/>
        </w:rPr>
        <w:t>日前9</w:t>
      </w:r>
      <w:r>
        <w:rPr>
          <w:rFonts w:ascii="宋体" w:hAnsi="宋体"/>
          <w:sz w:val="28"/>
          <w:szCs w:val="28"/>
        </w:rPr>
        <w:t>0</w:t>
      </w:r>
      <w:r>
        <w:rPr>
          <w:rFonts w:ascii="宋体" w:hAnsi="宋体" w:hint="eastAsia"/>
          <w:sz w:val="28"/>
          <w:szCs w:val="28"/>
        </w:rPr>
        <w:t>个交易日在香港联交所平均收盘价（按除息基准）约每股2</w:t>
      </w:r>
      <w:r>
        <w:rPr>
          <w:rFonts w:ascii="宋体" w:hAnsi="宋体"/>
          <w:sz w:val="28"/>
          <w:szCs w:val="28"/>
        </w:rPr>
        <w:t>3.19</w:t>
      </w:r>
      <w:r w:rsidR="00B1641E">
        <w:rPr>
          <w:rFonts w:ascii="宋体" w:hAnsi="宋体" w:hint="eastAsia"/>
          <w:sz w:val="28"/>
          <w:szCs w:val="28"/>
        </w:rPr>
        <w:t>港元</w:t>
      </w:r>
      <w:r>
        <w:rPr>
          <w:rFonts w:ascii="宋体" w:hAnsi="宋体" w:hint="eastAsia"/>
          <w:sz w:val="28"/>
          <w:szCs w:val="28"/>
        </w:rPr>
        <w:t>溢价约2</w:t>
      </w:r>
      <w:r>
        <w:rPr>
          <w:rFonts w:ascii="宋体" w:hAnsi="宋体"/>
          <w:sz w:val="28"/>
          <w:szCs w:val="28"/>
        </w:rPr>
        <w:t>1.86</w:t>
      </w:r>
      <w:r>
        <w:rPr>
          <w:rFonts w:ascii="宋体" w:hAnsi="宋体" w:hint="eastAsia"/>
          <w:sz w:val="28"/>
          <w:szCs w:val="28"/>
        </w:rPr>
        <w:t>%；</w:t>
      </w:r>
    </w:p>
    <w:p w14:paraId="57835439" w14:textId="3A6A1A25" w:rsidR="00937DB8" w:rsidRDefault="00550566">
      <w:pPr>
        <w:spacing w:line="360" w:lineRule="auto"/>
        <w:ind w:firstLineChars="200" w:firstLine="560"/>
        <w:rPr>
          <w:rFonts w:ascii="宋体" w:hAnsi="宋体"/>
          <w:sz w:val="28"/>
          <w:szCs w:val="28"/>
        </w:rPr>
      </w:pPr>
      <w:r>
        <w:rPr>
          <w:rFonts w:ascii="宋体" w:hAnsi="宋体" w:hint="eastAsia"/>
          <w:sz w:val="28"/>
          <w:szCs w:val="28"/>
        </w:rPr>
        <w:t>3、较兖煤澳洲股份截至2</w:t>
      </w:r>
      <w:r>
        <w:rPr>
          <w:rFonts w:ascii="宋体" w:hAnsi="宋体"/>
          <w:sz w:val="28"/>
          <w:szCs w:val="28"/>
        </w:rPr>
        <w:t>022</w:t>
      </w:r>
      <w:r>
        <w:rPr>
          <w:rFonts w:ascii="宋体" w:hAnsi="宋体" w:hint="eastAsia"/>
          <w:sz w:val="28"/>
          <w:szCs w:val="28"/>
        </w:rPr>
        <w:t>年5月2</w:t>
      </w:r>
      <w:r>
        <w:rPr>
          <w:rFonts w:ascii="宋体" w:hAnsi="宋体"/>
          <w:sz w:val="28"/>
          <w:szCs w:val="28"/>
        </w:rPr>
        <w:t>5</w:t>
      </w:r>
      <w:r>
        <w:rPr>
          <w:rFonts w:ascii="宋体" w:hAnsi="宋体" w:hint="eastAsia"/>
          <w:sz w:val="28"/>
          <w:szCs w:val="28"/>
        </w:rPr>
        <w:t>日前1</w:t>
      </w:r>
      <w:r>
        <w:rPr>
          <w:rFonts w:ascii="宋体" w:hAnsi="宋体"/>
          <w:sz w:val="28"/>
          <w:szCs w:val="28"/>
        </w:rPr>
        <w:t>20</w:t>
      </w:r>
      <w:r>
        <w:rPr>
          <w:rFonts w:ascii="宋体" w:hAnsi="宋体" w:hint="eastAsia"/>
          <w:sz w:val="28"/>
          <w:szCs w:val="28"/>
        </w:rPr>
        <w:t>个交易日在香港联交所平均收盘价（按除息基准）约每股</w:t>
      </w:r>
      <w:r>
        <w:rPr>
          <w:rFonts w:ascii="宋体" w:hAnsi="宋体"/>
          <w:sz w:val="28"/>
          <w:szCs w:val="28"/>
        </w:rPr>
        <w:t>20.72</w:t>
      </w:r>
      <w:r>
        <w:rPr>
          <w:rFonts w:ascii="宋体" w:hAnsi="宋体" w:hint="eastAsia"/>
          <w:sz w:val="28"/>
          <w:szCs w:val="28"/>
        </w:rPr>
        <w:t>港元溢价约3</w:t>
      </w:r>
      <w:r>
        <w:rPr>
          <w:rFonts w:ascii="宋体" w:hAnsi="宋体"/>
          <w:sz w:val="28"/>
          <w:szCs w:val="28"/>
        </w:rPr>
        <w:t>6.36</w:t>
      </w:r>
      <w:r>
        <w:rPr>
          <w:rFonts w:ascii="宋体" w:hAnsi="宋体" w:hint="eastAsia"/>
          <w:sz w:val="28"/>
          <w:szCs w:val="28"/>
        </w:rPr>
        <w:t>%</w:t>
      </w:r>
      <w:r w:rsidR="00B1641E">
        <w:rPr>
          <w:rFonts w:ascii="宋体" w:hAnsi="宋体" w:hint="eastAsia"/>
          <w:sz w:val="28"/>
          <w:szCs w:val="28"/>
        </w:rPr>
        <w:t>。</w:t>
      </w:r>
    </w:p>
    <w:p w14:paraId="6442F462"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本次交易价格每股兖煤澳洲股份3</w:t>
      </w:r>
      <w:r>
        <w:rPr>
          <w:rFonts w:ascii="宋体" w:hAnsi="宋体"/>
          <w:sz w:val="28"/>
          <w:szCs w:val="28"/>
        </w:rPr>
        <w:t>.6</w:t>
      </w:r>
      <w:r>
        <w:rPr>
          <w:rFonts w:ascii="宋体" w:hAnsi="宋体" w:hint="eastAsia"/>
          <w:sz w:val="28"/>
          <w:szCs w:val="28"/>
        </w:rPr>
        <w:t>0美元（折合约5.07澳元）:</w:t>
      </w:r>
    </w:p>
    <w:p w14:paraId="77A64018"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1、较兖煤澳洲股份截至2</w:t>
      </w:r>
      <w:r>
        <w:rPr>
          <w:rFonts w:ascii="宋体" w:hAnsi="宋体"/>
          <w:sz w:val="28"/>
          <w:szCs w:val="28"/>
        </w:rPr>
        <w:t>022</w:t>
      </w:r>
      <w:r>
        <w:rPr>
          <w:rFonts w:ascii="宋体" w:hAnsi="宋体" w:hint="eastAsia"/>
          <w:sz w:val="28"/>
          <w:szCs w:val="28"/>
        </w:rPr>
        <w:t>年5月2</w:t>
      </w:r>
      <w:r>
        <w:rPr>
          <w:rFonts w:ascii="宋体" w:hAnsi="宋体"/>
          <w:sz w:val="28"/>
          <w:szCs w:val="28"/>
        </w:rPr>
        <w:t>5</w:t>
      </w:r>
      <w:r>
        <w:rPr>
          <w:rFonts w:ascii="宋体" w:hAnsi="宋体" w:hint="eastAsia"/>
          <w:sz w:val="28"/>
          <w:szCs w:val="28"/>
        </w:rPr>
        <w:t>日前6</w:t>
      </w:r>
      <w:r>
        <w:rPr>
          <w:rFonts w:ascii="宋体" w:hAnsi="宋体"/>
          <w:sz w:val="28"/>
          <w:szCs w:val="28"/>
        </w:rPr>
        <w:t>0</w:t>
      </w:r>
      <w:r>
        <w:rPr>
          <w:rFonts w:ascii="宋体" w:hAnsi="宋体" w:hint="eastAsia"/>
          <w:sz w:val="28"/>
          <w:szCs w:val="28"/>
        </w:rPr>
        <w:t>个交易日在澳交所平均收盘价（按除息基准）约每股4</w:t>
      </w:r>
      <w:r>
        <w:rPr>
          <w:rFonts w:ascii="宋体" w:hAnsi="宋体"/>
          <w:sz w:val="28"/>
          <w:szCs w:val="28"/>
        </w:rPr>
        <w:t>.87</w:t>
      </w:r>
      <w:r>
        <w:rPr>
          <w:rFonts w:ascii="宋体" w:hAnsi="宋体" w:hint="eastAsia"/>
          <w:sz w:val="28"/>
          <w:szCs w:val="28"/>
        </w:rPr>
        <w:t>澳元溢价约4</w:t>
      </w:r>
      <w:r>
        <w:rPr>
          <w:rFonts w:ascii="宋体" w:hAnsi="宋体"/>
          <w:sz w:val="28"/>
          <w:szCs w:val="28"/>
        </w:rPr>
        <w:t>.08</w:t>
      </w:r>
      <w:r>
        <w:rPr>
          <w:rFonts w:ascii="宋体" w:hAnsi="宋体" w:hint="eastAsia"/>
          <w:sz w:val="28"/>
          <w:szCs w:val="28"/>
        </w:rPr>
        <w:t>%；</w:t>
      </w:r>
    </w:p>
    <w:p w14:paraId="3FF5D985" w14:textId="1379C1B4" w:rsidR="00937DB8" w:rsidRDefault="00550566">
      <w:pPr>
        <w:spacing w:line="360" w:lineRule="auto"/>
        <w:ind w:firstLineChars="200" w:firstLine="560"/>
        <w:rPr>
          <w:rFonts w:ascii="宋体" w:hAnsi="宋体"/>
          <w:sz w:val="28"/>
          <w:szCs w:val="28"/>
        </w:rPr>
      </w:pPr>
      <w:r>
        <w:rPr>
          <w:rFonts w:ascii="宋体" w:hAnsi="宋体" w:hint="eastAsia"/>
          <w:sz w:val="28"/>
          <w:szCs w:val="28"/>
        </w:rPr>
        <w:t>2、较兖煤澳洲股份截至2</w:t>
      </w:r>
      <w:r>
        <w:rPr>
          <w:rFonts w:ascii="宋体" w:hAnsi="宋体"/>
          <w:sz w:val="28"/>
          <w:szCs w:val="28"/>
        </w:rPr>
        <w:t>022</w:t>
      </w:r>
      <w:r>
        <w:rPr>
          <w:rFonts w:ascii="宋体" w:hAnsi="宋体" w:hint="eastAsia"/>
          <w:sz w:val="28"/>
          <w:szCs w:val="28"/>
        </w:rPr>
        <w:t>年5月2</w:t>
      </w:r>
      <w:r>
        <w:rPr>
          <w:rFonts w:ascii="宋体" w:hAnsi="宋体"/>
          <w:sz w:val="28"/>
          <w:szCs w:val="28"/>
        </w:rPr>
        <w:t>5</w:t>
      </w:r>
      <w:r>
        <w:rPr>
          <w:rFonts w:ascii="宋体" w:hAnsi="宋体" w:hint="eastAsia"/>
          <w:sz w:val="28"/>
          <w:szCs w:val="28"/>
        </w:rPr>
        <w:t>日前</w:t>
      </w:r>
      <w:r>
        <w:rPr>
          <w:rFonts w:ascii="宋体" w:hAnsi="宋体"/>
          <w:sz w:val="28"/>
          <w:szCs w:val="28"/>
        </w:rPr>
        <w:t>90</w:t>
      </w:r>
      <w:r>
        <w:rPr>
          <w:rFonts w:ascii="宋体" w:hAnsi="宋体" w:hint="eastAsia"/>
          <w:sz w:val="28"/>
          <w:szCs w:val="28"/>
        </w:rPr>
        <w:t>个交易日在澳交</w:t>
      </w:r>
      <w:r>
        <w:rPr>
          <w:rFonts w:ascii="宋体" w:hAnsi="宋体" w:hint="eastAsia"/>
          <w:sz w:val="28"/>
          <w:szCs w:val="28"/>
        </w:rPr>
        <w:lastRenderedPageBreak/>
        <w:t>所平均收盘价（按除息基准）约每股4</w:t>
      </w:r>
      <w:r>
        <w:rPr>
          <w:rFonts w:ascii="宋体" w:hAnsi="宋体"/>
          <w:sz w:val="28"/>
          <w:szCs w:val="28"/>
        </w:rPr>
        <w:t>.02</w:t>
      </w:r>
      <w:r>
        <w:rPr>
          <w:rFonts w:ascii="宋体" w:hAnsi="宋体" w:hint="eastAsia"/>
          <w:sz w:val="28"/>
          <w:szCs w:val="28"/>
        </w:rPr>
        <w:t>澳元溢价约</w:t>
      </w:r>
      <w:r>
        <w:rPr>
          <w:rFonts w:ascii="宋体" w:hAnsi="宋体"/>
          <w:sz w:val="28"/>
          <w:szCs w:val="28"/>
        </w:rPr>
        <w:t>26.03</w:t>
      </w:r>
      <w:r>
        <w:rPr>
          <w:rFonts w:ascii="宋体" w:hAnsi="宋体" w:hint="eastAsia"/>
          <w:sz w:val="28"/>
          <w:szCs w:val="28"/>
        </w:rPr>
        <w:t>%；</w:t>
      </w:r>
    </w:p>
    <w:p w14:paraId="55A6A672"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3、较兖煤澳洲股份截至2</w:t>
      </w:r>
      <w:r>
        <w:rPr>
          <w:rFonts w:ascii="宋体" w:hAnsi="宋体"/>
          <w:sz w:val="28"/>
          <w:szCs w:val="28"/>
        </w:rPr>
        <w:t>022</w:t>
      </w:r>
      <w:r>
        <w:rPr>
          <w:rFonts w:ascii="宋体" w:hAnsi="宋体" w:hint="eastAsia"/>
          <w:sz w:val="28"/>
          <w:szCs w:val="28"/>
        </w:rPr>
        <w:t>年5月2</w:t>
      </w:r>
      <w:r>
        <w:rPr>
          <w:rFonts w:ascii="宋体" w:hAnsi="宋体"/>
          <w:sz w:val="28"/>
          <w:szCs w:val="28"/>
        </w:rPr>
        <w:t>5</w:t>
      </w:r>
      <w:r>
        <w:rPr>
          <w:rFonts w:ascii="宋体" w:hAnsi="宋体" w:hint="eastAsia"/>
          <w:sz w:val="28"/>
          <w:szCs w:val="28"/>
        </w:rPr>
        <w:t>日前</w:t>
      </w:r>
      <w:r>
        <w:rPr>
          <w:rFonts w:ascii="宋体" w:hAnsi="宋体"/>
          <w:sz w:val="28"/>
          <w:szCs w:val="28"/>
        </w:rPr>
        <w:t>120</w:t>
      </w:r>
      <w:r>
        <w:rPr>
          <w:rFonts w:ascii="宋体" w:hAnsi="宋体" w:hint="eastAsia"/>
          <w:sz w:val="28"/>
          <w:szCs w:val="28"/>
        </w:rPr>
        <w:t>个交易日在澳交所平均收盘价（按除息基准）约每股</w:t>
      </w:r>
      <w:r>
        <w:rPr>
          <w:rFonts w:ascii="宋体" w:hAnsi="宋体"/>
          <w:sz w:val="28"/>
          <w:szCs w:val="28"/>
        </w:rPr>
        <w:t>3.50</w:t>
      </w:r>
      <w:r>
        <w:rPr>
          <w:rFonts w:ascii="宋体" w:hAnsi="宋体" w:hint="eastAsia"/>
          <w:sz w:val="28"/>
          <w:szCs w:val="28"/>
        </w:rPr>
        <w:t>澳元溢价约</w:t>
      </w:r>
      <w:r>
        <w:rPr>
          <w:rFonts w:ascii="宋体" w:hAnsi="宋体"/>
          <w:sz w:val="28"/>
          <w:szCs w:val="28"/>
        </w:rPr>
        <w:t>44.86</w:t>
      </w:r>
      <w:r>
        <w:rPr>
          <w:rFonts w:ascii="宋体" w:hAnsi="宋体" w:hint="eastAsia"/>
          <w:sz w:val="28"/>
          <w:szCs w:val="28"/>
        </w:rPr>
        <w:t>%。</w:t>
      </w:r>
    </w:p>
    <w:p w14:paraId="754C492A" w14:textId="77777777" w:rsidR="00937DB8" w:rsidRDefault="00550566">
      <w:pPr>
        <w:spacing w:line="360" w:lineRule="auto"/>
        <w:ind w:firstLineChars="200" w:firstLine="562"/>
        <w:rPr>
          <w:rFonts w:ascii="宋体" w:hAnsi="宋体"/>
          <w:b/>
          <w:sz w:val="28"/>
          <w:szCs w:val="28"/>
        </w:rPr>
      </w:pPr>
      <w:r>
        <w:rPr>
          <w:rFonts w:ascii="宋体" w:hAnsi="宋体" w:hint="eastAsia"/>
          <w:b/>
          <w:sz w:val="28"/>
          <w:szCs w:val="28"/>
        </w:rPr>
        <w:t>（四）对价支付</w:t>
      </w:r>
    </w:p>
    <w:p w14:paraId="0A9FC3BA"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本次交易对价的支付方式为公司拟发行的H股可转换债券。本次发行主要条款如下（本次发行的具体方案、规模等尚需最终确定）：</w:t>
      </w:r>
    </w:p>
    <w:p w14:paraId="2E24669A"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1、发行人：兖矿能源集团股份有限公司。</w:t>
      </w:r>
    </w:p>
    <w:p w14:paraId="4580E5FB"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2、发行规模：假设标的股份数量保持不变且最终全部被公司所收购，本次发行的H股可转换债券本金金额约1</w:t>
      </w:r>
      <w:r>
        <w:rPr>
          <w:rFonts w:ascii="宋体" w:hAnsi="宋体"/>
          <w:sz w:val="28"/>
          <w:szCs w:val="28"/>
        </w:rPr>
        <w:t>7.94</w:t>
      </w:r>
      <w:r>
        <w:rPr>
          <w:rFonts w:ascii="宋体" w:hAnsi="宋体" w:hint="eastAsia"/>
          <w:sz w:val="28"/>
          <w:szCs w:val="28"/>
        </w:rPr>
        <w:t>亿美元。</w:t>
      </w:r>
    </w:p>
    <w:p w14:paraId="7D03A552"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 xml:space="preserve">3、债券类型：高级无抵押可转换债券。 </w:t>
      </w:r>
    </w:p>
    <w:p w14:paraId="0FEA4483"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4、可转换股份：公司H股股份，最终发行数量将根据最终确定的转股价定价机制确定。</w:t>
      </w:r>
    </w:p>
    <w:p w14:paraId="295303AC"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5、转股价格：转股价格由公司股东大会批准或授权任意一名董事，在公司H股于综合文件的最后可行日期前20个交易日的加权平均价基础上溢价不低于50%，并根据本次交易届时的市场环境决定；如H股可转换债券发行后，公司发生配股、增发、送股、派息、分立、减资等涉及公司股份事项，转股价格根据届时确定的调整机制予以调整。</w:t>
      </w:r>
    </w:p>
    <w:p w14:paraId="70C0AC28"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6、发行对象：在本次交易中由公司决定向其收购股份的兖煤澳洲股东（本公司除外）。</w:t>
      </w:r>
    </w:p>
    <w:p w14:paraId="2A997018" w14:textId="77777777" w:rsidR="00937DB8" w:rsidRDefault="00550566">
      <w:pPr>
        <w:spacing w:line="360" w:lineRule="auto"/>
        <w:ind w:firstLineChars="200" w:firstLine="560"/>
        <w:rPr>
          <w:rFonts w:ascii="宋体" w:hAnsi="宋体"/>
          <w:sz w:val="28"/>
          <w:szCs w:val="28"/>
        </w:rPr>
      </w:pPr>
      <w:r>
        <w:rPr>
          <w:rFonts w:ascii="宋体" w:hAnsi="宋体"/>
          <w:sz w:val="28"/>
          <w:szCs w:val="28"/>
        </w:rPr>
        <w:t>7</w:t>
      </w:r>
      <w:r>
        <w:rPr>
          <w:rFonts w:ascii="宋体" w:hAnsi="宋体" w:hint="eastAsia"/>
          <w:sz w:val="28"/>
          <w:szCs w:val="28"/>
        </w:rPr>
        <w:t>、募集资金用途：全部用于支付本次交易对价，不涉及现金募集。</w:t>
      </w:r>
    </w:p>
    <w:p w14:paraId="5B6E2268" w14:textId="77777777" w:rsidR="00937DB8" w:rsidRDefault="00550566">
      <w:pPr>
        <w:spacing w:line="360" w:lineRule="auto"/>
        <w:ind w:firstLineChars="200" w:firstLine="560"/>
        <w:rPr>
          <w:rFonts w:ascii="宋体" w:hAnsi="宋体"/>
          <w:sz w:val="28"/>
          <w:szCs w:val="28"/>
        </w:rPr>
      </w:pPr>
      <w:r>
        <w:rPr>
          <w:rFonts w:ascii="宋体" w:hAnsi="宋体"/>
          <w:sz w:val="28"/>
          <w:szCs w:val="28"/>
        </w:rPr>
        <w:lastRenderedPageBreak/>
        <w:t>8</w:t>
      </w:r>
      <w:r>
        <w:rPr>
          <w:rFonts w:ascii="宋体" w:hAnsi="宋体" w:hint="eastAsia"/>
          <w:sz w:val="28"/>
          <w:szCs w:val="28"/>
        </w:rPr>
        <w:t>、债券期限、票面利率、可转债赎回、还本付息方式、债券上市等及其他与本次发行有关的条款，由公司股东大会批准或授权任意一名董事根据本次交易届时的市场环境决定。</w:t>
      </w:r>
    </w:p>
    <w:p w14:paraId="2B2AD9E2" w14:textId="77777777" w:rsidR="00937DB8" w:rsidRDefault="00550566">
      <w:pPr>
        <w:spacing w:line="500" w:lineRule="exact"/>
        <w:ind w:firstLineChars="200" w:firstLine="562"/>
        <w:rPr>
          <w:rFonts w:ascii="宋体" w:hAnsi="宋体"/>
          <w:b/>
          <w:sz w:val="28"/>
          <w:szCs w:val="28"/>
        </w:rPr>
      </w:pPr>
      <w:r>
        <w:rPr>
          <w:rFonts w:ascii="宋体" w:hAnsi="宋体" w:hint="eastAsia"/>
          <w:b/>
          <w:sz w:val="28"/>
          <w:szCs w:val="28"/>
        </w:rPr>
        <w:t>五、本次交易的目的及影响</w:t>
      </w:r>
    </w:p>
    <w:p w14:paraId="25F56E5F"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兖煤澳洲资源储量丰富。截至2</w:t>
      </w:r>
      <w:r>
        <w:rPr>
          <w:rFonts w:ascii="宋体" w:hAnsi="宋体"/>
          <w:sz w:val="28"/>
          <w:szCs w:val="28"/>
        </w:rPr>
        <w:t>021</w:t>
      </w:r>
      <w:r>
        <w:rPr>
          <w:rFonts w:ascii="宋体" w:hAnsi="宋体" w:hint="eastAsia"/>
          <w:sz w:val="28"/>
          <w:szCs w:val="28"/>
        </w:rPr>
        <w:t>年底，兖煤澳洲拥有符合澳大利亚勘查结果、矿产资源与矿石储量报告规范，2012版（JORC规范）的煤炭资源量（口径为煤炭资源探明量、标示量及推断量）60.13亿吨，可销售煤炭储量（口径为可销售证实储量及可能煤炭储量）8.19亿吨。兖煤澳洲目前是澳大利亚最大的煤炭专营公司，2021年生产原煤6,320万吨（以兖煤澳洲持有各矿山的权益按100%计算）、权益可售煤炭3,860万吨，包含动力煤3,110万吨、冶金煤750万吨。兖煤澳洲旗下Hunter Valley Operations矿山、Mount Thorley Warkworth矿山和Moolarben矿山均为开采年限长、成本低、运营成熟的世界级煤炭资产。兖煤澳洲面向国际海运煤市场，主要市场为日本、中国台湾、韩国及新加坡等地区。兖煤澳洲经营情况良好。2017年完成收购力拓下属联合煤炭公司后，经过2018-2019年的整合以及2020年疫情与自然灾害的考验，目前兖煤澳洲运营质量显著提升，2021年实现经审计净利润7.91亿澳元。</w:t>
      </w:r>
    </w:p>
    <w:p w14:paraId="5397FFFD"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通过本次交易，公司将提高在兖煤澳洲的持股比例，公司股东所享有的权益煤炭资源储量、产量和经济利益也将相应增加。兖煤澳洲下属资产在地理位置、煤炭品种、销售市场方面对公司构成有益补充和风险对冲。提高在兖煤澳洲的持股比例，有助于公司进一步加强资</w:t>
      </w:r>
      <w:r>
        <w:rPr>
          <w:rFonts w:ascii="宋体" w:hAnsi="宋体" w:hint="eastAsia"/>
          <w:sz w:val="28"/>
          <w:szCs w:val="28"/>
        </w:rPr>
        <w:lastRenderedPageBreak/>
        <w:t>源整合、增强资产协同，提升核心竞争能力及抗风险能力，实现可持续发展，符合公司及公司股东的长远利益。</w:t>
      </w:r>
    </w:p>
    <w:p w14:paraId="09445FB6" w14:textId="77777777" w:rsidR="00937DB8" w:rsidRDefault="00550566">
      <w:pPr>
        <w:spacing w:line="360" w:lineRule="auto"/>
        <w:ind w:firstLineChars="200" w:firstLine="562"/>
        <w:rPr>
          <w:rFonts w:ascii="宋体" w:hAnsi="宋体"/>
          <w:b/>
          <w:sz w:val="28"/>
          <w:szCs w:val="28"/>
        </w:rPr>
      </w:pPr>
      <w:bookmarkStart w:id="0" w:name="_Hlk87807084"/>
      <w:r>
        <w:rPr>
          <w:rFonts w:ascii="宋体" w:hAnsi="宋体" w:hint="eastAsia"/>
          <w:b/>
          <w:sz w:val="28"/>
          <w:szCs w:val="28"/>
        </w:rPr>
        <w:t>六、本次交易的风险分析</w:t>
      </w:r>
    </w:p>
    <w:p w14:paraId="1F187195" w14:textId="77777777" w:rsidR="00937DB8" w:rsidRDefault="00550566">
      <w:pPr>
        <w:spacing w:line="360" w:lineRule="auto"/>
        <w:ind w:firstLineChars="200" w:firstLine="562"/>
        <w:rPr>
          <w:rFonts w:ascii="宋体" w:hAnsi="宋体"/>
          <w:b/>
          <w:sz w:val="28"/>
          <w:szCs w:val="28"/>
        </w:rPr>
      </w:pPr>
      <w:r>
        <w:rPr>
          <w:rFonts w:ascii="宋体" w:hAnsi="宋体" w:hint="eastAsia"/>
          <w:b/>
          <w:sz w:val="28"/>
          <w:szCs w:val="28"/>
        </w:rPr>
        <w:t>（一）宏观经济与市场价格波动风险</w:t>
      </w:r>
    </w:p>
    <w:p w14:paraId="07CA17E8"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兖煤澳洲主要产品为煤炭，是重要的基础能源，其市场价格不仅受供求变化影响，而且与全球经济状况及相关应用领域发展需求密切相关。此外，煤炭的价格波动一直以来受电力、钢铁、化工等行业的周期活动影响。若上述因素变化导致煤炭价格波动，将对兖煤澳洲产品销售价格带来较大不确定性，可能使兖煤澳洲的财务状况和经营业绩受到不利影响。</w:t>
      </w:r>
    </w:p>
    <w:p w14:paraId="6F03CA4A"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公司将密切关注宏观经济走势及行业政策变化情况，积极主动调整经营计划，提升兖煤澳洲整体抗风险能力。</w:t>
      </w:r>
    </w:p>
    <w:p w14:paraId="7F745CC2" w14:textId="77777777" w:rsidR="00937DB8" w:rsidRDefault="00550566">
      <w:pPr>
        <w:spacing w:line="360" w:lineRule="auto"/>
        <w:ind w:firstLineChars="200" w:firstLine="562"/>
        <w:rPr>
          <w:rFonts w:ascii="宋体" w:hAnsi="宋体"/>
          <w:b/>
          <w:sz w:val="28"/>
          <w:szCs w:val="28"/>
        </w:rPr>
      </w:pPr>
      <w:r>
        <w:rPr>
          <w:rFonts w:ascii="宋体" w:hAnsi="宋体" w:hint="eastAsia"/>
          <w:b/>
          <w:sz w:val="28"/>
          <w:szCs w:val="28"/>
        </w:rPr>
        <w:t>（二）监管审批风险</w:t>
      </w:r>
    </w:p>
    <w:p w14:paraId="2E1783A0"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本次交易尚需履行相关监管审批、备案程序，能否及何时取得相关批准和完成相关备案，均存在一定的不确定性。</w:t>
      </w:r>
    </w:p>
    <w:p w14:paraId="5721626C"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公司将按照有关监管部门的要求及反馈意见提交相关申请文件和补充相关材料，同时与有关监管部门保持密切沟通，力争取得有关监管部门的同意。</w:t>
      </w:r>
    </w:p>
    <w:p w14:paraId="36C9A625" w14:textId="77777777" w:rsidR="00937DB8" w:rsidRDefault="00550566">
      <w:pPr>
        <w:spacing w:line="360" w:lineRule="auto"/>
        <w:ind w:firstLineChars="200" w:firstLine="562"/>
        <w:rPr>
          <w:rFonts w:ascii="宋体" w:hAnsi="宋体"/>
          <w:b/>
          <w:sz w:val="28"/>
          <w:szCs w:val="28"/>
        </w:rPr>
      </w:pPr>
      <w:r>
        <w:rPr>
          <w:rFonts w:ascii="宋体" w:hAnsi="宋体" w:hint="eastAsia"/>
          <w:b/>
          <w:sz w:val="28"/>
          <w:szCs w:val="28"/>
        </w:rPr>
        <w:t>（三）未来兑付本息带来的流动性风险</w:t>
      </w:r>
    </w:p>
    <w:p w14:paraId="70F7BC45"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假设标的股份数量保持不变且最终全部被公司所收购，本次交易对价总额约1</w:t>
      </w:r>
      <w:r>
        <w:rPr>
          <w:rFonts w:ascii="宋体" w:hAnsi="宋体"/>
          <w:sz w:val="28"/>
          <w:szCs w:val="28"/>
        </w:rPr>
        <w:t>7.94</w:t>
      </w:r>
      <w:r>
        <w:rPr>
          <w:rFonts w:ascii="宋体" w:hAnsi="宋体" w:hint="eastAsia"/>
          <w:sz w:val="28"/>
          <w:szCs w:val="28"/>
        </w:rPr>
        <w:t>亿美元。本次交易中，交易对价以公司发行的H股可转换债券形式支付，其后续年度还本付息金额较大。截至2021年</w:t>
      </w:r>
      <w:r>
        <w:rPr>
          <w:rFonts w:ascii="宋体" w:hAnsi="宋体" w:hint="eastAsia"/>
          <w:sz w:val="28"/>
          <w:szCs w:val="28"/>
        </w:rPr>
        <w:lastRenderedPageBreak/>
        <w:t>12月31日，公司货币资金余额为455.72亿元人民币，自有资金储备充足，且公司日常经营活动现金流量流入充足，预计能够覆盖本次交易发行的H股可转换债券的还本付息资金需求。但如果遇到宏观经济波动、行业监管变化、市场需求变动、市场竞争环境变化等突发性情况，则大额资金支付有可能对公司流动性以及日常生产经营造成一定程度的影响。</w:t>
      </w:r>
    </w:p>
    <w:p w14:paraId="6AFE934F"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为此，公司将提前做好资金筹划，以避免届时H股可转换债券本息偿付给公司流动性造成不利影响。同时，公司将持续提升资产质量和运营效率。此外，届时H股可转换债券持有人亦可能选择转为本公司H股股份，从而降低公司对本息偿付的资金压力。</w:t>
      </w:r>
    </w:p>
    <w:p w14:paraId="43661B6F" w14:textId="77777777" w:rsidR="00937DB8" w:rsidRDefault="00550566">
      <w:pPr>
        <w:spacing w:line="360" w:lineRule="auto"/>
        <w:ind w:firstLineChars="200" w:firstLine="562"/>
        <w:rPr>
          <w:rFonts w:ascii="宋体" w:hAnsi="宋体"/>
          <w:b/>
          <w:bCs/>
          <w:sz w:val="28"/>
          <w:szCs w:val="28"/>
        </w:rPr>
      </w:pPr>
      <w:r>
        <w:rPr>
          <w:rFonts w:ascii="宋体" w:hAnsi="宋体" w:hint="eastAsia"/>
          <w:b/>
          <w:bCs/>
          <w:sz w:val="28"/>
          <w:szCs w:val="28"/>
        </w:rPr>
        <w:t>七、本次交易的审批程序和前提条件</w:t>
      </w:r>
    </w:p>
    <w:p w14:paraId="3F375428" w14:textId="77777777" w:rsidR="00937DB8" w:rsidRDefault="00550566">
      <w:pPr>
        <w:spacing w:line="360" w:lineRule="auto"/>
        <w:ind w:firstLineChars="200" w:firstLine="562"/>
        <w:rPr>
          <w:rFonts w:ascii="宋体" w:hAnsi="宋体"/>
          <w:b/>
          <w:sz w:val="28"/>
          <w:szCs w:val="28"/>
        </w:rPr>
      </w:pPr>
      <w:r>
        <w:rPr>
          <w:rFonts w:ascii="宋体" w:hAnsi="宋体" w:hint="eastAsia"/>
          <w:b/>
          <w:sz w:val="28"/>
          <w:szCs w:val="28"/>
        </w:rPr>
        <w:t>（一）董事会审议情况</w:t>
      </w:r>
    </w:p>
    <w:p w14:paraId="48A44C69"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2022年3月3</w:t>
      </w:r>
      <w:r>
        <w:rPr>
          <w:rFonts w:ascii="宋体" w:hAnsi="宋体"/>
          <w:sz w:val="28"/>
          <w:szCs w:val="28"/>
        </w:rPr>
        <w:t>0</w:t>
      </w:r>
      <w:r>
        <w:rPr>
          <w:rFonts w:ascii="宋体" w:hAnsi="宋体" w:hint="eastAsia"/>
          <w:sz w:val="28"/>
          <w:szCs w:val="28"/>
        </w:rPr>
        <w:t>日，公司第八届董事会第二十一次会议审议批准了本次交易的相关议案。公司董事会成员不存在涉及本次交易的关联董事，因此公司董事对本次交易的相关议案无需回避表决。公司董事会成员共11人，出席董事会会议的董事11人，一致同意该议案。参加表决的董事人数符合法定比例，会议的召开及表决合法有效。</w:t>
      </w:r>
    </w:p>
    <w:p w14:paraId="621435BA"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 xml:space="preserve">本次交易的相关议案提交董事会讨论审议前，公司4名独立董事发表事前认可意见，同意将本次交易的相关议案提交董事会讨论审议，并在董事会上发表独立意见如下： </w:t>
      </w:r>
    </w:p>
    <w:p w14:paraId="3C5E1BC1"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1、公司董事会对《关于公司发行H股可转换债券用以收购兖煤澳洲股份的议案》的审议、表决程序符合法律、法规、上市监管规定</w:t>
      </w:r>
      <w:r>
        <w:rPr>
          <w:rFonts w:ascii="宋体" w:hAnsi="宋体" w:hint="eastAsia"/>
          <w:sz w:val="28"/>
          <w:szCs w:val="28"/>
        </w:rPr>
        <w:lastRenderedPageBreak/>
        <w:t>及《公司章程》规定；</w:t>
      </w:r>
    </w:p>
    <w:p w14:paraId="015B8645"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2、公司以发行</w:t>
      </w:r>
      <w:r>
        <w:rPr>
          <w:rFonts w:ascii="宋体" w:hAnsi="宋体"/>
          <w:sz w:val="28"/>
          <w:szCs w:val="28"/>
        </w:rPr>
        <w:t>H股可转换债券</w:t>
      </w:r>
      <w:r>
        <w:rPr>
          <w:rFonts w:ascii="宋体" w:hAnsi="宋体" w:hint="eastAsia"/>
          <w:sz w:val="28"/>
          <w:szCs w:val="28"/>
        </w:rPr>
        <w:t>方式增持兖煤澳洲股份，有利于公司加强对战略资源的控制，立足资源优势，稳固发展目标，进一步提升公司的核心竞争能力，符合公司发展战略和全体股东利益；</w:t>
      </w:r>
    </w:p>
    <w:p w14:paraId="2F3ABFA9"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3、公司就本次交易拟定的交易方式和交易方案按照正常商业条款确定，属于公平合理，符合公司及全体股东利益，不会对公司现在及将来的财务状况、经营成果产生不利影响。</w:t>
      </w:r>
    </w:p>
    <w:p w14:paraId="7BD791E1" w14:textId="77777777" w:rsidR="00937DB8" w:rsidRDefault="00550566">
      <w:pPr>
        <w:spacing w:line="360" w:lineRule="auto"/>
        <w:ind w:firstLineChars="200" w:firstLine="560"/>
        <w:rPr>
          <w:rFonts w:ascii="宋体" w:hAnsi="宋体"/>
          <w:b/>
          <w:sz w:val="28"/>
          <w:szCs w:val="28"/>
        </w:rPr>
      </w:pPr>
      <w:r>
        <w:rPr>
          <w:rFonts w:ascii="宋体" w:hAnsi="宋体" w:hint="eastAsia"/>
          <w:sz w:val="28"/>
          <w:szCs w:val="28"/>
        </w:rPr>
        <w:t>依据《香港联合交易所有限公司证券上市规则》（“《联交所上市规则》”）规定，公司已经设立了由公司全体独立非执行董事组成的独立董事委员会。独立董事委员会将考虑其拟委任的独立财务顾问出具的独立财务顾问意见，并根据《联交所上市规则》就本次交易可能涉及的关连交易是否符合公司及股东的整体利益，条款是否按一般商业条款订立，以及对公司独立股东而言是否公平合理，向公司独立股东提供意见。</w:t>
      </w:r>
    </w:p>
    <w:p w14:paraId="18046821" w14:textId="77777777" w:rsidR="00937DB8" w:rsidRDefault="00550566">
      <w:pPr>
        <w:spacing w:line="360" w:lineRule="auto"/>
        <w:ind w:firstLineChars="200" w:firstLine="562"/>
        <w:rPr>
          <w:rFonts w:ascii="宋体" w:hAnsi="宋体"/>
          <w:b/>
          <w:sz w:val="28"/>
          <w:szCs w:val="28"/>
        </w:rPr>
      </w:pPr>
      <w:r>
        <w:rPr>
          <w:rFonts w:ascii="宋体" w:hAnsi="宋体" w:hint="eastAsia"/>
          <w:b/>
          <w:sz w:val="28"/>
          <w:szCs w:val="28"/>
        </w:rPr>
        <w:t>（二）本次交易尚需取得的批准和满足的前提条件</w:t>
      </w:r>
    </w:p>
    <w:p w14:paraId="7C1B6DC3"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如公司视市场情况最终决定实施本次交易，则本次交易还需取得相关批准并满足以下条件，具体包括：</w:t>
      </w:r>
    </w:p>
    <w:p w14:paraId="434EBF63"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1、本次交易获得公司股东大会、A股类别股东大会及H股类别股东大会批准；</w:t>
      </w:r>
    </w:p>
    <w:p w14:paraId="3F110205"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2、本次交易取得境内外有关政府主管部门和监管部门的批准和备案；</w:t>
      </w:r>
    </w:p>
    <w:p w14:paraId="0A87577B"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3、本次发行及H股可转换债券后续转为公司H股股份取得境内</w:t>
      </w:r>
      <w:r>
        <w:rPr>
          <w:rFonts w:ascii="宋体" w:hAnsi="宋体" w:hint="eastAsia"/>
          <w:sz w:val="28"/>
          <w:szCs w:val="28"/>
        </w:rPr>
        <w:lastRenderedPageBreak/>
        <w:t>外有关政府主管部门和监管部门的批准和备案；</w:t>
      </w:r>
    </w:p>
    <w:p w14:paraId="0533BF1D"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4、公司与兖煤澳洲签订关于股份收购的执行协议；</w:t>
      </w:r>
    </w:p>
    <w:p w14:paraId="2D375C35"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5、本次交易遵守《收购守则》的规定及《联交所上市规则》项下通函、独立财务顾问意见及独立股东批准的规定；及</w:t>
      </w:r>
    </w:p>
    <w:p w14:paraId="3FD91839"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6、满足根据最终实施的本次交易具体方案所确定的其他先决条件。</w:t>
      </w:r>
    </w:p>
    <w:p w14:paraId="06831AAD"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就以上批准及其他先决条件（“先决条件”），截至本公告日，公司尚无法确定能否及何时能够满足。</w:t>
      </w:r>
    </w:p>
    <w:p w14:paraId="6EA31BC3"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除上述先决条件外，如本次交易最终实施，本次交易仍需满足其他相关条件（“其他条件”，与先决条件合称“前提条件”），包括但不限于取得相关监管机构批准和备案、兖煤澳洲未发生《澳大利亚公司法（2001年）》（Cth）第652C条中规定的“特定事项”、香港联交所批准H股可转换债券后续转为公司H股股份在香港联交所上市并交易等。如公司决定最终实施本次交易，公司将在另行向市场披露的公告中披露本次交易的全部条款（包括全部的前提条件）。</w:t>
      </w:r>
    </w:p>
    <w:p w14:paraId="026CFB89"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在法律法规及《收购守则》允许的情况下，公司保留豁免任何前提条件的权利。</w:t>
      </w:r>
    </w:p>
    <w:p w14:paraId="29FA5544" w14:textId="77777777" w:rsidR="00937DB8" w:rsidRDefault="00550566">
      <w:pPr>
        <w:spacing w:line="360" w:lineRule="auto"/>
        <w:ind w:firstLineChars="200" w:firstLine="562"/>
        <w:rPr>
          <w:rFonts w:ascii="宋体" w:hAnsi="宋体"/>
          <w:b/>
          <w:sz w:val="28"/>
          <w:szCs w:val="28"/>
        </w:rPr>
      </w:pPr>
      <w:r>
        <w:rPr>
          <w:rFonts w:ascii="宋体" w:hAnsi="宋体" w:hint="eastAsia"/>
          <w:b/>
          <w:sz w:val="28"/>
          <w:szCs w:val="28"/>
        </w:rPr>
        <w:t>八、备查文件</w:t>
      </w:r>
    </w:p>
    <w:p w14:paraId="03A5E8C7"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（一）兖矿能源集团股份有限公司第八届董事会第二十一次会议决议</w:t>
      </w:r>
    </w:p>
    <w:p w14:paraId="0EDFC0F6"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（二）独立董事事前认可意见及独立意见</w:t>
      </w:r>
    </w:p>
    <w:bookmarkEnd w:id="0"/>
    <w:p w14:paraId="38FA465B" w14:textId="77777777" w:rsidR="00937DB8" w:rsidRDefault="00550566">
      <w:pPr>
        <w:spacing w:line="360" w:lineRule="auto"/>
        <w:ind w:firstLineChars="200" w:firstLine="560"/>
        <w:rPr>
          <w:rFonts w:ascii="宋体" w:hAnsi="宋体"/>
          <w:sz w:val="28"/>
          <w:szCs w:val="28"/>
        </w:rPr>
      </w:pPr>
      <w:r>
        <w:rPr>
          <w:rFonts w:ascii="宋体" w:hAnsi="宋体" w:hint="eastAsia"/>
          <w:sz w:val="28"/>
          <w:szCs w:val="28"/>
        </w:rPr>
        <w:t>特此公告。</w:t>
      </w:r>
    </w:p>
    <w:p w14:paraId="7469D23E" w14:textId="77777777" w:rsidR="00937DB8" w:rsidRDefault="00937DB8">
      <w:pPr>
        <w:spacing w:line="360" w:lineRule="auto"/>
        <w:ind w:firstLineChars="200" w:firstLine="560"/>
        <w:rPr>
          <w:rFonts w:ascii="宋体" w:hAnsi="宋体"/>
          <w:sz w:val="28"/>
          <w:szCs w:val="28"/>
        </w:rPr>
      </w:pPr>
    </w:p>
    <w:p w14:paraId="1AB395C7" w14:textId="77777777" w:rsidR="00937DB8" w:rsidRDefault="00937DB8">
      <w:pPr>
        <w:spacing w:line="360" w:lineRule="auto"/>
        <w:jc w:val="right"/>
        <w:rPr>
          <w:rFonts w:eastAsiaTheme="minorEastAsia"/>
          <w:sz w:val="24"/>
        </w:rPr>
      </w:pPr>
    </w:p>
    <w:p w14:paraId="7685B381" w14:textId="77777777" w:rsidR="00937DB8" w:rsidRDefault="00550566">
      <w:pPr>
        <w:adjustRightInd w:val="0"/>
        <w:snapToGrid w:val="0"/>
        <w:spacing w:line="360" w:lineRule="auto"/>
        <w:ind w:right="280" w:firstLineChars="200" w:firstLine="560"/>
        <w:jc w:val="right"/>
        <w:rPr>
          <w:rFonts w:ascii="宋体" w:hAnsi="宋体"/>
          <w:sz w:val="28"/>
          <w:szCs w:val="20"/>
        </w:rPr>
      </w:pPr>
      <w:r>
        <w:rPr>
          <w:rFonts w:ascii="宋体" w:hAnsi="宋体" w:hint="eastAsia"/>
          <w:sz w:val="28"/>
          <w:szCs w:val="20"/>
        </w:rPr>
        <w:t>兖矿能源集团股份有限公司董事会</w:t>
      </w:r>
    </w:p>
    <w:p w14:paraId="02444F42" w14:textId="77777777" w:rsidR="00937DB8" w:rsidRDefault="00550566">
      <w:pPr>
        <w:adjustRightInd w:val="0"/>
        <w:snapToGrid w:val="0"/>
        <w:spacing w:line="360" w:lineRule="auto"/>
        <w:ind w:right="560" w:firstLineChars="1800" w:firstLine="5040"/>
        <w:rPr>
          <w:rFonts w:ascii="宋体" w:hAnsi="宋体"/>
          <w:sz w:val="28"/>
          <w:szCs w:val="20"/>
        </w:rPr>
      </w:pPr>
      <w:r>
        <w:rPr>
          <w:rFonts w:ascii="宋体" w:hAnsi="宋体"/>
          <w:sz w:val="28"/>
          <w:szCs w:val="20"/>
        </w:rPr>
        <w:t>2022</w:t>
      </w:r>
      <w:r>
        <w:rPr>
          <w:rFonts w:ascii="宋体" w:hAnsi="宋体" w:hint="eastAsia"/>
          <w:sz w:val="28"/>
          <w:szCs w:val="20"/>
        </w:rPr>
        <w:t>年</w:t>
      </w:r>
      <w:r>
        <w:rPr>
          <w:rFonts w:ascii="宋体" w:hAnsi="宋体"/>
          <w:sz w:val="28"/>
          <w:szCs w:val="20"/>
        </w:rPr>
        <w:t>5</w:t>
      </w:r>
      <w:r>
        <w:rPr>
          <w:rFonts w:ascii="宋体" w:hAnsi="宋体" w:hint="eastAsia"/>
          <w:sz w:val="28"/>
          <w:szCs w:val="20"/>
        </w:rPr>
        <w:t>月2</w:t>
      </w:r>
      <w:r>
        <w:rPr>
          <w:rFonts w:ascii="宋体" w:hAnsi="宋体"/>
          <w:sz w:val="28"/>
          <w:szCs w:val="20"/>
        </w:rPr>
        <w:t>5</w:t>
      </w:r>
      <w:r>
        <w:rPr>
          <w:rFonts w:ascii="宋体" w:hAnsi="宋体" w:hint="eastAsia"/>
          <w:sz w:val="28"/>
          <w:szCs w:val="20"/>
        </w:rPr>
        <w:t>日</w:t>
      </w:r>
    </w:p>
    <w:p w14:paraId="11A13FF7" w14:textId="77777777" w:rsidR="00937DB8" w:rsidRDefault="00937DB8">
      <w:pPr>
        <w:spacing w:line="360" w:lineRule="auto"/>
        <w:ind w:rightChars="-27" w:right="-57" w:firstLineChars="2200" w:firstLine="5301"/>
        <w:jc w:val="left"/>
        <w:rPr>
          <w:rFonts w:eastAsiaTheme="minorEastAsia"/>
          <w:b/>
          <w:sz w:val="24"/>
        </w:rPr>
      </w:pPr>
    </w:p>
    <w:sectPr w:rsidR="00937DB8">
      <w:headerReference w:type="even" r:id="rId8"/>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1703" w14:textId="77777777" w:rsidR="005225FE" w:rsidRDefault="005225FE">
      <w:r>
        <w:separator/>
      </w:r>
    </w:p>
  </w:endnote>
  <w:endnote w:type="continuationSeparator" w:id="0">
    <w:p w14:paraId="381F4D95" w14:textId="77777777" w:rsidR="005225FE" w:rsidRDefault="0052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984120"/>
    </w:sdtPr>
    <w:sdtEndPr/>
    <w:sdtContent>
      <w:p w14:paraId="7747B235" w14:textId="77777777" w:rsidR="00937DB8" w:rsidRDefault="00550566">
        <w:pPr>
          <w:pStyle w:val="ab"/>
          <w:jc w:val="center"/>
        </w:pPr>
        <w:r>
          <w:fldChar w:fldCharType="begin"/>
        </w:r>
        <w:r>
          <w:instrText>PAGE   \* MERGEFORMAT</w:instrText>
        </w:r>
        <w:r>
          <w:fldChar w:fldCharType="separate"/>
        </w:r>
        <w:r>
          <w:rPr>
            <w:lang w:val="zh-CN"/>
          </w:rPr>
          <w:t>13</w:t>
        </w:r>
        <w:r>
          <w:fldChar w:fldCharType="end"/>
        </w:r>
      </w:p>
    </w:sdtContent>
  </w:sdt>
  <w:p w14:paraId="148CA5F3" w14:textId="77777777" w:rsidR="00937DB8" w:rsidRDefault="00937DB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64CB6" w14:textId="77777777" w:rsidR="005225FE" w:rsidRDefault="005225FE">
      <w:r>
        <w:separator/>
      </w:r>
    </w:p>
  </w:footnote>
  <w:footnote w:type="continuationSeparator" w:id="0">
    <w:p w14:paraId="28682D13" w14:textId="77777777" w:rsidR="005225FE" w:rsidRDefault="00522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F28E" w14:textId="77777777" w:rsidR="00937DB8" w:rsidRDefault="00550566">
    <w:pPr>
      <w:pStyle w:val="ad"/>
      <w:framePr w:wrap="around" w:vAnchor="text" w:hAnchor="margin" w:xAlign="right" w:y="1"/>
      <w:rPr>
        <w:rStyle w:val="af3"/>
      </w:rPr>
    </w:pPr>
    <w:r>
      <w:fldChar w:fldCharType="begin"/>
    </w:r>
    <w:r>
      <w:rPr>
        <w:rStyle w:val="af3"/>
      </w:rPr>
      <w:instrText xml:space="preserve">PAGE  </w:instrText>
    </w:r>
    <w:r>
      <w:fldChar w:fldCharType="separate"/>
    </w:r>
    <w:r>
      <w:rPr>
        <w:rStyle w:val="af3"/>
      </w:rPr>
      <w:t>1</w:t>
    </w:r>
    <w:r>
      <w:fldChar w:fldCharType="end"/>
    </w:r>
  </w:p>
  <w:p w14:paraId="13C01A1D" w14:textId="77777777" w:rsidR="00937DB8" w:rsidRDefault="00937DB8">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F0E6" w14:textId="77777777" w:rsidR="00937DB8" w:rsidRDefault="00937DB8">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3111"/>
    <w:multiLevelType w:val="multilevel"/>
    <w:tmpl w:val="0FB1311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160C46DF"/>
    <w:multiLevelType w:val="singleLevel"/>
    <w:tmpl w:val="160C46DF"/>
    <w:lvl w:ilvl="0">
      <w:start w:val="2"/>
      <w:numFmt w:val="chineseCounting"/>
      <w:suff w:val="nothing"/>
      <w:lvlText w:val="（%1）"/>
      <w:lvlJc w:val="left"/>
      <w:rPr>
        <w:rFonts w:hint="eastAsia"/>
      </w:rPr>
    </w:lvl>
  </w:abstractNum>
  <w:num w:numId="1" w16cid:durableId="2060780676">
    <w:abstractNumId w:val="0"/>
  </w:num>
  <w:num w:numId="2" w16cid:durableId="944964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ZkODVlN2Y5MDUxMzRkYjQ4MGQ5ZDdjZDc2OGMwNTEifQ=="/>
    <w:docVar w:name="TMS_Template_ID" w:val="0"/>
  </w:docVars>
  <w:rsids>
    <w:rsidRoot w:val="00704BB2"/>
    <w:rsid w:val="0000081E"/>
    <w:rsid w:val="00001A81"/>
    <w:rsid w:val="000072CC"/>
    <w:rsid w:val="00013AEF"/>
    <w:rsid w:val="00022319"/>
    <w:rsid w:val="00025BFF"/>
    <w:rsid w:val="0003151A"/>
    <w:rsid w:val="00031866"/>
    <w:rsid w:val="00033F2E"/>
    <w:rsid w:val="00040784"/>
    <w:rsid w:val="00041EB4"/>
    <w:rsid w:val="00044BFB"/>
    <w:rsid w:val="0004542D"/>
    <w:rsid w:val="00045926"/>
    <w:rsid w:val="00047C57"/>
    <w:rsid w:val="00053A87"/>
    <w:rsid w:val="000547B2"/>
    <w:rsid w:val="00063E14"/>
    <w:rsid w:val="00067909"/>
    <w:rsid w:val="00073CAE"/>
    <w:rsid w:val="00076E8D"/>
    <w:rsid w:val="00077649"/>
    <w:rsid w:val="000861A9"/>
    <w:rsid w:val="000D26D4"/>
    <w:rsid w:val="000D560C"/>
    <w:rsid w:val="000D7C47"/>
    <w:rsid w:val="000E225B"/>
    <w:rsid w:val="000E6413"/>
    <w:rsid w:val="000E737F"/>
    <w:rsid w:val="00102A4A"/>
    <w:rsid w:val="00103DAD"/>
    <w:rsid w:val="00114116"/>
    <w:rsid w:val="00114452"/>
    <w:rsid w:val="001162DE"/>
    <w:rsid w:val="001349D4"/>
    <w:rsid w:val="0013696A"/>
    <w:rsid w:val="00136BAE"/>
    <w:rsid w:val="00137FAE"/>
    <w:rsid w:val="00147B31"/>
    <w:rsid w:val="00153112"/>
    <w:rsid w:val="00153209"/>
    <w:rsid w:val="00153D3D"/>
    <w:rsid w:val="00161000"/>
    <w:rsid w:val="00164381"/>
    <w:rsid w:val="00164998"/>
    <w:rsid w:val="001717A8"/>
    <w:rsid w:val="001857C4"/>
    <w:rsid w:val="0019067C"/>
    <w:rsid w:val="001960BA"/>
    <w:rsid w:val="001A0F81"/>
    <w:rsid w:val="001B2026"/>
    <w:rsid w:val="001C58DA"/>
    <w:rsid w:val="001D2A84"/>
    <w:rsid w:val="001D70E2"/>
    <w:rsid w:val="001D7F28"/>
    <w:rsid w:val="001E3E17"/>
    <w:rsid w:val="001E4A99"/>
    <w:rsid w:val="00200D53"/>
    <w:rsid w:val="00213223"/>
    <w:rsid w:val="002227F0"/>
    <w:rsid w:val="00234978"/>
    <w:rsid w:val="00250919"/>
    <w:rsid w:val="00254D6F"/>
    <w:rsid w:val="00261C8B"/>
    <w:rsid w:val="00265877"/>
    <w:rsid w:val="0027007C"/>
    <w:rsid w:val="00270887"/>
    <w:rsid w:val="002713CE"/>
    <w:rsid w:val="00272913"/>
    <w:rsid w:val="00284986"/>
    <w:rsid w:val="002A1804"/>
    <w:rsid w:val="002C020E"/>
    <w:rsid w:val="002C19D1"/>
    <w:rsid w:val="002C2CDC"/>
    <w:rsid w:val="002D195E"/>
    <w:rsid w:val="002E2F89"/>
    <w:rsid w:val="002E4AF9"/>
    <w:rsid w:val="002E5192"/>
    <w:rsid w:val="002F230C"/>
    <w:rsid w:val="002F5303"/>
    <w:rsid w:val="00303573"/>
    <w:rsid w:val="0031052A"/>
    <w:rsid w:val="003154FA"/>
    <w:rsid w:val="00320D8D"/>
    <w:rsid w:val="00324E05"/>
    <w:rsid w:val="00337850"/>
    <w:rsid w:val="00340C34"/>
    <w:rsid w:val="003501E0"/>
    <w:rsid w:val="00351975"/>
    <w:rsid w:val="003527BE"/>
    <w:rsid w:val="00370EE4"/>
    <w:rsid w:val="0039376B"/>
    <w:rsid w:val="003D5BC4"/>
    <w:rsid w:val="003D7966"/>
    <w:rsid w:val="003E10C7"/>
    <w:rsid w:val="003E13EB"/>
    <w:rsid w:val="003E724F"/>
    <w:rsid w:val="00401FA1"/>
    <w:rsid w:val="00414E6B"/>
    <w:rsid w:val="00415909"/>
    <w:rsid w:val="00436A1C"/>
    <w:rsid w:val="00474C78"/>
    <w:rsid w:val="00487008"/>
    <w:rsid w:val="00492FE8"/>
    <w:rsid w:val="00495618"/>
    <w:rsid w:val="00495EA4"/>
    <w:rsid w:val="004A4436"/>
    <w:rsid w:val="004B4D67"/>
    <w:rsid w:val="004B63FB"/>
    <w:rsid w:val="004D09F1"/>
    <w:rsid w:val="004D2229"/>
    <w:rsid w:val="004D6E14"/>
    <w:rsid w:val="004E09D3"/>
    <w:rsid w:val="004E1745"/>
    <w:rsid w:val="004E2297"/>
    <w:rsid w:val="004E39A2"/>
    <w:rsid w:val="004E6197"/>
    <w:rsid w:val="004F4268"/>
    <w:rsid w:val="004F72B4"/>
    <w:rsid w:val="00500871"/>
    <w:rsid w:val="00513A59"/>
    <w:rsid w:val="00515048"/>
    <w:rsid w:val="005165B9"/>
    <w:rsid w:val="005221FF"/>
    <w:rsid w:val="005225FE"/>
    <w:rsid w:val="00524CC5"/>
    <w:rsid w:val="0053201B"/>
    <w:rsid w:val="00533897"/>
    <w:rsid w:val="0053445C"/>
    <w:rsid w:val="005354FF"/>
    <w:rsid w:val="00541854"/>
    <w:rsid w:val="00550566"/>
    <w:rsid w:val="00554C6D"/>
    <w:rsid w:val="00554E58"/>
    <w:rsid w:val="005558A0"/>
    <w:rsid w:val="0055712D"/>
    <w:rsid w:val="00564774"/>
    <w:rsid w:val="00566180"/>
    <w:rsid w:val="00576822"/>
    <w:rsid w:val="00592E39"/>
    <w:rsid w:val="0059476A"/>
    <w:rsid w:val="005954F1"/>
    <w:rsid w:val="005A590D"/>
    <w:rsid w:val="005A68B7"/>
    <w:rsid w:val="005A7925"/>
    <w:rsid w:val="005B3284"/>
    <w:rsid w:val="005B5F48"/>
    <w:rsid w:val="005D4D1C"/>
    <w:rsid w:val="005D79A5"/>
    <w:rsid w:val="005E1010"/>
    <w:rsid w:val="005F1208"/>
    <w:rsid w:val="005F20E8"/>
    <w:rsid w:val="006003F5"/>
    <w:rsid w:val="0060792C"/>
    <w:rsid w:val="006133CE"/>
    <w:rsid w:val="00620A26"/>
    <w:rsid w:val="00620A33"/>
    <w:rsid w:val="006272C4"/>
    <w:rsid w:val="006324EE"/>
    <w:rsid w:val="00647430"/>
    <w:rsid w:val="00656A2A"/>
    <w:rsid w:val="0067223A"/>
    <w:rsid w:val="0068233C"/>
    <w:rsid w:val="00684B63"/>
    <w:rsid w:val="00687697"/>
    <w:rsid w:val="006908C1"/>
    <w:rsid w:val="006A5787"/>
    <w:rsid w:val="006B6C72"/>
    <w:rsid w:val="006C18F3"/>
    <w:rsid w:val="006C28CC"/>
    <w:rsid w:val="006C2C92"/>
    <w:rsid w:val="006E0A6E"/>
    <w:rsid w:val="006E64A8"/>
    <w:rsid w:val="006E6AD0"/>
    <w:rsid w:val="006F0A4A"/>
    <w:rsid w:val="006F1C58"/>
    <w:rsid w:val="006F725F"/>
    <w:rsid w:val="00700444"/>
    <w:rsid w:val="007022F7"/>
    <w:rsid w:val="00703915"/>
    <w:rsid w:val="00704BB2"/>
    <w:rsid w:val="007063AD"/>
    <w:rsid w:val="0071044E"/>
    <w:rsid w:val="007122AB"/>
    <w:rsid w:val="00724AFF"/>
    <w:rsid w:val="00724F18"/>
    <w:rsid w:val="00725684"/>
    <w:rsid w:val="0072735F"/>
    <w:rsid w:val="0073170D"/>
    <w:rsid w:val="00735F41"/>
    <w:rsid w:val="00747789"/>
    <w:rsid w:val="00747DEA"/>
    <w:rsid w:val="00751C5D"/>
    <w:rsid w:val="00754E8E"/>
    <w:rsid w:val="00756054"/>
    <w:rsid w:val="007638CD"/>
    <w:rsid w:val="0077562F"/>
    <w:rsid w:val="007A46EF"/>
    <w:rsid w:val="007B06B1"/>
    <w:rsid w:val="007B451E"/>
    <w:rsid w:val="007C0070"/>
    <w:rsid w:val="007C2E96"/>
    <w:rsid w:val="007C6E6B"/>
    <w:rsid w:val="007D0CD0"/>
    <w:rsid w:val="007E0C43"/>
    <w:rsid w:val="007F2629"/>
    <w:rsid w:val="007F44CE"/>
    <w:rsid w:val="007F543F"/>
    <w:rsid w:val="00812227"/>
    <w:rsid w:val="0081266F"/>
    <w:rsid w:val="00817A5B"/>
    <w:rsid w:val="00824D5C"/>
    <w:rsid w:val="00832D98"/>
    <w:rsid w:val="00833254"/>
    <w:rsid w:val="00834457"/>
    <w:rsid w:val="0084423C"/>
    <w:rsid w:val="0084474F"/>
    <w:rsid w:val="00845617"/>
    <w:rsid w:val="00847054"/>
    <w:rsid w:val="0085240E"/>
    <w:rsid w:val="0085494C"/>
    <w:rsid w:val="0085630F"/>
    <w:rsid w:val="00896625"/>
    <w:rsid w:val="008978D6"/>
    <w:rsid w:val="008A057B"/>
    <w:rsid w:val="008A117C"/>
    <w:rsid w:val="008B3A13"/>
    <w:rsid w:val="008C5FBF"/>
    <w:rsid w:val="008D2037"/>
    <w:rsid w:val="008D3682"/>
    <w:rsid w:val="008E0522"/>
    <w:rsid w:val="008E6A4D"/>
    <w:rsid w:val="008F0EE7"/>
    <w:rsid w:val="00906DF0"/>
    <w:rsid w:val="00914308"/>
    <w:rsid w:val="00914FDC"/>
    <w:rsid w:val="009171FB"/>
    <w:rsid w:val="009200D4"/>
    <w:rsid w:val="009215D4"/>
    <w:rsid w:val="00922B38"/>
    <w:rsid w:val="00934A7F"/>
    <w:rsid w:val="00937DB8"/>
    <w:rsid w:val="00944B07"/>
    <w:rsid w:val="00944E21"/>
    <w:rsid w:val="00945AB7"/>
    <w:rsid w:val="0094604E"/>
    <w:rsid w:val="00956F88"/>
    <w:rsid w:val="00963941"/>
    <w:rsid w:val="00963E50"/>
    <w:rsid w:val="00965792"/>
    <w:rsid w:val="00970217"/>
    <w:rsid w:val="00971D5E"/>
    <w:rsid w:val="0098277E"/>
    <w:rsid w:val="009828C1"/>
    <w:rsid w:val="009A1490"/>
    <w:rsid w:val="009A16C4"/>
    <w:rsid w:val="009A1B86"/>
    <w:rsid w:val="009A2509"/>
    <w:rsid w:val="009A3ECB"/>
    <w:rsid w:val="009A4AD6"/>
    <w:rsid w:val="009B4D43"/>
    <w:rsid w:val="009D04A3"/>
    <w:rsid w:val="009D1DC4"/>
    <w:rsid w:val="009D72DD"/>
    <w:rsid w:val="009D73ED"/>
    <w:rsid w:val="009E56AB"/>
    <w:rsid w:val="009F19FC"/>
    <w:rsid w:val="00A00B22"/>
    <w:rsid w:val="00A019BF"/>
    <w:rsid w:val="00A03A55"/>
    <w:rsid w:val="00A1260B"/>
    <w:rsid w:val="00A169F9"/>
    <w:rsid w:val="00A2445A"/>
    <w:rsid w:val="00A2516B"/>
    <w:rsid w:val="00A25E25"/>
    <w:rsid w:val="00A27880"/>
    <w:rsid w:val="00A401A2"/>
    <w:rsid w:val="00A43D2C"/>
    <w:rsid w:val="00A559F6"/>
    <w:rsid w:val="00A578C5"/>
    <w:rsid w:val="00A57E28"/>
    <w:rsid w:val="00A671CE"/>
    <w:rsid w:val="00A67C79"/>
    <w:rsid w:val="00A91412"/>
    <w:rsid w:val="00A91C49"/>
    <w:rsid w:val="00A95049"/>
    <w:rsid w:val="00AA2D38"/>
    <w:rsid w:val="00AA4400"/>
    <w:rsid w:val="00AB049E"/>
    <w:rsid w:val="00AB4320"/>
    <w:rsid w:val="00AC1C86"/>
    <w:rsid w:val="00AD0AF4"/>
    <w:rsid w:val="00AD5BC5"/>
    <w:rsid w:val="00AE48E0"/>
    <w:rsid w:val="00AE591A"/>
    <w:rsid w:val="00AF1CB7"/>
    <w:rsid w:val="00B057FA"/>
    <w:rsid w:val="00B1641E"/>
    <w:rsid w:val="00B24797"/>
    <w:rsid w:val="00B30CA1"/>
    <w:rsid w:val="00B3775B"/>
    <w:rsid w:val="00B40FD4"/>
    <w:rsid w:val="00B502F4"/>
    <w:rsid w:val="00B56FCA"/>
    <w:rsid w:val="00B60F8A"/>
    <w:rsid w:val="00B6495C"/>
    <w:rsid w:val="00B64C89"/>
    <w:rsid w:val="00B83881"/>
    <w:rsid w:val="00B9361E"/>
    <w:rsid w:val="00BA7DD5"/>
    <w:rsid w:val="00BB2314"/>
    <w:rsid w:val="00BD4E2B"/>
    <w:rsid w:val="00BE3191"/>
    <w:rsid w:val="00BE4CB3"/>
    <w:rsid w:val="00BF32B0"/>
    <w:rsid w:val="00BF4834"/>
    <w:rsid w:val="00BF77F5"/>
    <w:rsid w:val="00C033FD"/>
    <w:rsid w:val="00C05187"/>
    <w:rsid w:val="00C12A14"/>
    <w:rsid w:val="00C424D3"/>
    <w:rsid w:val="00C424FD"/>
    <w:rsid w:val="00C53063"/>
    <w:rsid w:val="00C56720"/>
    <w:rsid w:val="00C57840"/>
    <w:rsid w:val="00C652BA"/>
    <w:rsid w:val="00C66EE6"/>
    <w:rsid w:val="00C67CFA"/>
    <w:rsid w:val="00C74AE4"/>
    <w:rsid w:val="00C7509A"/>
    <w:rsid w:val="00C8336C"/>
    <w:rsid w:val="00C91FB3"/>
    <w:rsid w:val="00C976F9"/>
    <w:rsid w:val="00CA01D2"/>
    <w:rsid w:val="00CA4F64"/>
    <w:rsid w:val="00CB0F9E"/>
    <w:rsid w:val="00CB5AA4"/>
    <w:rsid w:val="00CB78B5"/>
    <w:rsid w:val="00CC1539"/>
    <w:rsid w:val="00CC4914"/>
    <w:rsid w:val="00CD41AA"/>
    <w:rsid w:val="00CD7C68"/>
    <w:rsid w:val="00CD7E71"/>
    <w:rsid w:val="00CE2534"/>
    <w:rsid w:val="00CF30AE"/>
    <w:rsid w:val="00CF4016"/>
    <w:rsid w:val="00CF7608"/>
    <w:rsid w:val="00CF7AAE"/>
    <w:rsid w:val="00D044FE"/>
    <w:rsid w:val="00D2246C"/>
    <w:rsid w:val="00D25165"/>
    <w:rsid w:val="00D36253"/>
    <w:rsid w:val="00D45E69"/>
    <w:rsid w:val="00D51806"/>
    <w:rsid w:val="00D5247C"/>
    <w:rsid w:val="00D5519F"/>
    <w:rsid w:val="00D70C51"/>
    <w:rsid w:val="00D776AF"/>
    <w:rsid w:val="00D93ABA"/>
    <w:rsid w:val="00D95B46"/>
    <w:rsid w:val="00D97E7A"/>
    <w:rsid w:val="00DA62A3"/>
    <w:rsid w:val="00DA6680"/>
    <w:rsid w:val="00DC1080"/>
    <w:rsid w:val="00DC11DB"/>
    <w:rsid w:val="00DF5356"/>
    <w:rsid w:val="00E11BA9"/>
    <w:rsid w:val="00E30734"/>
    <w:rsid w:val="00E32B2C"/>
    <w:rsid w:val="00E34C1D"/>
    <w:rsid w:val="00E45B78"/>
    <w:rsid w:val="00E5084E"/>
    <w:rsid w:val="00E50BBD"/>
    <w:rsid w:val="00E55167"/>
    <w:rsid w:val="00E55233"/>
    <w:rsid w:val="00E7022C"/>
    <w:rsid w:val="00E757CD"/>
    <w:rsid w:val="00E81DD5"/>
    <w:rsid w:val="00E822D8"/>
    <w:rsid w:val="00E8507C"/>
    <w:rsid w:val="00E93604"/>
    <w:rsid w:val="00EB0714"/>
    <w:rsid w:val="00EB5859"/>
    <w:rsid w:val="00EB62DA"/>
    <w:rsid w:val="00EB6CAF"/>
    <w:rsid w:val="00EC2257"/>
    <w:rsid w:val="00EC2A58"/>
    <w:rsid w:val="00ED1179"/>
    <w:rsid w:val="00EE6C64"/>
    <w:rsid w:val="00EF3629"/>
    <w:rsid w:val="00F0268B"/>
    <w:rsid w:val="00F04A87"/>
    <w:rsid w:val="00F04BED"/>
    <w:rsid w:val="00F05DF7"/>
    <w:rsid w:val="00F127BC"/>
    <w:rsid w:val="00F2021F"/>
    <w:rsid w:val="00F20F36"/>
    <w:rsid w:val="00F33011"/>
    <w:rsid w:val="00F56C49"/>
    <w:rsid w:val="00F71F22"/>
    <w:rsid w:val="00F75F76"/>
    <w:rsid w:val="00F81BE2"/>
    <w:rsid w:val="00F83FA8"/>
    <w:rsid w:val="00F9424C"/>
    <w:rsid w:val="00F978D6"/>
    <w:rsid w:val="00FA5197"/>
    <w:rsid w:val="00FA7B26"/>
    <w:rsid w:val="00FB33C2"/>
    <w:rsid w:val="00FB50FA"/>
    <w:rsid w:val="00FB6D18"/>
    <w:rsid w:val="00FC4F7A"/>
    <w:rsid w:val="00FD19BE"/>
    <w:rsid w:val="00FD4AB0"/>
    <w:rsid w:val="00FD690B"/>
    <w:rsid w:val="00FE622E"/>
    <w:rsid w:val="00FF6EC3"/>
    <w:rsid w:val="06595D67"/>
    <w:rsid w:val="077E64FC"/>
    <w:rsid w:val="0A25653D"/>
    <w:rsid w:val="0C1D1389"/>
    <w:rsid w:val="14FB7E20"/>
    <w:rsid w:val="17B35AB0"/>
    <w:rsid w:val="18500E57"/>
    <w:rsid w:val="19241EE7"/>
    <w:rsid w:val="1BBF4E40"/>
    <w:rsid w:val="1E431EAA"/>
    <w:rsid w:val="20F64A5D"/>
    <w:rsid w:val="20FB4EB0"/>
    <w:rsid w:val="29335F86"/>
    <w:rsid w:val="2DCA0241"/>
    <w:rsid w:val="354A70C2"/>
    <w:rsid w:val="364955CD"/>
    <w:rsid w:val="37F222F4"/>
    <w:rsid w:val="40BB5A3C"/>
    <w:rsid w:val="4160090F"/>
    <w:rsid w:val="4318102B"/>
    <w:rsid w:val="4A556518"/>
    <w:rsid w:val="4AE271AB"/>
    <w:rsid w:val="4CB25979"/>
    <w:rsid w:val="4D1F01DC"/>
    <w:rsid w:val="54A3321E"/>
    <w:rsid w:val="582B3A43"/>
    <w:rsid w:val="5A2D6BBC"/>
    <w:rsid w:val="5B704A98"/>
    <w:rsid w:val="60B4103E"/>
    <w:rsid w:val="62635090"/>
    <w:rsid w:val="626C7F06"/>
    <w:rsid w:val="63762D95"/>
    <w:rsid w:val="641954C8"/>
    <w:rsid w:val="65725F4F"/>
    <w:rsid w:val="65A57125"/>
    <w:rsid w:val="660E4C70"/>
    <w:rsid w:val="66E951AB"/>
    <w:rsid w:val="67842D06"/>
    <w:rsid w:val="693E6318"/>
    <w:rsid w:val="6B701879"/>
    <w:rsid w:val="6F6F23F4"/>
    <w:rsid w:val="72C86F71"/>
    <w:rsid w:val="75553F6E"/>
    <w:rsid w:val="763A2082"/>
    <w:rsid w:val="7771639C"/>
    <w:rsid w:val="77992AD7"/>
    <w:rsid w:val="77D35594"/>
    <w:rsid w:val="784073D3"/>
    <w:rsid w:val="79137668"/>
    <w:rsid w:val="7D873408"/>
    <w:rsid w:val="7F013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667DD0F"/>
  <w15:docId w15:val="{FA638CB3-29EB-49A1-BE2A-71BDA182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220" w:after="210"/>
      <w:ind w:firstLineChars="200" w:firstLine="200"/>
      <w:outlineLvl w:val="0"/>
    </w:pPr>
    <w:rPr>
      <w:rFonts w:ascii="Calibri" w:hAnsi="Calibri"/>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uiPriority w:val="99"/>
    <w:unhideWhenUsed/>
    <w:qFormat/>
    <w:rPr>
      <w:rFonts w:ascii="宋体" w:hAnsi="Courier New"/>
      <w:szCs w:val="21"/>
    </w:r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basedOn w:val="a0"/>
    <w:uiPriority w:val="20"/>
    <w:qFormat/>
    <w:rPr>
      <w:i/>
    </w:rPr>
  </w:style>
  <w:style w:type="character" w:styleId="af5">
    <w:name w:val="Hyperlink"/>
    <w:uiPriority w:val="99"/>
    <w:unhideWhenUsed/>
    <w:qFormat/>
    <w:rPr>
      <w:color w:val="0000FF"/>
      <w:u w:val="single"/>
    </w:rPr>
  </w:style>
  <w:style w:type="character" w:styleId="af6">
    <w:name w:val="annotation reference"/>
    <w:uiPriority w:val="99"/>
    <w:unhideWhenUsed/>
    <w:qFormat/>
    <w:rPr>
      <w:sz w:val="21"/>
      <w:szCs w:val="21"/>
    </w:rPr>
  </w:style>
  <w:style w:type="character" w:customStyle="1" w:styleId="aa">
    <w:name w:val="批注框文本 字符"/>
    <w:link w:val="a9"/>
    <w:uiPriority w:val="99"/>
    <w:semiHidden/>
    <w:qFormat/>
    <w:rPr>
      <w:kern w:val="2"/>
      <w:sz w:val="18"/>
      <w:szCs w:val="18"/>
    </w:rPr>
  </w:style>
  <w:style w:type="character" w:customStyle="1" w:styleId="a8">
    <w:name w:val="日期 字符"/>
    <w:link w:val="a7"/>
    <w:uiPriority w:val="99"/>
    <w:semiHidden/>
    <w:qFormat/>
    <w:rPr>
      <w:kern w:val="2"/>
      <w:sz w:val="21"/>
      <w:szCs w:val="24"/>
    </w:rPr>
  </w:style>
  <w:style w:type="character" w:customStyle="1" w:styleId="af0">
    <w:name w:val="批注主题 字符"/>
    <w:link w:val="af"/>
    <w:uiPriority w:val="99"/>
    <w:semiHidden/>
    <w:qFormat/>
    <w:rPr>
      <w:b/>
      <w:bCs/>
      <w:kern w:val="2"/>
      <w:sz w:val="21"/>
      <w:szCs w:val="24"/>
    </w:rPr>
  </w:style>
  <w:style w:type="character" w:customStyle="1" w:styleId="a6">
    <w:name w:val="纯文本 字符"/>
    <w:link w:val="a5"/>
    <w:uiPriority w:val="99"/>
    <w:qFormat/>
    <w:rPr>
      <w:rFonts w:ascii="宋体" w:hAnsi="Courier New" w:cs="Courier New"/>
      <w:kern w:val="2"/>
      <w:sz w:val="21"/>
      <w:szCs w:val="21"/>
    </w:rPr>
  </w:style>
  <w:style w:type="character" w:customStyle="1" w:styleId="a4">
    <w:name w:val="批注文字 字符"/>
    <w:link w:val="a3"/>
    <w:uiPriority w:val="99"/>
    <w:semiHidden/>
    <w:qFormat/>
    <w:rPr>
      <w:kern w:val="2"/>
      <w:sz w:val="21"/>
      <w:szCs w:val="24"/>
    </w:rPr>
  </w:style>
  <w:style w:type="paragraph" w:customStyle="1" w:styleId="1Char">
    <w:name w:val="1 Char"/>
    <w:basedOn w:val="a"/>
    <w:semiHidden/>
    <w:qFormat/>
    <w:pPr>
      <w:widowControl/>
      <w:spacing w:after="160" w:line="240" w:lineRule="exact"/>
      <w:jc w:val="left"/>
    </w:pPr>
    <w:rPr>
      <w:rFonts w:ascii="Verdana" w:hAnsi="Verdana"/>
      <w:kern w:val="0"/>
      <w:sz w:val="20"/>
      <w:szCs w:val="20"/>
      <w:lang w:eastAsia="en-US"/>
    </w:rPr>
  </w:style>
  <w:style w:type="paragraph" w:customStyle="1" w:styleId="CM4">
    <w:name w:val="CM4"/>
    <w:basedOn w:val="a"/>
    <w:next w:val="a"/>
    <w:qFormat/>
    <w:pPr>
      <w:autoSpaceDE w:val="0"/>
      <w:autoSpaceDN w:val="0"/>
      <w:adjustRightInd w:val="0"/>
      <w:jc w:val="left"/>
    </w:pPr>
    <w:rPr>
      <w:rFonts w:ascii="宋体"/>
      <w:kern w:val="0"/>
      <w:sz w:val="24"/>
    </w:rPr>
  </w:style>
  <w:style w:type="paragraph" w:customStyle="1" w:styleId="11">
    <w:name w:val="列出段落1"/>
    <w:basedOn w:val="a"/>
    <w:uiPriority w:val="34"/>
    <w:qFormat/>
    <w:pPr>
      <w:ind w:firstLineChars="200" w:firstLine="42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7">
    <w:name w:val="List Paragraph"/>
    <w:basedOn w:val="a"/>
    <w:uiPriority w:val="99"/>
    <w:unhideWhenUsed/>
    <w:qFormat/>
    <w:pPr>
      <w:ind w:firstLineChars="200" w:firstLine="420"/>
    </w:pPr>
  </w:style>
  <w:style w:type="character" w:customStyle="1" w:styleId="ac">
    <w:name w:val="页脚 字符"/>
    <w:basedOn w:val="a0"/>
    <w:link w:val="ab"/>
    <w:uiPriority w:val="99"/>
    <w:qFormat/>
    <w:rPr>
      <w:kern w:val="2"/>
      <w:sz w:val="18"/>
      <w:szCs w:val="18"/>
    </w:rPr>
  </w:style>
  <w:style w:type="character" w:customStyle="1" w:styleId="ae">
    <w:name w:val="页眉 字符"/>
    <w:basedOn w:val="a0"/>
    <w:link w:val="ad"/>
    <w:uiPriority w:val="99"/>
    <w:qFormat/>
    <w:rPr>
      <w:kern w:val="2"/>
      <w:sz w:val="18"/>
      <w:szCs w:val="18"/>
    </w:rPr>
  </w:style>
  <w:style w:type="character" w:customStyle="1" w:styleId="10">
    <w:name w:val="标题 1 字符"/>
    <w:basedOn w:val="a0"/>
    <w:link w:val="1"/>
    <w:uiPriority w:val="9"/>
    <w:qFormat/>
    <w:rPr>
      <w:rFonts w:ascii="Calibri" w:hAnsi="Calibri"/>
      <w:b/>
      <w:bCs/>
      <w:kern w:val="44"/>
      <w:sz w:val="24"/>
      <w:szCs w:val="44"/>
    </w:rPr>
  </w:style>
  <w:style w:type="table" w:customStyle="1" w:styleId="12">
    <w:name w:val="网格型1"/>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修订1"/>
    <w:hidden/>
    <w:uiPriority w:val="99"/>
    <w:semiHidden/>
    <w:qFormat/>
    <w:rPr>
      <w:kern w:val="2"/>
      <w:sz w:val="21"/>
      <w:szCs w:val="24"/>
    </w:rPr>
  </w:style>
  <w:style w:type="paragraph" w:customStyle="1" w:styleId="af8">
    <w:name w:val="表格"/>
    <w:basedOn w:val="a"/>
    <w:link w:val="Char"/>
    <w:uiPriority w:val="99"/>
    <w:qFormat/>
    <w:pPr>
      <w:spacing w:after="160" w:line="259" w:lineRule="auto"/>
    </w:pPr>
    <w:rPr>
      <w:kern w:val="0"/>
    </w:rPr>
  </w:style>
  <w:style w:type="character" w:customStyle="1" w:styleId="Char">
    <w:name w:val="表格 Char"/>
    <w:link w:val="af8"/>
    <w:uiPriority w:val="99"/>
    <w:qFormat/>
    <w:rPr>
      <w:sz w:val="21"/>
      <w:szCs w:val="24"/>
    </w:rPr>
  </w:style>
  <w:style w:type="paragraph" w:customStyle="1" w:styleId="2">
    <w:name w:val="修订2"/>
    <w:hidden/>
    <w:uiPriority w:val="99"/>
    <w:semiHidden/>
    <w:qFormat/>
    <w:rPr>
      <w:kern w:val="2"/>
      <w:sz w:val="21"/>
      <w:szCs w:val="24"/>
    </w:rPr>
  </w:style>
  <w:style w:type="paragraph" w:customStyle="1" w:styleId="3">
    <w:name w:val="修订3"/>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1092</Words>
  <Characters>6227</Characters>
  <Application>Microsoft Office Word</Application>
  <DocSecurity>0</DocSecurity>
  <Lines>51</Lines>
  <Paragraphs>14</Paragraphs>
  <ScaleCrop>false</ScaleCrop>
  <Company>KWM</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 Yu</dc:creator>
  <cp:lastModifiedBy>建德</cp:lastModifiedBy>
  <cp:revision>5</cp:revision>
  <dcterms:created xsi:type="dcterms:W3CDTF">2022-05-25T09:34:00Z</dcterms:created>
  <dcterms:modified xsi:type="dcterms:W3CDTF">2022-05-25T10:54:00Z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6F83509B36534600BBF2CB93E10CD33D</vt:lpwstr>
  </property>
</Properties>
</file>