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D3572" w14:textId="38E9FC20" w:rsidR="00C3148D" w:rsidRPr="00693874" w:rsidRDefault="00EE416A" w:rsidP="00693874">
      <w:pPr>
        <w:pStyle w:val="a3"/>
        <w:tabs>
          <w:tab w:val="left" w:pos="2880"/>
          <w:tab w:val="left" w:pos="5880"/>
        </w:tabs>
        <w:spacing w:before="50"/>
        <w:ind w:right="22"/>
        <w:jc w:val="center"/>
        <w:rPr>
          <w:rFonts w:ascii="黑体" w:eastAsia="黑体" w:hAnsi="黑体" w:hint="eastAsia"/>
          <w:sz w:val="21"/>
          <w:szCs w:val="21"/>
        </w:rPr>
      </w:pPr>
      <w:r>
        <w:rPr>
          <w:rFonts w:ascii="黑体" w:eastAsia="黑体" w:hAnsi="黑体" w:hint="eastAsia"/>
          <w:sz w:val="21"/>
          <w:szCs w:val="21"/>
        </w:rPr>
        <w:t>股票</w:t>
      </w:r>
      <w:r w:rsidR="00E17BB7" w:rsidRPr="00EE416A">
        <w:rPr>
          <w:rFonts w:ascii="黑体" w:eastAsia="黑体" w:hAnsi="黑体"/>
          <w:sz w:val="21"/>
          <w:szCs w:val="21"/>
        </w:rPr>
        <w:t>代码：</w:t>
      </w:r>
      <w:r w:rsidR="00A75A74" w:rsidRPr="00EE416A">
        <w:rPr>
          <w:rFonts w:ascii="黑体" w:eastAsia="黑体" w:hAnsi="黑体"/>
          <w:sz w:val="21"/>
          <w:szCs w:val="21"/>
        </w:rPr>
        <w:t>600188</w:t>
      </w:r>
      <w:r w:rsidR="00E17BB7" w:rsidRPr="00EE416A">
        <w:rPr>
          <w:rFonts w:ascii="黑体" w:eastAsia="黑体" w:hAnsi="黑体"/>
          <w:sz w:val="21"/>
          <w:szCs w:val="21"/>
        </w:rPr>
        <w:tab/>
      </w:r>
      <w:r>
        <w:rPr>
          <w:rFonts w:ascii="黑体" w:eastAsia="黑体" w:hAnsi="黑体" w:hint="eastAsia"/>
          <w:sz w:val="21"/>
          <w:szCs w:val="21"/>
        </w:rPr>
        <w:t>股票</w:t>
      </w:r>
      <w:r w:rsidR="00A75A74" w:rsidRPr="00EE416A">
        <w:rPr>
          <w:rFonts w:ascii="黑体" w:eastAsia="黑体" w:hAnsi="黑体"/>
          <w:sz w:val="21"/>
          <w:szCs w:val="21"/>
        </w:rPr>
        <w:t>简称：</w:t>
      </w:r>
      <w:r w:rsidR="00A75A74" w:rsidRPr="00EE416A">
        <w:rPr>
          <w:rFonts w:ascii="黑体" w:eastAsia="黑体" w:hAnsi="黑体" w:hint="eastAsia"/>
          <w:sz w:val="21"/>
          <w:szCs w:val="21"/>
        </w:rPr>
        <w:t>兖矿能源</w:t>
      </w:r>
      <w:r w:rsidR="00E17BB7" w:rsidRPr="00EE416A">
        <w:rPr>
          <w:rFonts w:ascii="黑体" w:eastAsia="黑体" w:hAnsi="黑体"/>
          <w:sz w:val="21"/>
          <w:szCs w:val="21"/>
        </w:rPr>
        <w:tab/>
        <w:t>编号：</w:t>
      </w:r>
      <w:r w:rsidRPr="00EE416A">
        <w:rPr>
          <w:rFonts w:ascii="黑体" w:eastAsia="黑体" w:hAnsi="黑体" w:hint="eastAsia"/>
          <w:color w:val="000000"/>
          <w:sz w:val="21"/>
          <w:szCs w:val="21"/>
        </w:rPr>
        <w:t>临20</w:t>
      </w:r>
      <w:r w:rsidRPr="00EE416A">
        <w:rPr>
          <w:rFonts w:ascii="黑体" w:eastAsia="黑体" w:hAnsi="黑体"/>
          <w:color w:val="000000"/>
          <w:sz w:val="21"/>
          <w:szCs w:val="21"/>
        </w:rPr>
        <w:t>22</w:t>
      </w:r>
      <w:r w:rsidRPr="00EE416A">
        <w:rPr>
          <w:rFonts w:ascii="黑体" w:eastAsia="黑体" w:hAnsi="黑体" w:hint="eastAsia"/>
          <w:color w:val="000000"/>
          <w:sz w:val="21"/>
          <w:szCs w:val="21"/>
        </w:rPr>
        <w:t>-0</w:t>
      </w:r>
      <w:r w:rsidR="00923857">
        <w:rPr>
          <w:rFonts w:ascii="黑体" w:eastAsia="黑体" w:hAnsi="黑体" w:hint="eastAsia"/>
          <w:color w:val="000000"/>
          <w:sz w:val="21"/>
          <w:szCs w:val="21"/>
        </w:rPr>
        <w:t>3</w:t>
      </w:r>
      <w:r w:rsidR="00923857">
        <w:rPr>
          <w:rFonts w:ascii="黑体" w:eastAsia="黑体" w:hAnsi="黑体"/>
          <w:color w:val="000000"/>
          <w:sz w:val="21"/>
          <w:szCs w:val="21"/>
        </w:rPr>
        <w:t>8</w:t>
      </w:r>
    </w:p>
    <w:p w14:paraId="7147FF79" w14:textId="77777777" w:rsidR="00C3148D" w:rsidRPr="00A57454" w:rsidRDefault="00C3148D">
      <w:pPr>
        <w:pStyle w:val="a3"/>
        <w:rPr>
          <w:rFonts w:ascii="Times New Roman" w:hAnsi="Times New Roman"/>
          <w:sz w:val="23"/>
        </w:rPr>
      </w:pPr>
    </w:p>
    <w:p w14:paraId="7220B379" w14:textId="77777777" w:rsidR="007166A1" w:rsidRPr="00A112E5" w:rsidRDefault="00743108" w:rsidP="00743108">
      <w:pPr>
        <w:pStyle w:val="1"/>
        <w:spacing w:line="574" w:lineRule="exact"/>
        <w:ind w:firstLine="0"/>
        <w:rPr>
          <w:rFonts w:ascii="黑体" w:eastAsia="黑体" w:hAnsi="黑体" w:cstheme="minorBidi"/>
          <w:color w:val="FF0000"/>
          <w:kern w:val="2"/>
          <w:sz w:val="36"/>
          <w:lang w:val="en-US" w:bidi="ar-SA"/>
        </w:rPr>
      </w:pPr>
      <w:r w:rsidRPr="00A112E5">
        <w:rPr>
          <w:rFonts w:ascii="黑体" w:eastAsia="黑体" w:hAnsi="黑体" w:cstheme="minorBidi" w:hint="eastAsia"/>
          <w:color w:val="FF0000"/>
          <w:kern w:val="2"/>
          <w:sz w:val="36"/>
          <w:lang w:val="en-US" w:bidi="ar-SA"/>
        </w:rPr>
        <w:t>兖矿能源集团股份有限公司</w:t>
      </w:r>
    </w:p>
    <w:p w14:paraId="6B922629" w14:textId="77777777" w:rsidR="009B5BA1" w:rsidRDefault="009B5BA1" w:rsidP="00743108">
      <w:pPr>
        <w:pStyle w:val="1"/>
        <w:spacing w:line="574" w:lineRule="exact"/>
        <w:ind w:firstLine="0"/>
        <w:rPr>
          <w:rFonts w:ascii="黑体" w:eastAsia="黑体" w:hAnsi="黑体" w:cstheme="minorBidi"/>
          <w:color w:val="FF0000"/>
          <w:kern w:val="2"/>
          <w:sz w:val="36"/>
          <w:lang w:val="en-US" w:bidi="ar-SA"/>
        </w:rPr>
      </w:pPr>
      <w:r w:rsidRPr="009B5BA1">
        <w:rPr>
          <w:rFonts w:ascii="黑体" w:eastAsia="黑体" w:hAnsi="黑体" w:cstheme="minorBidi" w:hint="eastAsia"/>
          <w:color w:val="FF0000"/>
          <w:kern w:val="2"/>
          <w:sz w:val="36"/>
          <w:lang w:val="en-US" w:bidi="ar-SA"/>
        </w:rPr>
        <w:t>关于控股股东非公开发行可交换公司债券</w:t>
      </w:r>
    </w:p>
    <w:p w14:paraId="60CEE0D0" w14:textId="77777777" w:rsidR="00C3148D" w:rsidRPr="00A112E5" w:rsidRDefault="009B5BA1" w:rsidP="00743108">
      <w:pPr>
        <w:pStyle w:val="1"/>
        <w:spacing w:line="574" w:lineRule="exact"/>
        <w:ind w:firstLine="0"/>
        <w:rPr>
          <w:rFonts w:ascii="黑体" w:eastAsia="黑体" w:hAnsi="黑体" w:cstheme="minorBidi"/>
          <w:color w:val="FF0000"/>
          <w:kern w:val="2"/>
          <w:sz w:val="36"/>
          <w:lang w:val="en-US" w:bidi="ar-SA"/>
        </w:rPr>
      </w:pPr>
      <w:r w:rsidRPr="009B5BA1">
        <w:rPr>
          <w:rFonts w:ascii="黑体" w:eastAsia="黑体" w:hAnsi="黑体" w:cstheme="minorBidi" w:hint="eastAsia"/>
          <w:color w:val="FF0000"/>
          <w:kern w:val="2"/>
          <w:sz w:val="36"/>
          <w:lang w:val="en-US" w:bidi="ar-SA"/>
        </w:rPr>
        <w:t>发行完成的公告</w:t>
      </w:r>
    </w:p>
    <w:p w14:paraId="7B937762" w14:textId="77777777" w:rsidR="00C3148D" w:rsidRPr="00A57454" w:rsidRDefault="00754DC9">
      <w:pPr>
        <w:pStyle w:val="a3"/>
        <w:rPr>
          <w:rFonts w:ascii="Times New Roman" w:hAnsi="Times New Roman"/>
          <w:b/>
          <w:sz w:val="20"/>
        </w:rPr>
      </w:pPr>
      <w:r>
        <w:rPr>
          <w:rFonts w:ascii="Times New Roman" w:hAnsi="Times New Roman"/>
          <w:noProof/>
          <w:lang w:val="en-US" w:bidi="ar-SA"/>
        </w:rPr>
        <mc:AlternateContent>
          <mc:Choice Requires="wps">
            <w:drawing>
              <wp:anchor distT="0" distB="0" distL="114300" distR="114300" simplePos="0" relativeHeight="251657728" behindDoc="1" locked="0" layoutInCell="1" allowOverlap="1" wp14:anchorId="3914AB97" wp14:editId="69078F94">
                <wp:simplePos x="0" y="0"/>
                <wp:positionH relativeFrom="page">
                  <wp:posOffset>1089660</wp:posOffset>
                </wp:positionH>
                <wp:positionV relativeFrom="paragraph">
                  <wp:posOffset>73660</wp:posOffset>
                </wp:positionV>
                <wp:extent cx="5421630" cy="8331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1630" cy="8331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415B03" w14:textId="77777777" w:rsidR="00C3148D" w:rsidRPr="00EE416A" w:rsidRDefault="00E17BB7" w:rsidP="006C5624">
                            <w:pPr>
                              <w:spacing w:before="81" w:line="254" w:lineRule="auto"/>
                              <w:ind w:left="79" w:right="194" w:firstLine="482"/>
                              <w:jc w:val="both"/>
                              <w:rPr>
                                <w:rFonts w:ascii="Times New Roman" w:eastAsiaTheme="majorEastAsia" w:hAnsi="Times New Roman" w:cs="Times New Roman"/>
                                <w:bCs/>
                                <w:sz w:val="28"/>
                              </w:rPr>
                            </w:pPr>
                            <w:r w:rsidRPr="00EE416A">
                              <w:rPr>
                                <w:rFonts w:ascii="Times New Roman" w:eastAsiaTheme="majorEastAsia" w:hAnsi="Times New Roman" w:cs="Times New Roman"/>
                                <w:bCs/>
                                <w:sz w:val="28"/>
                              </w:rPr>
                              <w:t>本公司董事会及全体董事保证本公告内容不存在任何虚假记载、误导性陈述或者重大遗漏，并对其内容的真实性、准确性和完整性承担个别及连带责任</w:t>
                            </w:r>
                            <w:r w:rsidR="006C5624" w:rsidRPr="00EE416A">
                              <w:rPr>
                                <w:rFonts w:ascii="Times New Roman" w:eastAsiaTheme="majorEastAsia" w:hAnsi="Times New Roman" w:cs="Times New Roman" w:hint="eastAsia"/>
                                <w:bCs/>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4AB97" id="_x0000_t202" coordsize="21600,21600" o:spt="202" path="m,l,21600r21600,l21600,xe">
                <v:stroke joinstyle="miter"/>
                <v:path gradientshapeok="t" o:connecttype="rect"/>
              </v:shapetype>
              <v:shape id="Text Box 2" o:spid="_x0000_s1026" type="#_x0000_t202" style="position:absolute;margin-left:85.8pt;margin-top:5.8pt;width:426.9pt;height:6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" filled="f" strokeweight=".48pt">
                <v:textbox inset="0,0,0,0">
                  <w:txbxContent>
                    <w:p w14:paraId="7B415B03" w14:textId="77777777" w:rsidR="00C3148D" w:rsidRPr="00EE416A" w:rsidRDefault="00E17BB7" w:rsidP="006C5624">
                      <w:pPr>
                        <w:spacing w:before="81" w:line="254" w:lineRule="auto"/>
                        <w:ind w:left="79" w:right="194" w:firstLine="482"/>
                        <w:jc w:val="both"/>
                        <w:rPr>
                          <w:rFonts w:ascii="Times New Roman" w:eastAsiaTheme="majorEastAsia" w:hAnsi="Times New Roman" w:cs="Times New Roman"/>
                          <w:bCs/>
                          <w:sz w:val="28"/>
                        </w:rPr>
                      </w:pPr>
                      <w:r w:rsidRPr="00EE416A">
                        <w:rPr>
                          <w:rFonts w:ascii="Times New Roman" w:eastAsiaTheme="majorEastAsia" w:hAnsi="Times New Roman" w:cs="Times New Roman"/>
                          <w:bCs/>
                          <w:sz w:val="28"/>
                        </w:rPr>
                        <w:t>本公司董事会及全体董事保证本公告内容不存在任何虚假记载、误导性陈述或者重大遗漏，并对其内容的真实性、准确性和完整性承担个别及连带责任</w:t>
                      </w:r>
                      <w:r w:rsidR="006C5624" w:rsidRPr="00EE416A">
                        <w:rPr>
                          <w:rFonts w:ascii="Times New Roman" w:eastAsiaTheme="majorEastAsia" w:hAnsi="Times New Roman" w:cs="Times New Roman" w:hint="eastAsia"/>
                          <w:bCs/>
                          <w:sz w:val="28"/>
                        </w:rPr>
                        <w:t>。</w:t>
                      </w:r>
                    </w:p>
                  </w:txbxContent>
                </v:textbox>
                <w10:wrap anchorx="page"/>
              </v:shape>
            </w:pict>
          </mc:Fallback>
        </mc:AlternateContent>
      </w:r>
    </w:p>
    <w:p w14:paraId="6357D30D" w14:textId="77777777" w:rsidR="00C3148D" w:rsidRPr="00A57454" w:rsidRDefault="00C3148D">
      <w:pPr>
        <w:pStyle w:val="a3"/>
        <w:rPr>
          <w:rFonts w:ascii="Times New Roman" w:hAnsi="Times New Roman"/>
          <w:b/>
          <w:sz w:val="20"/>
        </w:rPr>
      </w:pPr>
    </w:p>
    <w:p w14:paraId="3B487BA8" w14:textId="77777777" w:rsidR="00C3148D" w:rsidRPr="00A57454" w:rsidRDefault="00C3148D">
      <w:pPr>
        <w:pStyle w:val="a3"/>
        <w:spacing w:before="5"/>
        <w:rPr>
          <w:rFonts w:ascii="Times New Roman" w:hAnsi="Times New Roman"/>
          <w:b/>
          <w:sz w:val="19"/>
        </w:rPr>
      </w:pPr>
    </w:p>
    <w:p w14:paraId="66BC9F04" w14:textId="77777777" w:rsidR="00C3148D" w:rsidRPr="00A57454" w:rsidRDefault="00C3148D">
      <w:pPr>
        <w:pStyle w:val="2"/>
        <w:spacing w:line="429" w:lineRule="exact"/>
        <w:jc w:val="right"/>
        <w:rPr>
          <w:rFonts w:ascii="Times New Roman" w:eastAsia="宋体" w:hAnsi="Times New Roman"/>
        </w:rPr>
      </w:pPr>
    </w:p>
    <w:p w14:paraId="6D2D4520" w14:textId="77777777" w:rsidR="00C3148D" w:rsidRPr="00A57454" w:rsidRDefault="00C3148D">
      <w:pPr>
        <w:pStyle w:val="a3"/>
        <w:spacing w:before="3"/>
        <w:rPr>
          <w:rFonts w:ascii="Times New Roman" w:hAnsi="Times New Roman"/>
          <w:b/>
          <w:sz w:val="26"/>
        </w:rPr>
      </w:pPr>
    </w:p>
    <w:p w14:paraId="7CC1D34F" w14:textId="77777777" w:rsidR="009B5BA1" w:rsidRDefault="009B5BA1">
      <w:pPr>
        <w:pStyle w:val="a3"/>
        <w:spacing w:before="66" w:line="364" w:lineRule="auto"/>
        <w:ind w:left="200" w:right="215" w:firstLine="479"/>
        <w:jc w:val="both"/>
        <w:rPr>
          <w:rFonts w:ascii="Times New Roman" w:hAnsi="Times New Roman"/>
        </w:rPr>
      </w:pPr>
    </w:p>
    <w:p w14:paraId="32D4731D" w14:textId="34010E87" w:rsidR="009B5BA1" w:rsidRPr="00EE416A" w:rsidRDefault="004563B3" w:rsidP="00E7605D">
      <w:pPr>
        <w:pStyle w:val="a3"/>
        <w:spacing w:before="66" w:line="364" w:lineRule="auto"/>
        <w:ind w:left="200" w:right="215" w:firstLine="479"/>
        <w:jc w:val="both"/>
        <w:rPr>
          <w:sz w:val="28"/>
          <w:szCs w:val="28"/>
        </w:rPr>
      </w:pPr>
      <w:r>
        <w:rPr>
          <w:rFonts w:hint="eastAsia"/>
          <w:sz w:val="28"/>
          <w:szCs w:val="28"/>
        </w:rPr>
        <w:t>近日，</w:t>
      </w:r>
      <w:proofErr w:type="gramStart"/>
      <w:r w:rsidR="009B5BA1" w:rsidRPr="00EE416A">
        <w:rPr>
          <w:rFonts w:hint="eastAsia"/>
          <w:sz w:val="28"/>
          <w:szCs w:val="28"/>
        </w:rPr>
        <w:t>兖</w:t>
      </w:r>
      <w:proofErr w:type="gramEnd"/>
      <w:r w:rsidR="009B5BA1" w:rsidRPr="00EE416A">
        <w:rPr>
          <w:rFonts w:hint="eastAsia"/>
          <w:sz w:val="28"/>
          <w:szCs w:val="28"/>
        </w:rPr>
        <w:t>矿能源集团股份有限公司（“公司”“本公司”）</w:t>
      </w:r>
      <w:r>
        <w:rPr>
          <w:rFonts w:hint="eastAsia"/>
          <w:sz w:val="28"/>
          <w:szCs w:val="28"/>
        </w:rPr>
        <w:t>收到</w:t>
      </w:r>
      <w:r w:rsidR="009B5BA1" w:rsidRPr="00EE416A">
        <w:rPr>
          <w:sz w:val="28"/>
          <w:szCs w:val="28"/>
        </w:rPr>
        <w:t>控股股东</w:t>
      </w:r>
      <w:r w:rsidR="009B5BA1" w:rsidRPr="00EE416A">
        <w:rPr>
          <w:rFonts w:hint="eastAsia"/>
          <w:sz w:val="28"/>
          <w:szCs w:val="28"/>
        </w:rPr>
        <w:t>山东能源集团有限公司</w:t>
      </w:r>
      <w:r w:rsidR="009B5BA1" w:rsidRPr="00EE416A">
        <w:rPr>
          <w:sz w:val="28"/>
          <w:szCs w:val="28"/>
        </w:rPr>
        <w:t>（</w:t>
      </w:r>
      <w:r w:rsidR="009B5BA1" w:rsidRPr="00EE416A">
        <w:rPr>
          <w:rFonts w:hint="eastAsia"/>
          <w:sz w:val="28"/>
          <w:szCs w:val="28"/>
        </w:rPr>
        <w:t>“山东能源”</w:t>
      </w:r>
      <w:r w:rsidR="009B5BA1" w:rsidRPr="00EE416A">
        <w:rPr>
          <w:sz w:val="28"/>
          <w:szCs w:val="28"/>
        </w:rPr>
        <w:t>）通知，</w:t>
      </w:r>
      <w:r w:rsidR="009B5BA1" w:rsidRPr="00EE416A">
        <w:rPr>
          <w:rFonts w:hint="eastAsia"/>
          <w:sz w:val="28"/>
          <w:szCs w:val="28"/>
        </w:rPr>
        <w:t>山东能源</w:t>
      </w:r>
      <w:r w:rsidR="009B5BA1" w:rsidRPr="00EE416A">
        <w:rPr>
          <w:sz w:val="28"/>
          <w:szCs w:val="28"/>
        </w:rPr>
        <w:t>2022年</w:t>
      </w:r>
      <w:r w:rsidR="009B5BA1" w:rsidRPr="00EE416A">
        <w:rPr>
          <w:rFonts w:hint="eastAsia"/>
          <w:sz w:val="28"/>
          <w:szCs w:val="28"/>
        </w:rPr>
        <w:t>面向专业</w:t>
      </w:r>
      <w:r w:rsidR="005E0961" w:rsidRPr="005E0961">
        <w:rPr>
          <w:rFonts w:hint="eastAsia"/>
          <w:sz w:val="28"/>
          <w:szCs w:val="28"/>
        </w:rPr>
        <w:t>机构</w:t>
      </w:r>
      <w:r w:rsidR="009B5BA1" w:rsidRPr="00EE416A">
        <w:rPr>
          <w:rFonts w:hint="eastAsia"/>
          <w:sz w:val="28"/>
          <w:szCs w:val="28"/>
        </w:rPr>
        <w:t>投资者</w:t>
      </w:r>
      <w:r w:rsidR="009B5BA1" w:rsidRPr="00EE416A">
        <w:rPr>
          <w:sz w:val="28"/>
          <w:szCs w:val="28"/>
        </w:rPr>
        <w:t>非公开发行可交换公司债券（</w:t>
      </w:r>
      <w:r w:rsidR="009B5BA1" w:rsidRPr="00EE416A">
        <w:rPr>
          <w:rFonts w:hint="eastAsia"/>
          <w:sz w:val="28"/>
          <w:szCs w:val="28"/>
        </w:rPr>
        <w:t>“</w:t>
      </w:r>
      <w:r w:rsidR="009B5BA1" w:rsidRPr="00EE416A">
        <w:rPr>
          <w:sz w:val="28"/>
          <w:szCs w:val="28"/>
        </w:rPr>
        <w:t>本期</w:t>
      </w:r>
      <w:r w:rsidR="0065016B" w:rsidRPr="00EE416A">
        <w:rPr>
          <w:rFonts w:hint="eastAsia"/>
          <w:sz w:val="28"/>
          <w:szCs w:val="28"/>
        </w:rPr>
        <w:t>可交换</w:t>
      </w:r>
      <w:r w:rsidR="007B1441" w:rsidRPr="00EE416A">
        <w:rPr>
          <w:rFonts w:hint="eastAsia"/>
          <w:sz w:val="28"/>
          <w:szCs w:val="28"/>
        </w:rPr>
        <w:t>公司</w:t>
      </w:r>
      <w:r w:rsidR="009B5BA1" w:rsidRPr="00EE416A">
        <w:rPr>
          <w:sz w:val="28"/>
          <w:szCs w:val="28"/>
        </w:rPr>
        <w:t>债券</w:t>
      </w:r>
      <w:r w:rsidR="009B5BA1" w:rsidRPr="00EE416A">
        <w:rPr>
          <w:rFonts w:hint="eastAsia"/>
          <w:sz w:val="28"/>
          <w:szCs w:val="28"/>
        </w:rPr>
        <w:t>”</w:t>
      </w:r>
      <w:r w:rsidR="00E7605D" w:rsidRPr="00EE416A">
        <w:rPr>
          <w:sz w:val="28"/>
          <w:szCs w:val="28"/>
        </w:rPr>
        <w:t>）</w:t>
      </w:r>
      <w:r w:rsidR="00917076">
        <w:rPr>
          <w:rFonts w:hint="eastAsia"/>
          <w:sz w:val="28"/>
          <w:szCs w:val="28"/>
        </w:rPr>
        <w:t>工作</w:t>
      </w:r>
      <w:r w:rsidR="0065016B" w:rsidRPr="00EE416A">
        <w:rPr>
          <w:rFonts w:hint="eastAsia"/>
          <w:sz w:val="28"/>
          <w:szCs w:val="28"/>
        </w:rPr>
        <w:t>已</w:t>
      </w:r>
      <w:r w:rsidR="00B1345F" w:rsidRPr="00B1345F">
        <w:rPr>
          <w:rFonts w:hint="eastAsia"/>
          <w:sz w:val="28"/>
          <w:szCs w:val="28"/>
        </w:rPr>
        <w:t>于</w:t>
      </w:r>
      <w:r w:rsidR="00B1345F" w:rsidRPr="00B1345F">
        <w:rPr>
          <w:sz w:val="28"/>
          <w:szCs w:val="28"/>
        </w:rPr>
        <w:t>2022年4月21日结束，发行规模为30亿元</w:t>
      </w:r>
      <w:r w:rsidR="00E7605D" w:rsidRPr="00EE416A">
        <w:rPr>
          <w:rFonts w:hint="eastAsia"/>
          <w:sz w:val="28"/>
          <w:szCs w:val="28"/>
        </w:rPr>
        <w:t>。</w:t>
      </w:r>
    </w:p>
    <w:p w14:paraId="1B50EB4A" w14:textId="2B630005" w:rsidR="009B5BA1" w:rsidRDefault="00917076" w:rsidP="00E7605D">
      <w:pPr>
        <w:pStyle w:val="a3"/>
        <w:spacing w:before="66" w:line="364" w:lineRule="auto"/>
        <w:ind w:left="200" w:right="215" w:firstLine="479"/>
        <w:jc w:val="both"/>
        <w:rPr>
          <w:sz w:val="28"/>
          <w:szCs w:val="28"/>
        </w:rPr>
      </w:pPr>
      <w:r>
        <w:rPr>
          <w:rFonts w:hint="eastAsia"/>
          <w:sz w:val="28"/>
          <w:szCs w:val="28"/>
        </w:rPr>
        <w:t>前期，</w:t>
      </w:r>
      <w:r w:rsidR="0065016B" w:rsidRPr="00EE416A">
        <w:rPr>
          <w:rFonts w:hint="eastAsia"/>
          <w:sz w:val="28"/>
          <w:szCs w:val="28"/>
        </w:rPr>
        <w:t>山东能源</w:t>
      </w:r>
      <w:r w:rsidR="00E7605D" w:rsidRPr="00EE416A">
        <w:rPr>
          <w:rFonts w:hint="eastAsia"/>
          <w:sz w:val="28"/>
          <w:szCs w:val="28"/>
        </w:rPr>
        <w:t>以其所持本公司部分A股股票及质押期间产生的</w:t>
      </w:r>
      <w:proofErr w:type="gramStart"/>
      <w:r w:rsidR="00E7605D" w:rsidRPr="00EE416A">
        <w:rPr>
          <w:rFonts w:hint="eastAsia"/>
          <w:sz w:val="28"/>
          <w:szCs w:val="28"/>
        </w:rPr>
        <w:t>孳</w:t>
      </w:r>
      <w:proofErr w:type="gramEnd"/>
      <w:r w:rsidR="00E7605D" w:rsidRPr="00EE416A">
        <w:rPr>
          <w:rFonts w:hint="eastAsia"/>
          <w:sz w:val="28"/>
          <w:szCs w:val="28"/>
        </w:rPr>
        <w:t>息为</w:t>
      </w:r>
      <w:proofErr w:type="gramStart"/>
      <w:r w:rsidR="00E7605D" w:rsidRPr="00EE416A">
        <w:rPr>
          <w:rFonts w:hint="eastAsia"/>
          <w:sz w:val="28"/>
          <w:szCs w:val="28"/>
        </w:rPr>
        <w:t>担保非</w:t>
      </w:r>
      <w:proofErr w:type="gramEnd"/>
      <w:r w:rsidR="00E7605D" w:rsidRPr="00EE416A">
        <w:rPr>
          <w:rFonts w:hint="eastAsia"/>
          <w:sz w:val="28"/>
          <w:szCs w:val="28"/>
        </w:rPr>
        <w:t>公开发行可交换公司债券事项已获得上海证券交易所对其挂牌转让无异议的函</w:t>
      </w:r>
      <w:r w:rsidR="007B1441" w:rsidRPr="00EE416A">
        <w:rPr>
          <w:rFonts w:hint="eastAsia"/>
          <w:sz w:val="28"/>
          <w:szCs w:val="28"/>
        </w:rPr>
        <w:t>，</w:t>
      </w:r>
      <w:r w:rsidR="00754DC9" w:rsidRPr="00EE416A">
        <w:rPr>
          <w:rFonts w:hint="eastAsia"/>
          <w:sz w:val="28"/>
          <w:szCs w:val="28"/>
        </w:rPr>
        <w:t>本期</w:t>
      </w:r>
      <w:r w:rsidR="000017EF" w:rsidRPr="00EE416A">
        <w:rPr>
          <w:rFonts w:hint="eastAsia"/>
          <w:sz w:val="28"/>
          <w:szCs w:val="28"/>
        </w:rPr>
        <w:t>可交换公司债券已办理完成</w:t>
      </w:r>
      <w:r w:rsidR="00754DC9" w:rsidRPr="00EE416A">
        <w:rPr>
          <w:rFonts w:hint="eastAsia"/>
          <w:sz w:val="28"/>
          <w:szCs w:val="28"/>
        </w:rPr>
        <w:t>股份质押手续</w:t>
      </w:r>
      <w:r w:rsidR="000017EF" w:rsidRPr="00EE416A">
        <w:rPr>
          <w:rFonts w:hint="eastAsia"/>
          <w:sz w:val="28"/>
          <w:szCs w:val="28"/>
        </w:rPr>
        <w:t>。</w:t>
      </w:r>
    </w:p>
    <w:p w14:paraId="5B0D3578" w14:textId="38042837" w:rsidR="00EE416A" w:rsidRPr="00EE416A" w:rsidRDefault="00EE416A" w:rsidP="00EE416A">
      <w:pPr>
        <w:spacing w:line="520" w:lineRule="exact"/>
        <w:ind w:firstLineChars="200" w:firstLine="560"/>
        <w:rPr>
          <w:rFonts w:ascii="楷体_GB2312" w:eastAsia="楷体_GB2312"/>
          <w:color w:val="000000"/>
          <w:sz w:val="28"/>
          <w:szCs w:val="28"/>
        </w:rPr>
      </w:pPr>
      <w:r w:rsidRPr="009D60DE">
        <w:rPr>
          <w:rFonts w:ascii="楷体_GB2312" w:eastAsia="楷体_GB2312" w:hint="eastAsia"/>
          <w:color w:val="000000"/>
          <w:sz w:val="28"/>
          <w:szCs w:val="28"/>
        </w:rPr>
        <w:t>有关详情请见公司日期为202</w:t>
      </w:r>
      <w:r>
        <w:rPr>
          <w:rFonts w:ascii="楷体_GB2312" w:eastAsia="楷体_GB2312"/>
          <w:color w:val="000000"/>
          <w:sz w:val="28"/>
          <w:szCs w:val="28"/>
        </w:rPr>
        <w:t>2</w:t>
      </w:r>
      <w:r w:rsidRPr="009D60DE">
        <w:rPr>
          <w:rFonts w:ascii="楷体_GB2312" w:eastAsia="楷体_GB2312" w:hint="eastAsia"/>
          <w:color w:val="000000"/>
          <w:sz w:val="28"/>
          <w:szCs w:val="28"/>
        </w:rPr>
        <w:t>年</w:t>
      </w:r>
      <w:r>
        <w:rPr>
          <w:rFonts w:ascii="楷体_GB2312" w:eastAsia="楷体_GB2312"/>
          <w:color w:val="000000"/>
          <w:sz w:val="28"/>
          <w:szCs w:val="28"/>
        </w:rPr>
        <w:t>4</w:t>
      </w:r>
      <w:r w:rsidRPr="009D60DE">
        <w:rPr>
          <w:rFonts w:ascii="楷体_GB2312" w:eastAsia="楷体_GB2312" w:hint="eastAsia"/>
          <w:color w:val="000000"/>
          <w:sz w:val="28"/>
          <w:szCs w:val="28"/>
        </w:rPr>
        <w:t>月</w:t>
      </w:r>
      <w:r>
        <w:rPr>
          <w:rFonts w:ascii="楷体_GB2312" w:eastAsia="楷体_GB2312"/>
          <w:color w:val="000000"/>
          <w:sz w:val="28"/>
          <w:szCs w:val="28"/>
        </w:rPr>
        <w:t>9</w:t>
      </w:r>
      <w:r w:rsidRPr="009D60DE">
        <w:rPr>
          <w:rFonts w:ascii="楷体_GB2312" w:eastAsia="楷体_GB2312" w:hint="eastAsia"/>
          <w:color w:val="000000"/>
          <w:sz w:val="28"/>
          <w:szCs w:val="28"/>
        </w:rPr>
        <w:t>日的</w:t>
      </w:r>
      <w:r w:rsidRPr="00E21994">
        <w:rPr>
          <w:rFonts w:ascii="楷体_GB2312" w:eastAsia="楷体_GB2312" w:hint="eastAsia"/>
          <w:color w:val="000000"/>
          <w:sz w:val="28"/>
          <w:szCs w:val="28"/>
        </w:rPr>
        <w:t>关于控股股东非公开发行可交换公司债券拟进行股份质押登记的公告</w:t>
      </w:r>
      <w:r>
        <w:rPr>
          <w:rFonts w:ascii="楷体_GB2312" w:eastAsia="楷体_GB2312" w:hint="eastAsia"/>
          <w:color w:val="000000"/>
          <w:sz w:val="28"/>
          <w:szCs w:val="28"/>
        </w:rPr>
        <w:t>，日期为</w:t>
      </w:r>
      <w:r w:rsidRPr="009D60DE">
        <w:rPr>
          <w:rFonts w:ascii="楷体_GB2312" w:eastAsia="楷体_GB2312" w:hint="eastAsia"/>
          <w:color w:val="000000"/>
          <w:sz w:val="28"/>
          <w:szCs w:val="28"/>
        </w:rPr>
        <w:t>202</w:t>
      </w:r>
      <w:r>
        <w:rPr>
          <w:rFonts w:ascii="楷体_GB2312" w:eastAsia="楷体_GB2312"/>
          <w:color w:val="000000"/>
          <w:sz w:val="28"/>
          <w:szCs w:val="28"/>
        </w:rPr>
        <w:t>2</w:t>
      </w:r>
      <w:r w:rsidRPr="009D60DE">
        <w:rPr>
          <w:rFonts w:ascii="楷体_GB2312" w:eastAsia="楷体_GB2312" w:hint="eastAsia"/>
          <w:color w:val="000000"/>
          <w:sz w:val="28"/>
          <w:szCs w:val="28"/>
        </w:rPr>
        <w:t>年</w:t>
      </w:r>
      <w:r>
        <w:rPr>
          <w:rFonts w:ascii="楷体_GB2312" w:eastAsia="楷体_GB2312"/>
          <w:color w:val="000000"/>
          <w:sz w:val="28"/>
          <w:szCs w:val="28"/>
        </w:rPr>
        <w:t>4</w:t>
      </w:r>
      <w:r w:rsidRPr="009D60DE">
        <w:rPr>
          <w:rFonts w:ascii="楷体_GB2312" w:eastAsia="楷体_GB2312" w:hint="eastAsia"/>
          <w:color w:val="000000"/>
          <w:sz w:val="28"/>
          <w:szCs w:val="28"/>
        </w:rPr>
        <w:t>月</w:t>
      </w:r>
      <w:r>
        <w:rPr>
          <w:rFonts w:ascii="楷体_GB2312" w:eastAsia="楷体_GB2312"/>
          <w:color w:val="000000"/>
          <w:sz w:val="28"/>
          <w:szCs w:val="28"/>
        </w:rPr>
        <w:t>14</w:t>
      </w:r>
      <w:r w:rsidRPr="009D60DE">
        <w:rPr>
          <w:rFonts w:ascii="楷体_GB2312" w:eastAsia="楷体_GB2312" w:hint="eastAsia"/>
          <w:color w:val="000000"/>
          <w:sz w:val="28"/>
          <w:szCs w:val="28"/>
        </w:rPr>
        <w:t>日的</w:t>
      </w:r>
      <w:r w:rsidRPr="00EE416A">
        <w:rPr>
          <w:rFonts w:ascii="楷体_GB2312" w:eastAsia="楷体_GB2312" w:hint="eastAsia"/>
          <w:color w:val="000000"/>
          <w:sz w:val="28"/>
          <w:szCs w:val="28"/>
        </w:rPr>
        <w:t>关于控股股东非公开发行可交换公司债券完成股份质押登记的公告</w:t>
      </w:r>
      <w:r w:rsidRPr="009D60DE">
        <w:rPr>
          <w:rFonts w:ascii="楷体_GB2312" w:eastAsia="楷体_GB2312" w:hint="eastAsia"/>
          <w:color w:val="000000"/>
          <w:sz w:val="28"/>
          <w:szCs w:val="28"/>
        </w:rPr>
        <w:t>。该等资料刊载于上海证券交易所网站、</w:t>
      </w:r>
      <w:r>
        <w:rPr>
          <w:rFonts w:ascii="楷体_GB2312" w:eastAsia="楷体_GB2312" w:hint="eastAsia"/>
          <w:color w:val="000000"/>
          <w:sz w:val="28"/>
          <w:szCs w:val="28"/>
        </w:rPr>
        <w:t>香港联合交易所有限公司</w:t>
      </w:r>
      <w:r w:rsidRPr="009D60DE">
        <w:rPr>
          <w:rFonts w:ascii="楷体_GB2312" w:eastAsia="楷体_GB2312" w:hint="eastAsia"/>
          <w:color w:val="000000"/>
          <w:sz w:val="28"/>
          <w:szCs w:val="28"/>
        </w:rPr>
        <w:t>网站、公司网站及/或中国境内《中国证券报》《上海证券报》《证券时报》《证券</w:t>
      </w:r>
      <w:r>
        <w:rPr>
          <w:rFonts w:ascii="楷体_GB2312" w:eastAsia="楷体_GB2312" w:hint="eastAsia"/>
          <w:color w:val="000000"/>
          <w:sz w:val="28"/>
          <w:szCs w:val="28"/>
        </w:rPr>
        <w:t>日</w:t>
      </w:r>
      <w:r w:rsidRPr="009D60DE">
        <w:rPr>
          <w:rFonts w:ascii="楷体_GB2312" w:eastAsia="楷体_GB2312" w:hint="eastAsia"/>
          <w:color w:val="000000"/>
          <w:sz w:val="28"/>
          <w:szCs w:val="28"/>
        </w:rPr>
        <w:t>报》。</w:t>
      </w:r>
    </w:p>
    <w:p w14:paraId="0A5F41DD" w14:textId="34B285C1" w:rsidR="009B5BA1" w:rsidRPr="00EE416A" w:rsidRDefault="00A04666" w:rsidP="00A04666">
      <w:pPr>
        <w:pStyle w:val="a3"/>
        <w:spacing w:before="240" w:line="365" w:lineRule="auto"/>
        <w:ind w:left="198" w:right="215" w:firstLine="476"/>
        <w:jc w:val="both"/>
        <w:rPr>
          <w:sz w:val="28"/>
          <w:szCs w:val="28"/>
        </w:rPr>
      </w:pPr>
      <w:r w:rsidRPr="00EE416A">
        <w:rPr>
          <w:rFonts w:hint="eastAsia"/>
          <w:sz w:val="28"/>
          <w:szCs w:val="28"/>
        </w:rPr>
        <w:t>本期可交换公司债券</w:t>
      </w:r>
      <w:r w:rsidR="000017EF" w:rsidRPr="00EE416A">
        <w:rPr>
          <w:rFonts w:hint="eastAsia"/>
          <w:sz w:val="28"/>
          <w:szCs w:val="28"/>
        </w:rPr>
        <w:t>简称为“22SN01EB”，代码为“137143”，</w:t>
      </w:r>
      <w:r w:rsidR="009B5BA1" w:rsidRPr="00EE416A">
        <w:rPr>
          <w:sz w:val="28"/>
          <w:szCs w:val="28"/>
        </w:rPr>
        <w:t>面向</w:t>
      </w:r>
      <w:r w:rsidR="009B5BA1" w:rsidRPr="00EE416A">
        <w:rPr>
          <w:rFonts w:hint="eastAsia"/>
          <w:sz w:val="28"/>
          <w:szCs w:val="28"/>
        </w:rPr>
        <w:t>专业</w:t>
      </w:r>
      <w:bookmarkStart w:id="0" w:name="_Hlk101512077"/>
      <w:r w:rsidR="009B5BA1" w:rsidRPr="00EE416A">
        <w:rPr>
          <w:sz w:val="28"/>
          <w:szCs w:val="28"/>
        </w:rPr>
        <w:t>机构</w:t>
      </w:r>
      <w:bookmarkEnd w:id="0"/>
      <w:r w:rsidR="009B5BA1" w:rsidRPr="00EE416A">
        <w:rPr>
          <w:sz w:val="28"/>
          <w:szCs w:val="28"/>
        </w:rPr>
        <w:t>投资者</w:t>
      </w:r>
      <w:r w:rsidR="0065016B" w:rsidRPr="00EE416A">
        <w:rPr>
          <w:rFonts w:hint="eastAsia"/>
          <w:sz w:val="28"/>
          <w:szCs w:val="28"/>
        </w:rPr>
        <w:t>非公开发行，</w:t>
      </w:r>
      <w:r w:rsidR="009B5BA1" w:rsidRPr="00EE416A">
        <w:rPr>
          <w:sz w:val="28"/>
          <w:szCs w:val="28"/>
        </w:rPr>
        <w:t>债券的期限为3年，换股期限为自</w:t>
      </w:r>
      <w:r w:rsidR="00917076" w:rsidRPr="00EE416A">
        <w:rPr>
          <w:sz w:val="28"/>
          <w:szCs w:val="28"/>
        </w:rPr>
        <w:t>本期</w:t>
      </w:r>
      <w:r w:rsidR="00917076" w:rsidRPr="00EE416A">
        <w:rPr>
          <w:rFonts w:hint="eastAsia"/>
          <w:sz w:val="28"/>
          <w:szCs w:val="28"/>
        </w:rPr>
        <w:t>可交换公司</w:t>
      </w:r>
      <w:r w:rsidR="00917076" w:rsidRPr="00EE416A">
        <w:rPr>
          <w:sz w:val="28"/>
          <w:szCs w:val="28"/>
        </w:rPr>
        <w:t>债券</w:t>
      </w:r>
      <w:r w:rsidR="009B5BA1" w:rsidRPr="00EE416A">
        <w:rPr>
          <w:sz w:val="28"/>
          <w:szCs w:val="28"/>
        </w:rPr>
        <w:t>发行结束之日起满6个月后的第一个交易日</w:t>
      </w:r>
      <w:r w:rsidR="00917076">
        <w:rPr>
          <w:rFonts w:hint="eastAsia"/>
          <w:sz w:val="28"/>
          <w:szCs w:val="28"/>
        </w:rPr>
        <w:t>开始，</w:t>
      </w:r>
      <w:r w:rsidR="009B5BA1" w:rsidRPr="00EE416A">
        <w:rPr>
          <w:sz w:val="28"/>
          <w:szCs w:val="28"/>
        </w:rPr>
        <w:t>至债券摘牌日前一个交易日止。</w:t>
      </w:r>
    </w:p>
    <w:p w14:paraId="7B3FD44F" w14:textId="77777777" w:rsidR="00A04666" w:rsidRDefault="00A04666">
      <w:pPr>
        <w:pStyle w:val="a3"/>
        <w:spacing w:line="304" w:lineRule="exact"/>
        <w:ind w:left="680"/>
        <w:rPr>
          <w:sz w:val="28"/>
          <w:szCs w:val="28"/>
        </w:rPr>
      </w:pPr>
    </w:p>
    <w:p w14:paraId="3FAA345B" w14:textId="6FA72B95" w:rsidR="00C3148D" w:rsidRPr="00EE416A" w:rsidRDefault="00E17BB7">
      <w:pPr>
        <w:pStyle w:val="a3"/>
        <w:spacing w:line="304" w:lineRule="exact"/>
        <w:ind w:left="680"/>
        <w:rPr>
          <w:sz w:val="28"/>
          <w:szCs w:val="28"/>
        </w:rPr>
      </w:pPr>
      <w:r w:rsidRPr="00EE416A">
        <w:rPr>
          <w:sz w:val="28"/>
          <w:szCs w:val="28"/>
        </w:rPr>
        <w:t>特此公告。</w:t>
      </w:r>
    </w:p>
    <w:p w14:paraId="01A58944" w14:textId="77777777" w:rsidR="00A04666" w:rsidRDefault="00A04666">
      <w:pPr>
        <w:pStyle w:val="a3"/>
        <w:spacing w:before="156"/>
        <w:ind w:right="218"/>
        <w:jc w:val="right"/>
        <w:rPr>
          <w:sz w:val="28"/>
          <w:szCs w:val="28"/>
        </w:rPr>
      </w:pPr>
    </w:p>
    <w:p w14:paraId="11291213" w14:textId="77777777" w:rsidR="00A04666" w:rsidRDefault="00A04666">
      <w:pPr>
        <w:pStyle w:val="a3"/>
        <w:spacing w:before="156"/>
        <w:ind w:right="218"/>
        <w:jc w:val="right"/>
        <w:rPr>
          <w:sz w:val="28"/>
          <w:szCs w:val="28"/>
        </w:rPr>
      </w:pPr>
    </w:p>
    <w:p w14:paraId="7FA75CB3" w14:textId="468FAE93" w:rsidR="00C3148D" w:rsidRPr="00EE416A" w:rsidRDefault="002379D8">
      <w:pPr>
        <w:pStyle w:val="a3"/>
        <w:spacing w:before="156"/>
        <w:ind w:right="218"/>
        <w:jc w:val="right"/>
        <w:rPr>
          <w:sz w:val="28"/>
          <w:szCs w:val="28"/>
        </w:rPr>
      </w:pPr>
      <w:r w:rsidRPr="00EE416A">
        <w:rPr>
          <w:sz w:val="28"/>
          <w:szCs w:val="28"/>
        </w:rPr>
        <w:t>兖矿能源集团股份有限公司</w:t>
      </w:r>
      <w:r w:rsidR="00E17BB7" w:rsidRPr="00EE416A">
        <w:rPr>
          <w:sz w:val="28"/>
          <w:szCs w:val="28"/>
        </w:rPr>
        <w:t>董事会</w:t>
      </w:r>
    </w:p>
    <w:p w14:paraId="529C3078" w14:textId="194A387D" w:rsidR="00C3148D" w:rsidRPr="00EE416A" w:rsidRDefault="00EE416A" w:rsidP="00EE416A">
      <w:pPr>
        <w:pStyle w:val="a3"/>
        <w:spacing w:before="158"/>
        <w:ind w:right="1336"/>
        <w:jc w:val="right"/>
        <w:rPr>
          <w:sz w:val="28"/>
          <w:szCs w:val="28"/>
        </w:rPr>
      </w:pPr>
      <w:r>
        <w:rPr>
          <w:rFonts w:hint="eastAsia"/>
          <w:sz w:val="28"/>
          <w:szCs w:val="28"/>
        </w:rPr>
        <w:t>2</w:t>
      </w:r>
      <w:r>
        <w:rPr>
          <w:sz w:val="28"/>
          <w:szCs w:val="28"/>
        </w:rPr>
        <w:t>022</w:t>
      </w:r>
      <w:r w:rsidR="00D47F8A" w:rsidRPr="00EE416A">
        <w:rPr>
          <w:sz w:val="28"/>
          <w:szCs w:val="28"/>
        </w:rPr>
        <w:t>年</w:t>
      </w:r>
      <w:r>
        <w:rPr>
          <w:rFonts w:hint="eastAsia"/>
          <w:sz w:val="28"/>
          <w:szCs w:val="28"/>
        </w:rPr>
        <w:t>4</w:t>
      </w:r>
      <w:r w:rsidR="00D47F8A" w:rsidRPr="00EE416A">
        <w:rPr>
          <w:sz w:val="28"/>
          <w:szCs w:val="28"/>
        </w:rPr>
        <w:t>月</w:t>
      </w:r>
      <w:r>
        <w:rPr>
          <w:rFonts w:hint="eastAsia"/>
          <w:sz w:val="28"/>
          <w:szCs w:val="28"/>
        </w:rPr>
        <w:t>2</w:t>
      </w:r>
      <w:r>
        <w:rPr>
          <w:sz w:val="28"/>
          <w:szCs w:val="28"/>
        </w:rPr>
        <w:t>2</w:t>
      </w:r>
      <w:r w:rsidR="00E17BB7" w:rsidRPr="00EE416A">
        <w:rPr>
          <w:sz w:val="28"/>
          <w:szCs w:val="28"/>
        </w:rPr>
        <w:t>日</w:t>
      </w:r>
    </w:p>
    <w:p w14:paraId="4CFC45BB" w14:textId="77777777" w:rsidR="00C3148D" w:rsidRPr="00EE416A" w:rsidRDefault="00C3148D">
      <w:pPr>
        <w:pStyle w:val="a3"/>
        <w:spacing w:before="1"/>
        <w:rPr>
          <w:sz w:val="28"/>
          <w:szCs w:val="28"/>
        </w:rPr>
      </w:pPr>
    </w:p>
    <w:p w14:paraId="050C047C" w14:textId="63747925" w:rsidR="00C3148D" w:rsidRPr="00A57454" w:rsidRDefault="00C3148D">
      <w:pPr>
        <w:spacing w:before="63"/>
        <w:ind w:right="18"/>
        <w:jc w:val="center"/>
        <w:rPr>
          <w:rFonts w:ascii="Times New Roman" w:hAnsi="Times New Roman"/>
          <w:sz w:val="18"/>
        </w:rPr>
      </w:pPr>
    </w:p>
    <w:sectPr w:rsidR="00C3148D" w:rsidRPr="00A57454" w:rsidSect="00312AF8">
      <w:footerReference w:type="default" r:id="rId6"/>
      <w:type w:val="continuous"/>
      <w:pgSz w:w="11910" w:h="16840"/>
      <w:pgMar w:top="1797" w:right="1440" w:bottom="1797"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FA98" w14:textId="77777777" w:rsidR="006711EC" w:rsidRDefault="006711EC" w:rsidP="006C5624">
      <w:r>
        <w:separator/>
      </w:r>
    </w:p>
  </w:endnote>
  <w:endnote w:type="continuationSeparator" w:id="0">
    <w:p w14:paraId="1AA4A85D" w14:textId="77777777" w:rsidR="006711EC" w:rsidRDefault="006711EC" w:rsidP="006C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687540"/>
      <w:docPartObj>
        <w:docPartGallery w:val="Page Numbers (Bottom of Page)"/>
        <w:docPartUnique/>
      </w:docPartObj>
    </w:sdtPr>
    <w:sdtEndPr/>
    <w:sdtContent>
      <w:p w14:paraId="6C07211B" w14:textId="2C3BC6FE" w:rsidR="00312AF8" w:rsidRDefault="00312AF8">
        <w:pPr>
          <w:pStyle w:val="a8"/>
          <w:jc w:val="center"/>
        </w:pPr>
        <w:r>
          <w:fldChar w:fldCharType="begin"/>
        </w:r>
        <w:r>
          <w:instrText>PAGE   \* MERGEFORMAT</w:instrText>
        </w:r>
        <w:r>
          <w:fldChar w:fldCharType="separate"/>
        </w:r>
        <w:r>
          <w:t>2</w:t>
        </w:r>
        <w:r>
          <w:fldChar w:fldCharType="end"/>
        </w:r>
      </w:p>
    </w:sdtContent>
  </w:sdt>
  <w:p w14:paraId="16116379" w14:textId="59E39830" w:rsidR="00312AF8" w:rsidRDefault="00312AF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E240" w14:textId="77777777" w:rsidR="006711EC" w:rsidRDefault="006711EC" w:rsidP="006C5624">
      <w:r>
        <w:separator/>
      </w:r>
    </w:p>
  </w:footnote>
  <w:footnote w:type="continuationSeparator" w:id="0">
    <w:p w14:paraId="78D3236A" w14:textId="77777777" w:rsidR="006711EC" w:rsidRDefault="006711EC" w:rsidP="006C5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48D"/>
    <w:rsid w:val="000017EF"/>
    <w:rsid w:val="000632A8"/>
    <w:rsid w:val="00080AFA"/>
    <w:rsid w:val="0009000D"/>
    <w:rsid w:val="000D3262"/>
    <w:rsid w:val="001471E9"/>
    <w:rsid w:val="00171D6B"/>
    <w:rsid w:val="0021723B"/>
    <w:rsid w:val="002379D8"/>
    <w:rsid w:val="00292345"/>
    <w:rsid w:val="00312AF8"/>
    <w:rsid w:val="003210B8"/>
    <w:rsid w:val="00325995"/>
    <w:rsid w:val="003311A1"/>
    <w:rsid w:val="003374A2"/>
    <w:rsid w:val="003E7CC2"/>
    <w:rsid w:val="004016C7"/>
    <w:rsid w:val="004563B3"/>
    <w:rsid w:val="004721D4"/>
    <w:rsid w:val="004B12A8"/>
    <w:rsid w:val="004B6595"/>
    <w:rsid w:val="004F0101"/>
    <w:rsid w:val="0050282D"/>
    <w:rsid w:val="005832E9"/>
    <w:rsid w:val="005A6FCF"/>
    <w:rsid w:val="005D2DA8"/>
    <w:rsid w:val="005D638F"/>
    <w:rsid w:val="005E0961"/>
    <w:rsid w:val="0065016B"/>
    <w:rsid w:val="00652576"/>
    <w:rsid w:val="006711EC"/>
    <w:rsid w:val="00693874"/>
    <w:rsid w:val="006B0A25"/>
    <w:rsid w:val="006C5624"/>
    <w:rsid w:val="007166A1"/>
    <w:rsid w:val="00743108"/>
    <w:rsid w:val="00754DC9"/>
    <w:rsid w:val="007B1441"/>
    <w:rsid w:val="007B5445"/>
    <w:rsid w:val="008A1F0E"/>
    <w:rsid w:val="008A3F49"/>
    <w:rsid w:val="008F5079"/>
    <w:rsid w:val="00917076"/>
    <w:rsid w:val="00923857"/>
    <w:rsid w:val="009452C3"/>
    <w:rsid w:val="009B5BA1"/>
    <w:rsid w:val="00A04666"/>
    <w:rsid w:val="00A112E5"/>
    <w:rsid w:val="00A57454"/>
    <w:rsid w:val="00A75A74"/>
    <w:rsid w:val="00A82553"/>
    <w:rsid w:val="00A958FD"/>
    <w:rsid w:val="00B1345F"/>
    <w:rsid w:val="00B70B92"/>
    <w:rsid w:val="00B97D41"/>
    <w:rsid w:val="00BF4DCA"/>
    <w:rsid w:val="00C254DF"/>
    <w:rsid w:val="00C25B6B"/>
    <w:rsid w:val="00C3148D"/>
    <w:rsid w:val="00C64788"/>
    <w:rsid w:val="00C8353F"/>
    <w:rsid w:val="00D47F8A"/>
    <w:rsid w:val="00DD0AF7"/>
    <w:rsid w:val="00DD546D"/>
    <w:rsid w:val="00E17BB7"/>
    <w:rsid w:val="00E7605D"/>
    <w:rsid w:val="00E95245"/>
    <w:rsid w:val="00EA7A4C"/>
    <w:rsid w:val="00EB0C7A"/>
    <w:rsid w:val="00ED130A"/>
    <w:rsid w:val="00EE4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9DE01"/>
  <w15:docId w15:val="{7ABC06F0-2778-4A59-A203-CA26D573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宋体" w:eastAsia="宋体" w:hAnsi="宋体" w:cs="宋体"/>
      <w:lang w:val="zh-CN" w:eastAsia="zh-CN" w:bidi="zh-CN"/>
    </w:rPr>
  </w:style>
  <w:style w:type="paragraph" w:styleId="1">
    <w:name w:val="heading 1"/>
    <w:basedOn w:val="a"/>
    <w:uiPriority w:val="1"/>
    <w:qFormat/>
    <w:pPr>
      <w:ind w:right="23" w:hanging="2"/>
      <w:jc w:val="center"/>
      <w:outlineLvl w:val="0"/>
    </w:pPr>
    <w:rPr>
      <w:rFonts w:ascii="Microsoft JhengHei" w:eastAsia="Microsoft JhengHei" w:hAnsi="Microsoft JhengHei" w:cs="Microsoft JhengHei"/>
      <w:b/>
      <w:bCs/>
      <w:sz w:val="32"/>
      <w:szCs w:val="32"/>
    </w:rPr>
  </w:style>
  <w:style w:type="paragraph" w:styleId="2">
    <w:name w:val="heading 2"/>
    <w:basedOn w:val="a"/>
    <w:uiPriority w:val="1"/>
    <w:qFormat/>
    <w:pPr>
      <w:ind w:right="98"/>
      <w:outlineLvl w:val="1"/>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6C562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C5624"/>
    <w:rPr>
      <w:rFonts w:ascii="宋体" w:eastAsia="宋体" w:hAnsi="宋体" w:cs="宋体"/>
      <w:sz w:val="18"/>
      <w:szCs w:val="18"/>
      <w:lang w:val="zh-CN" w:eastAsia="zh-CN" w:bidi="zh-CN"/>
    </w:rPr>
  </w:style>
  <w:style w:type="paragraph" w:styleId="a8">
    <w:name w:val="footer"/>
    <w:basedOn w:val="a"/>
    <w:link w:val="a9"/>
    <w:uiPriority w:val="99"/>
    <w:unhideWhenUsed/>
    <w:rsid w:val="006C5624"/>
    <w:pPr>
      <w:tabs>
        <w:tab w:val="center" w:pos="4153"/>
        <w:tab w:val="right" w:pos="8306"/>
      </w:tabs>
      <w:snapToGrid w:val="0"/>
    </w:pPr>
    <w:rPr>
      <w:sz w:val="18"/>
      <w:szCs w:val="18"/>
    </w:rPr>
  </w:style>
  <w:style w:type="character" w:customStyle="1" w:styleId="a9">
    <w:name w:val="页脚 字符"/>
    <w:basedOn w:val="a0"/>
    <w:link w:val="a8"/>
    <w:uiPriority w:val="99"/>
    <w:rsid w:val="006C5624"/>
    <w:rPr>
      <w:rFonts w:ascii="宋体" w:eastAsia="宋体" w:hAnsi="宋体" w:cs="宋体"/>
      <w:sz w:val="18"/>
      <w:szCs w:val="18"/>
      <w:lang w:val="zh-CN" w:eastAsia="zh-CN" w:bidi="zh-CN"/>
    </w:rPr>
  </w:style>
  <w:style w:type="character" w:customStyle="1" w:styleId="a4">
    <w:name w:val="正文文本 字符"/>
    <w:basedOn w:val="a0"/>
    <w:link w:val="a3"/>
    <w:uiPriority w:val="1"/>
    <w:rsid w:val="00A04666"/>
    <w:rPr>
      <w:rFonts w:ascii="宋体" w:eastAsia="宋体" w:hAnsi="宋体" w:cs="宋体"/>
      <w:sz w:val="24"/>
      <w:szCs w:val="24"/>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100</Words>
  <Characters>513</Characters>
  <Application>Microsoft Office Word</Application>
  <DocSecurity>0</DocSecurity>
  <Lines>24</Lines>
  <Paragraphs>20</Paragraphs>
  <ScaleCrop>false</ScaleCrop>
  <Company>Microsoft</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建德</cp:lastModifiedBy>
  <cp:revision>9</cp:revision>
  <cp:lastPrinted>2022-04-22T01:48:00Z</cp:lastPrinted>
  <dcterms:created xsi:type="dcterms:W3CDTF">2022-04-21T08:21:00Z</dcterms:created>
  <dcterms:modified xsi:type="dcterms:W3CDTF">2022-04-22T06:48:00Z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2022-03-02T00:00:00Z</vt:filetime>
  </property>
  <property fmtid="{D5CDD505-2E9C-101B-9397-08002B2CF9AE}" pid="3" name="Creator">
    <vt:lpwstr>Microsoft® Word 2016</vt:lpwstr>
  </property>
  <property fmtid="{D5CDD505-2E9C-101B-9397-08002B2CF9AE}" pid="4" name="LastSaved">
    <vt:filetime>2022-03-22T00:00:00Z</vt:filetime>
  </property>
</Properties>
</file>