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2A73" w14:textId="574FAC29" w:rsidR="00B155F6" w:rsidRDefault="00B155F6" w:rsidP="00B155F6">
      <w:pPr>
        <w:adjustRightInd w:val="0"/>
        <w:snapToGrid w:val="0"/>
        <w:spacing w:line="600" w:lineRule="exact"/>
        <w:rPr>
          <w:rFonts w:ascii="黑体" w:eastAsia="黑体" w:hAnsi="黑体"/>
          <w:szCs w:val="21"/>
        </w:rPr>
      </w:pPr>
      <w:r w:rsidRPr="00286D7B">
        <w:rPr>
          <w:rFonts w:ascii="黑体" w:eastAsia="黑体" w:hAnsi="黑体" w:hint="eastAsia"/>
          <w:szCs w:val="21"/>
        </w:rPr>
        <w:t>股票</w:t>
      </w:r>
      <w:r w:rsidRPr="00286D7B">
        <w:rPr>
          <w:rFonts w:ascii="黑体" w:eastAsia="黑体" w:hAnsi="黑体"/>
          <w:szCs w:val="21"/>
        </w:rPr>
        <w:t xml:space="preserve">代码：600188      </w:t>
      </w:r>
      <w:r>
        <w:rPr>
          <w:rFonts w:ascii="黑体" w:eastAsia="黑体" w:hAnsi="黑体"/>
          <w:szCs w:val="21"/>
        </w:rPr>
        <w:t xml:space="preserve">  </w:t>
      </w:r>
      <w:r w:rsidRPr="00286D7B">
        <w:rPr>
          <w:rFonts w:ascii="黑体" w:eastAsia="黑体" w:hAnsi="黑体"/>
          <w:szCs w:val="21"/>
        </w:rPr>
        <w:t xml:space="preserve">   </w:t>
      </w:r>
      <w:r>
        <w:rPr>
          <w:rFonts w:ascii="黑体" w:eastAsia="黑体" w:hAnsi="黑体"/>
          <w:szCs w:val="21"/>
        </w:rPr>
        <w:t xml:space="preserve">  </w:t>
      </w:r>
      <w:r w:rsidRPr="00286D7B">
        <w:rPr>
          <w:rFonts w:ascii="黑体" w:eastAsia="黑体" w:hAnsi="黑体"/>
          <w:szCs w:val="21"/>
        </w:rPr>
        <w:t xml:space="preserve">  股票简称：</w:t>
      </w:r>
      <w:r w:rsidR="00E62D60">
        <w:rPr>
          <w:rFonts w:ascii="黑体" w:eastAsia="黑体" w:hAnsi="黑体" w:hint="eastAsia"/>
          <w:szCs w:val="21"/>
        </w:rPr>
        <w:t>兖矿能源</w:t>
      </w:r>
      <w:r w:rsidRPr="00286D7B">
        <w:rPr>
          <w:rFonts w:ascii="黑体" w:eastAsia="黑体" w:hAnsi="黑体" w:hint="eastAsia"/>
          <w:szCs w:val="21"/>
        </w:rPr>
        <w:t xml:space="preserve"> </w:t>
      </w:r>
      <w:r w:rsidRPr="00286D7B">
        <w:rPr>
          <w:rFonts w:ascii="黑体" w:eastAsia="黑体" w:hAnsi="黑体"/>
          <w:szCs w:val="21"/>
        </w:rPr>
        <w:t xml:space="preserve">     </w:t>
      </w:r>
      <w:r>
        <w:rPr>
          <w:rFonts w:ascii="黑体" w:eastAsia="黑体" w:hAnsi="黑体"/>
          <w:szCs w:val="21"/>
        </w:rPr>
        <w:t xml:space="preserve">     </w:t>
      </w:r>
      <w:r w:rsidRPr="00286D7B">
        <w:rPr>
          <w:rFonts w:ascii="黑体" w:eastAsia="黑体" w:hAnsi="黑体"/>
          <w:szCs w:val="21"/>
        </w:rPr>
        <w:t xml:space="preserve">   </w:t>
      </w:r>
      <w:r w:rsidRPr="00286D7B">
        <w:rPr>
          <w:rFonts w:ascii="黑体" w:eastAsia="黑体" w:hAnsi="黑体" w:hint="eastAsia"/>
          <w:szCs w:val="21"/>
        </w:rPr>
        <w:t xml:space="preserve"> </w:t>
      </w:r>
      <w:r w:rsidRPr="00286D7B">
        <w:rPr>
          <w:rFonts w:ascii="黑体" w:eastAsia="黑体" w:hAnsi="黑体"/>
          <w:szCs w:val="21"/>
        </w:rPr>
        <w:t>编号：</w:t>
      </w:r>
      <w:r w:rsidRPr="00286D7B">
        <w:rPr>
          <w:rFonts w:ascii="黑体" w:eastAsia="黑体" w:hAnsi="黑体" w:hint="eastAsia"/>
          <w:szCs w:val="21"/>
        </w:rPr>
        <w:t>临</w:t>
      </w:r>
      <w:r w:rsidRPr="00286D7B">
        <w:rPr>
          <w:rFonts w:ascii="黑体" w:eastAsia="黑体" w:hAnsi="黑体"/>
          <w:szCs w:val="21"/>
        </w:rPr>
        <w:t>2021-</w:t>
      </w:r>
      <w:r w:rsidRPr="00286D7B">
        <w:rPr>
          <w:rFonts w:ascii="黑体" w:eastAsia="黑体" w:hAnsi="黑体" w:hint="eastAsia"/>
          <w:szCs w:val="21"/>
        </w:rPr>
        <w:t>0</w:t>
      </w:r>
      <w:r w:rsidR="00AA2439">
        <w:rPr>
          <w:rFonts w:ascii="黑体" w:eastAsia="黑体" w:hAnsi="黑体" w:hint="eastAsia"/>
          <w:szCs w:val="21"/>
        </w:rPr>
        <w:t>8</w:t>
      </w:r>
      <w:r w:rsidR="00AA2439">
        <w:rPr>
          <w:rFonts w:ascii="黑体" w:eastAsia="黑体" w:hAnsi="黑体"/>
          <w:szCs w:val="21"/>
        </w:rPr>
        <w:t>9</w:t>
      </w:r>
    </w:p>
    <w:p w14:paraId="62C84A94" w14:textId="77777777" w:rsidR="00E62D60" w:rsidRPr="00286D7B" w:rsidRDefault="00E62D60" w:rsidP="00E62D60">
      <w:pPr>
        <w:adjustRightInd w:val="0"/>
        <w:snapToGrid w:val="0"/>
        <w:rPr>
          <w:rFonts w:ascii="黑体" w:eastAsia="黑体" w:hAnsi="黑体"/>
          <w:szCs w:val="21"/>
        </w:rPr>
      </w:pPr>
    </w:p>
    <w:p w14:paraId="38E1F093" w14:textId="77777777" w:rsidR="00C24EC2" w:rsidRPr="00D64136" w:rsidRDefault="00E62D60" w:rsidP="00E62D60">
      <w:pPr>
        <w:adjustRightInd w:val="0"/>
        <w:snapToGrid w:val="0"/>
        <w:jc w:val="center"/>
        <w:rPr>
          <w:rFonts w:eastAsia="黑体"/>
          <w:b/>
          <w:bCs/>
          <w:color w:val="FF0000"/>
          <w:sz w:val="36"/>
          <w:szCs w:val="36"/>
        </w:rPr>
      </w:pPr>
      <w:proofErr w:type="gramStart"/>
      <w:r>
        <w:rPr>
          <w:rFonts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eastAsia="黑体" w:hint="eastAsia"/>
          <w:b/>
          <w:bCs/>
          <w:color w:val="FF0000"/>
          <w:sz w:val="36"/>
          <w:szCs w:val="36"/>
        </w:rPr>
        <w:t>矿能源集团</w:t>
      </w:r>
      <w:r w:rsidR="00EA2AE3">
        <w:rPr>
          <w:rFonts w:eastAsia="黑体" w:hint="eastAsia"/>
          <w:b/>
          <w:bCs/>
          <w:color w:val="FF0000"/>
          <w:sz w:val="36"/>
          <w:szCs w:val="36"/>
        </w:rPr>
        <w:t>股份</w:t>
      </w:r>
      <w:r w:rsidR="00AF57CC" w:rsidRPr="00D64136">
        <w:rPr>
          <w:rFonts w:eastAsia="黑体"/>
          <w:b/>
          <w:bCs/>
          <w:color w:val="FF0000"/>
          <w:sz w:val="36"/>
          <w:szCs w:val="36"/>
        </w:rPr>
        <w:t>有限公司</w:t>
      </w:r>
    </w:p>
    <w:p w14:paraId="4ED704F4" w14:textId="77777777" w:rsidR="00C24EC2" w:rsidRDefault="00E62D60" w:rsidP="00E62D60">
      <w:pPr>
        <w:adjustRightInd w:val="0"/>
        <w:snapToGrid w:val="0"/>
        <w:jc w:val="center"/>
        <w:rPr>
          <w:rFonts w:eastAsia="黑体"/>
          <w:b/>
          <w:bCs/>
          <w:color w:val="FF0000"/>
          <w:sz w:val="36"/>
          <w:szCs w:val="36"/>
        </w:rPr>
      </w:pPr>
      <w:r w:rsidRPr="00E62D60">
        <w:rPr>
          <w:rFonts w:eastAsia="黑体" w:hint="eastAsia"/>
          <w:b/>
          <w:bCs/>
          <w:color w:val="FF0000"/>
          <w:sz w:val="36"/>
          <w:szCs w:val="36"/>
        </w:rPr>
        <w:t>关于</w:t>
      </w:r>
      <w:r w:rsidRPr="00E62D60">
        <w:rPr>
          <w:rFonts w:eastAsia="黑体" w:hint="eastAsia"/>
          <w:b/>
          <w:bCs/>
          <w:color w:val="FF0000"/>
          <w:sz w:val="36"/>
          <w:szCs w:val="36"/>
        </w:rPr>
        <w:t>2021</w:t>
      </w:r>
      <w:r w:rsidRPr="00E62D60">
        <w:rPr>
          <w:rFonts w:eastAsia="黑体" w:hint="eastAsia"/>
          <w:b/>
          <w:bCs/>
          <w:color w:val="FF0000"/>
          <w:sz w:val="36"/>
          <w:szCs w:val="36"/>
        </w:rPr>
        <w:t>年限制性股票激励计划（草案）及相关文件的修订说明公告</w:t>
      </w:r>
    </w:p>
    <w:p w14:paraId="29E5DE68" w14:textId="77777777" w:rsidR="00E62D60" w:rsidRPr="0084769B" w:rsidRDefault="00E62D60" w:rsidP="00E62D60">
      <w:pPr>
        <w:adjustRightInd w:val="0"/>
        <w:snapToGrid w:val="0"/>
        <w:jc w:val="center"/>
        <w:rPr>
          <w:rFonts w:eastAsiaTheme="minorEastAsia"/>
          <w:szCs w:val="21"/>
        </w:rPr>
      </w:pPr>
    </w:p>
    <w:p w14:paraId="7292067B" w14:textId="77777777" w:rsidR="00C24EC2" w:rsidRPr="00231471" w:rsidRDefault="00F2125A" w:rsidP="00231471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231471">
        <w:rPr>
          <w:rFonts w:eastAsiaTheme="minorEastAsia"/>
          <w:color w:val="00000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70FA08E" w14:textId="77777777" w:rsidR="00C24EC2" w:rsidRPr="00D64136" w:rsidRDefault="00C24EC2">
      <w:pPr>
        <w:adjustRightInd w:val="0"/>
        <w:snapToGrid w:val="0"/>
        <w:spacing w:line="360" w:lineRule="auto"/>
        <w:rPr>
          <w:rFonts w:eastAsiaTheme="minorEastAsia"/>
          <w:b/>
          <w:color w:val="000000"/>
          <w:sz w:val="24"/>
        </w:rPr>
      </w:pPr>
    </w:p>
    <w:p w14:paraId="5D8F5BCC" w14:textId="77777777" w:rsidR="00E62D60" w:rsidRPr="00231471" w:rsidRDefault="00E62D60" w:rsidP="0043705C">
      <w:pPr>
        <w:tabs>
          <w:tab w:val="left" w:pos="426"/>
        </w:tabs>
        <w:spacing w:line="460" w:lineRule="exact"/>
        <w:ind w:firstLineChars="200" w:firstLine="560"/>
        <w:outlineLvl w:val="0"/>
        <w:rPr>
          <w:rFonts w:ascii="宋体" w:hAnsi="宋体"/>
          <w:color w:val="000000"/>
          <w:sz w:val="28"/>
          <w:szCs w:val="28"/>
        </w:rPr>
      </w:pPr>
      <w:proofErr w:type="gramStart"/>
      <w:r w:rsidRPr="00231471">
        <w:rPr>
          <w:rFonts w:ascii="宋体" w:hAnsi="宋体" w:hint="eastAsia"/>
          <w:color w:val="000000"/>
          <w:sz w:val="28"/>
          <w:szCs w:val="28"/>
        </w:rPr>
        <w:t>兖</w:t>
      </w:r>
      <w:proofErr w:type="gramEnd"/>
      <w:r w:rsidRPr="00231471">
        <w:rPr>
          <w:rFonts w:ascii="宋体" w:hAnsi="宋体" w:hint="eastAsia"/>
          <w:color w:val="000000"/>
          <w:sz w:val="28"/>
          <w:szCs w:val="28"/>
        </w:rPr>
        <w:t>矿能源集团股份有限公司（以下简称“公司”）于2021年12月1日召开第八届董事会第十八次会议、第八届监事会第十一次会议，审议通过</w:t>
      </w:r>
      <w:r w:rsidR="0043705C" w:rsidRPr="00231471">
        <w:rPr>
          <w:rFonts w:ascii="宋体" w:hAnsi="宋体" w:hint="eastAsia"/>
          <w:color w:val="000000"/>
          <w:sz w:val="28"/>
          <w:szCs w:val="28"/>
        </w:rPr>
        <w:t>《关于讨论审议公司〈2021年A股限制性股票激励计划（草案）〉及其摘要的议案》、《关于讨论审议公司〈2021年A股限制性股票激励计划实施考核管理办法〉的议案》</w:t>
      </w:r>
      <w:r w:rsidRPr="00231471">
        <w:rPr>
          <w:rFonts w:ascii="宋体" w:hAnsi="宋体" w:hint="eastAsia"/>
          <w:color w:val="000000"/>
          <w:sz w:val="28"/>
          <w:szCs w:val="28"/>
        </w:rPr>
        <w:t>等相关议案。</w:t>
      </w:r>
    </w:p>
    <w:p w14:paraId="5FC196BF" w14:textId="77777777" w:rsidR="0043705C" w:rsidRPr="00231471" w:rsidRDefault="00E62D60" w:rsidP="00482489">
      <w:pPr>
        <w:spacing w:line="460" w:lineRule="exact"/>
        <w:ind w:firstLineChars="200" w:firstLine="560"/>
        <w:rPr>
          <w:rFonts w:ascii="宋体" w:eastAsiaTheme="minorEastAsia" w:hAnsi="宋体" w:cs="宋体"/>
          <w:color w:val="000000"/>
          <w:kern w:val="0"/>
          <w:sz w:val="28"/>
          <w:szCs w:val="28"/>
        </w:rPr>
      </w:pPr>
      <w:r w:rsidRPr="00231471">
        <w:rPr>
          <w:rFonts w:ascii="楷体_GB2312" w:eastAsia="楷体_GB2312" w:hAnsi="宋体" w:hint="eastAsia"/>
          <w:sz w:val="28"/>
          <w:szCs w:val="28"/>
        </w:rPr>
        <w:t>有关详情请参见日期为20</w:t>
      </w:r>
      <w:r w:rsidRPr="00231471">
        <w:rPr>
          <w:rFonts w:ascii="楷体_GB2312" w:eastAsia="楷体_GB2312" w:hAnsi="宋体"/>
          <w:sz w:val="28"/>
          <w:szCs w:val="28"/>
        </w:rPr>
        <w:t>21</w:t>
      </w:r>
      <w:r w:rsidRPr="00231471">
        <w:rPr>
          <w:rFonts w:ascii="楷体_GB2312" w:eastAsia="楷体_GB2312" w:hAnsi="宋体" w:hint="eastAsia"/>
          <w:sz w:val="28"/>
          <w:szCs w:val="28"/>
        </w:rPr>
        <w:t>年12月</w:t>
      </w:r>
      <w:r w:rsidRPr="00231471">
        <w:rPr>
          <w:rFonts w:ascii="楷体_GB2312" w:eastAsia="楷体_GB2312" w:hAnsi="宋体"/>
          <w:sz w:val="28"/>
          <w:szCs w:val="28"/>
        </w:rPr>
        <w:t>1</w:t>
      </w:r>
      <w:r w:rsidRPr="00231471">
        <w:rPr>
          <w:rFonts w:ascii="楷体_GB2312" w:eastAsia="楷体_GB2312" w:hAnsi="宋体" w:hint="eastAsia"/>
          <w:sz w:val="28"/>
          <w:szCs w:val="28"/>
        </w:rPr>
        <w:t>日的公司</w:t>
      </w:r>
      <w:r w:rsidR="00DA0978" w:rsidRPr="00231471">
        <w:rPr>
          <w:rFonts w:ascii="楷体_GB2312" w:eastAsia="楷体_GB2312" w:hAnsi="宋体" w:hint="eastAsia"/>
          <w:sz w:val="28"/>
          <w:szCs w:val="28"/>
        </w:rPr>
        <w:t>2021年A股限制性股票激励计划（草案）摘要公告、</w:t>
      </w:r>
      <w:r w:rsidRPr="00231471">
        <w:rPr>
          <w:rFonts w:ascii="楷体_GB2312" w:eastAsia="楷体_GB2312" w:hAnsi="宋体" w:hint="eastAsia"/>
          <w:sz w:val="28"/>
          <w:szCs w:val="28"/>
        </w:rPr>
        <w:t>2021年A股限制性股票激励计划（草案）</w:t>
      </w:r>
      <w:r w:rsidR="00DA0978" w:rsidRPr="00231471">
        <w:rPr>
          <w:rFonts w:ascii="楷体_GB2312" w:eastAsia="楷体_GB2312" w:hAnsi="宋体" w:hint="eastAsia"/>
          <w:sz w:val="28"/>
          <w:szCs w:val="28"/>
        </w:rPr>
        <w:t>和</w:t>
      </w:r>
      <w:r w:rsidRPr="00231471">
        <w:rPr>
          <w:rFonts w:ascii="楷体_GB2312" w:eastAsia="楷体_GB2312" w:hAnsi="宋体" w:hint="eastAsia"/>
          <w:sz w:val="28"/>
          <w:szCs w:val="28"/>
        </w:rPr>
        <w:t>2021年A股限制性股票激励计划实施考核管理办法</w:t>
      </w:r>
      <w:r w:rsidR="00DA0978" w:rsidRPr="00231471">
        <w:rPr>
          <w:rFonts w:ascii="楷体_GB2312" w:eastAsia="楷体_GB2312" w:hAnsi="宋体" w:hint="eastAsia"/>
          <w:sz w:val="28"/>
          <w:szCs w:val="28"/>
        </w:rPr>
        <w:t>等</w:t>
      </w:r>
      <w:r w:rsidR="0043705C" w:rsidRPr="00231471">
        <w:rPr>
          <w:rFonts w:ascii="楷体_GB2312" w:eastAsia="楷体_GB2312" w:hAnsi="宋体" w:hint="eastAsia"/>
          <w:sz w:val="28"/>
          <w:szCs w:val="28"/>
        </w:rPr>
        <w:t>资</w:t>
      </w:r>
      <w:r w:rsidR="00DA0978" w:rsidRPr="00231471">
        <w:rPr>
          <w:rFonts w:ascii="楷体_GB2312" w:eastAsia="楷体_GB2312" w:hAnsi="宋体" w:hint="eastAsia"/>
          <w:sz w:val="28"/>
          <w:szCs w:val="28"/>
        </w:rPr>
        <w:t>料</w:t>
      </w:r>
      <w:r w:rsidRPr="00231471">
        <w:rPr>
          <w:rFonts w:ascii="楷体_GB2312" w:eastAsia="楷体_GB2312" w:hAnsi="宋体" w:hint="eastAsia"/>
          <w:sz w:val="28"/>
          <w:szCs w:val="28"/>
        </w:rPr>
        <w:t>。该等资料刊载于上海证券交易所（“上交所”）网站、香港联合交易所有限公司（“香港联交所”）网站</w:t>
      </w:r>
      <w:r w:rsidR="00DA0978" w:rsidRPr="00231471">
        <w:rPr>
          <w:rFonts w:ascii="楷体_GB2312" w:eastAsia="楷体_GB2312" w:hAnsi="宋体" w:hint="eastAsia"/>
          <w:sz w:val="28"/>
          <w:szCs w:val="28"/>
        </w:rPr>
        <w:t>、</w:t>
      </w:r>
      <w:r w:rsidRPr="00231471">
        <w:rPr>
          <w:rFonts w:ascii="楷体_GB2312" w:eastAsia="楷体_GB2312" w:hAnsi="宋体" w:hint="eastAsia"/>
          <w:sz w:val="28"/>
          <w:szCs w:val="28"/>
        </w:rPr>
        <w:t>公司网站</w:t>
      </w:r>
      <w:r w:rsidR="00DA0978" w:rsidRPr="00231471">
        <w:rPr>
          <w:rFonts w:ascii="楷体_GB2312" w:eastAsia="楷体_GB2312" w:hAnsi="宋体" w:hint="eastAsia"/>
          <w:sz w:val="28"/>
          <w:szCs w:val="28"/>
        </w:rPr>
        <w:t>及/或中国境内《中国证券报》《上海证券报》《证券时报》《证券日报》</w:t>
      </w:r>
      <w:r w:rsidRPr="00231471">
        <w:rPr>
          <w:rFonts w:ascii="楷体_GB2312" w:eastAsia="楷体_GB2312" w:hAnsi="宋体" w:hint="eastAsia"/>
          <w:sz w:val="28"/>
          <w:szCs w:val="28"/>
        </w:rPr>
        <w:t>。</w:t>
      </w:r>
    </w:p>
    <w:p w14:paraId="20C0FDF9" w14:textId="058E82A3" w:rsidR="00DA0978" w:rsidRPr="00231471" w:rsidRDefault="00F66C2E" w:rsidP="00B93BB5">
      <w:pPr>
        <w:autoSpaceDE w:val="0"/>
        <w:autoSpaceDN w:val="0"/>
        <w:adjustRightInd w:val="0"/>
        <w:spacing w:line="460" w:lineRule="exact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31471">
        <w:rPr>
          <w:rFonts w:ascii="宋体" w:hAnsi="宋体" w:hint="eastAsia"/>
          <w:color w:val="000000"/>
          <w:sz w:val="28"/>
          <w:szCs w:val="28"/>
        </w:rPr>
        <w:t>为更好地发挥股权激励作用，公司根据行业市场的变化及预期，</w:t>
      </w:r>
      <w:r w:rsidR="0043705C" w:rsidRPr="00231471">
        <w:rPr>
          <w:rFonts w:ascii="宋体" w:hAnsi="宋体"/>
          <w:color w:val="000000"/>
          <w:sz w:val="28"/>
          <w:szCs w:val="28"/>
        </w:rPr>
        <w:t>对《</w:t>
      </w:r>
      <w:r w:rsidR="0043705C" w:rsidRPr="00231471">
        <w:rPr>
          <w:rFonts w:ascii="宋体" w:hAnsi="宋体" w:hint="eastAsia"/>
          <w:color w:val="000000"/>
          <w:sz w:val="28"/>
          <w:szCs w:val="28"/>
        </w:rPr>
        <w:t>2021年A股限制性股票激励计划（草案）</w:t>
      </w:r>
      <w:r w:rsidR="0043705C" w:rsidRPr="00231471">
        <w:rPr>
          <w:rFonts w:ascii="宋体" w:hAnsi="宋体"/>
          <w:color w:val="000000"/>
          <w:sz w:val="28"/>
          <w:szCs w:val="28"/>
        </w:rPr>
        <w:t>》</w:t>
      </w:r>
      <w:r w:rsidR="00482489" w:rsidRPr="00231471">
        <w:rPr>
          <w:rFonts w:ascii="宋体" w:hAnsi="宋体" w:hint="eastAsia"/>
          <w:color w:val="000000"/>
          <w:sz w:val="28"/>
          <w:szCs w:val="28"/>
        </w:rPr>
        <w:t>（以下简称“《激励计划》”）</w:t>
      </w:r>
      <w:r w:rsidR="0043705C" w:rsidRPr="00231471">
        <w:rPr>
          <w:rFonts w:ascii="宋体" w:hAnsi="宋体"/>
          <w:color w:val="000000"/>
          <w:sz w:val="28"/>
          <w:szCs w:val="28"/>
        </w:rPr>
        <w:t>及其摘要、《</w:t>
      </w:r>
      <w:r w:rsidR="00482489" w:rsidRPr="00231471">
        <w:rPr>
          <w:rFonts w:ascii="宋体" w:hAnsi="宋体" w:hint="eastAsia"/>
          <w:color w:val="000000"/>
          <w:sz w:val="28"/>
          <w:szCs w:val="28"/>
        </w:rPr>
        <w:t>2021年A股限制性股票激励计划实施考核管理办法</w:t>
      </w:r>
      <w:r w:rsidR="0043705C" w:rsidRPr="00231471">
        <w:rPr>
          <w:rFonts w:ascii="宋体" w:hAnsi="宋体"/>
          <w:color w:val="000000"/>
          <w:sz w:val="28"/>
          <w:szCs w:val="28"/>
        </w:rPr>
        <w:t>》</w:t>
      </w:r>
      <w:r w:rsidR="00482489" w:rsidRPr="00231471">
        <w:rPr>
          <w:rFonts w:ascii="宋体" w:hAnsi="宋体" w:hint="eastAsia"/>
          <w:color w:val="000000"/>
          <w:sz w:val="28"/>
          <w:szCs w:val="28"/>
        </w:rPr>
        <w:t>（以下简称“《管理办法》”）</w:t>
      </w:r>
      <w:r w:rsidR="0043705C" w:rsidRPr="00231471">
        <w:rPr>
          <w:rFonts w:ascii="宋体" w:hAnsi="宋体"/>
          <w:color w:val="000000"/>
          <w:sz w:val="28"/>
          <w:szCs w:val="28"/>
        </w:rPr>
        <w:t>中涉及的公司层面业绩考核指标进行修订。修订后的《激励计划（草案修订稿）》</w:t>
      </w:r>
      <w:r w:rsidR="0058252D" w:rsidRPr="00231471">
        <w:rPr>
          <w:rFonts w:ascii="宋体" w:hAnsi="宋体" w:hint="eastAsia"/>
          <w:color w:val="000000"/>
          <w:sz w:val="28"/>
          <w:szCs w:val="28"/>
        </w:rPr>
        <w:t>及其摘要</w:t>
      </w:r>
      <w:r w:rsidR="0043705C" w:rsidRPr="00231471">
        <w:rPr>
          <w:rFonts w:ascii="宋体" w:hAnsi="宋体"/>
          <w:color w:val="000000"/>
          <w:sz w:val="28"/>
          <w:szCs w:val="28"/>
        </w:rPr>
        <w:t>、《管理办法（修订稿）》已经公司第</w:t>
      </w:r>
      <w:r w:rsidR="00482489" w:rsidRPr="00231471">
        <w:rPr>
          <w:rFonts w:ascii="宋体" w:hAnsi="宋体" w:hint="eastAsia"/>
          <w:color w:val="000000"/>
          <w:sz w:val="28"/>
          <w:szCs w:val="28"/>
        </w:rPr>
        <w:t>八</w:t>
      </w:r>
      <w:r w:rsidR="0043705C" w:rsidRPr="00231471">
        <w:rPr>
          <w:rFonts w:ascii="宋体" w:hAnsi="宋体"/>
          <w:color w:val="000000"/>
          <w:sz w:val="28"/>
          <w:szCs w:val="28"/>
        </w:rPr>
        <w:t>届董事会第</w:t>
      </w:r>
      <w:r w:rsidR="00482489" w:rsidRPr="00231471">
        <w:rPr>
          <w:rFonts w:ascii="宋体" w:hAnsi="宋体" w:hint="eastAsia"/>
          <w:color w:val="000000"/>
          <w:sz w:val="28"/>
          <w:szCs w:val="28"/>
        </w:rPr>
        <w:t>十九</w:t>
      </w:r>
      <w:r w:rsidR="0043705C" w:rsidRPr="00231471">
        <w:rPr>
          <w:rFonts w:ascii="宋体" w:hAnsi="宋体"/>
          <w:color w:val="000000"/>
          <w:sz w:val="28"/>
          <w:szCs w:val="28"/>
        </w:rPr>
        <w:t>次会议和第</w:t>
      </w:r>
      <w:r w:rsidR="00482489" w:rsidRPr="00231471">
        <w:rPr>
          <w:rFonts w:ascii="宋体" w:hAnsi="宋体" w:hint="eastAsia"/>
          <w:color w:val="000000"/>
          <w:sz w:val="28"/>
          <w:szCs w:val="28"/>
        </w:rPr>
        <w:t>八</w:t>
      </w:r>
      <w:r w:rsidR="0043705C" w:rsidRPr="00231471">
        <w:rPr>
          <w:rFonts w:ascii="宋体" w:hAnsi="宋体"/>
          <w:color w:val="000000"/>
          <w:sz w:val="28"/>
          <w:szCs w:val="28"/>
        </w:rPr>
        <w:t>届监事会第十</w:t>
      </w:r>
      <w:r w:rsidR="00482489" w:rsidRPr="00231471">
        <w:rPr>
          <w:rFonts w:ascii="宋体" w:hAnsi="宋体" w:hint="eastAsia"/>
          <w:color w:val="000000"/>
          <w:sz w:val="28"/>
          <w:szCs w:val="28"/>
        </w:rPr>
        <w:t>二</w:t>
      </w:r>
      <w:r w:rsidR="0043705C" w:rsidRPr="00231471">
        <w:rPr>
          <w:rFonts w:ascii="宋体" w:hAnsi="宋体"/>
          <w:color w:val="000000"/>
          <w:sz w:val="28"/>
          <w:szCs w:val="28"/>
        </w:rPr>
        <w:t>次会议审议通过。本次修订的主要内容如下：</w:t>
      </w:r>
      <w:r w:rsidR="00482489" w:rsidRPr="00231471">
        <w:rPr>
          <w:rFonts w:ascii="宋体" w:hAnsi="宋体"/>
          <w:color w:val="000000"/>
          <w:sz w:val="28"/>
          <w:szCs w:val="28"/>
        </w:rPr>
        <w:t xml:space="preserve"> </w:t>
      </w:r>
    </w:p>
    <w:p w14:paraId="26DBF21B" w14:textId="77777777" w:rsidR="00BA69B6" w:rsidRPr="00231471" w:rsidRDefault="00482489" w:rsidP="00482489">
      <w:pPr>
        <w:tabs>
          <w:tab w:val="left" w:pos="426"/>
        </w:tabs>
        <w:spacing w:line="460" w:lineRule="exact"/>
        <w:ind w:firstLineChars="200" w:firstLine="562"/>
        <w:outlineLvl w:val="0"/>
        <w:rPr>
          <w:color w:val="000000"/>
          <w:sz w:val="28"/>
          <w:szCs w:val="28"/>
        </w:rPr>
      </w:pPr>
      <w:r w:rsidRPr="00231471">
        <w:rPr>
          <w:rFonts w:ascii="宋体" w:hAnsi="宋体"/>
          <w:b/>
          <w:color w:val="000000"/>
          <w:sz w:val="28"/>
          <w:szCs w:val="28"/>
        </w:rPr>
        <w:t>修订前</w:t>
      </w:r>
      <w:r w:rsidRPr="00231471">
        <w:rPr>
          <w:rFonts w:ascii="宋体" w:hAnsi="宋体" w:hint="eastAsia"/>
          <w:b/>
          <w:color w:val="000000"/>
          <w:sz w:val="28"/>
          <w:szCs w:val="28"/>
        </w:rPr>
        <w:t>：</w:t>
      </w:r>
      <w:bookmarkStart w:id="0" w:name="_Toc494295586"/>
      <w:r w:rsidR="00621530" w:rsidRPr="00231471">
        <w:rPr>
          <w:rFonts w:hint="eastAsia"/>
          <w:color w:val="000000"/>
          <w:sz w:val="28"/>
          <w:szCs w:val="28"/>
        </w:rPr>
        <w:t>本激励计划各年度公司业绩考核目标如下：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6754"/>
      </w:tblGrid>
      <w:tr w:rsidR="00621530" w14:paraId="4A223242" w14:textId="77777777" w:rsidTr="00330F2C">
        <w:trPr>
          <w:trHeight w:val="337"/>
        </w:trPr>
        <w:tc>
          <w:tcPr>
            <w:tcW w:w="1245" w:type="pct"/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3B592" w14:textId="77777777" w:rsidR="00621530" w:rsidRDefault="00621530" w:rsidP="00330F2C">
            <w:pPr>
              <w:widowControl/>
              <w:jc w:val="center"/>
              <w:rPr>
                <w:b/>
                <w:kern w:val="0"/>
                <w:szCs w:val="21"/>
              </w:rPr>
            </w:pPr>
            <w:bookmarkStart w:id="1" w:name="_Hlk22647412"/>
            <w:r>
              <w:rPr>
                <w:b/>
                <w:kern w:val="0"/>
                <w:szCs w:val="21"/>
              </w:rPr>
              <w:lastRenderedPageBreak/>
              <w:t>解除限售期</w:t>
            </w:r>
          </w:p>
        </w:tc>
        <w:tc>
          <w:tcPr>
            <w:tcW w:w="3755" w:type="pct"/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991FB" w14:textId="77777777" w:rsidR="00621530" w:rsidRDefault="00621530" w:rsidP="00330F2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业绩考核条件</w:t>
            </w:r>
          </w:p>
        </w:tc>
      </w:tr>
      <w:tr w:rsidR="00621530" w14:paraId="61D1F9B4" w14:textId="77777777" w:rsidTr="00BD0653">
        <w:trPr>
          <w:trHeight w:val="761"/>
        </w:trPr>
        <w:tc>
          <w:tcPr>
            <w:tcW w:w="124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EF348" w14:textId="77777777" w:rsidR="00621530" w:rsidRDefault="00621530" w:rsidP="00330F2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一</w:t>
            </w:r>
            <w:r>
              <w:rPr>
                <w:kern w:val="0"/>
                <w:szCs w:val="21"/>
              </w:rPr>
              <w:t>个解除限售期</w:t>
            </w:r>
          </w:p>
        </w:tc>
        <w:tc>
          <w:tcPr>
            <w:tcW w:w="375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7DAD0" w14:textId="77777777" w:rsidR="00621530" w:rsidRDefault="00621530" w:rsidP="00330F2C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、以</w:t>
            </w:r>
            <w:r>
              <w:rPr>
                <w:rFonts w:hint="eastAsia"/>
                <w:kern w:val="0"/>
                <w:szCs w:val="21"/>
              </w:rPr>
              <w:t>2020</w:t>
            </w:r>
            <w:r>
              <w:rPr>
                <w:rFonts w:hint="eastAsia"/>
                <w:kern w:val="0"/>
                <w:szCs w:val="21"/>
              </w:rPr>
              <w:t>年净利润为基数，</w:t>
            </w:r>
            <w:r>
              <w:rPr>
                <w:rFonts w:hint="eastAsia"/>
                <w:kern w:val="0"/>
                <w:szCs w:val="21"/>
              </w:rPr>
              <w:t>2022</w:t>
            </w:r>
            <w:r>
              <w:rPr>
                <w:rFonts w:hint="eastAsia"/>
                <w:kern w:val="0"/>
                <w:szCs w:val="21"/>
              </w:rPr>
              <w:t>年度净利润增长率不低于</w:t>
            </w:r>
            <w:r>
              <w:rPr>
                <w:rFonts w:hint="eastAsia"/>
                <w:kern w:val="0"/>
                <w:szCs w:val="21"/>
              </w:rPr>
              <w:t>20%</w:t>
            </w:r>
            <w:r>
              <w:rPr>
                <w:rFonts w:hint="eastAsia"/>
                <w:kern w:val="0"/>
                <w:szCs w:val="21"/>
              </w:rPr>
              <w:t>，且不低于同行业平均水平；</w:t>
            </w:r>
          </w:p>
          <w:p w14:paraId="6092263E" w14:textId="77777777" w:rsidR="00621530" w:rsidRDefault="00621530" w:rsidP="00330F2C">
            <w:pPr>
              <w:widowControl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2022</w:t>
            </w:r>
            <w:r>
              <w:rPr>
                <w:rFonts w:hint="eastAsia"/>
                <w:kern w:val="0"/>
                <w:szCs w:val="21"/>
              </w:rPr>
              <w:t>年度每股收益不低于</w:t>
            </w:r>
            <w:r>
              <w:rPr>
                <w:rFonts w:hint="eastAsia"/>
                <w:kern w:val="0"/>
                <w:szCs w:val="21"/>
              </w:rPr>
              <w:t>1.60</w:t>
            </w:r>
            <w:r>
              <w:rPr>
                <w:rFonts w:hint="eastAsia"/>
                <w:kern w:val="0"/>
                <w:szCs w:val="21"/>
              </w:rPr>
              <w:t>元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股，且不低于同行业平均水平。</w:t>
            </w:r>
          </w:p>
        </w:tc>
      </w:tr>
      <w:tr w:rsidR="00621530" w14:paraId="30F109F0" w14:textId="77777777" w:rsidTr="00330F2C">
        <w:trPr>
          <w:trHeight w:val="397"/>
        </w:trPr>
        <w:tc>
          <w:tcPr>
            <w:tcW w:w="124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55EC8" w14:textId="77777777" w:rsidR="00621530" w:rsidRDefault="00621530" w:rsidP="00330F2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第二个解除限售期</w:t>
            </w:r>
          </w:p>
        </w:tc>
        <w:tc>
          <w:tcPr>
            <w:tcW w:w="375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20A2D" w14:textId="77777777" w:rsidR="00621530" w:rsidRDefault="00621530" w:rsidP="00330F2C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、以</w:t>
            </w:r>
            <w:r>
              <w:rPr>
                <w:rFonts w:hint="eastAsia"/>
                <w:kern w:val="0"/>
                <w:szCs w:val="21"/>
              </w:rPr>
              <w:t>2020</w:t>
            </w:r>
            <w:r>
              <w:rPr>
                <w:rFonts w:hint="eastAsia"/>
                <w:kern w:val="0"/>
                <w:szCs w:val="21"/>
              </w:rPr>
              <w:t>年净利润为基数，</w:t>
            </w:r>
            <w:r>
              <w:rPr>
                <w:rFonts w:hint="eastAsia"/>
                <w:kern w:val="0"/>
                <w:szCs w:val="21"/>
              </w:rPr>
              <w:t>2023</w:t>
            </w:r>
            <w:r>
              <w:rPr>
                <w:rFonts w:hint="eastAsia"/>
                <w:kern w:val="0"/>
                <w:szCs w:val="21"/>
              </w:rPr>
              <w:t>年度净利润增长率不低于</w:t>
            </w:r>
            <w:r>
              <w:rPr>
                <w:rFonts w:hint="eastAsia"/>
                <w:kern w:val="0"/>
                <w:szCs w:val="21"/>
              </w:rPr>
              <w:t>30%</w:t>
            </w:r>
            <w:r>
              <w:rPr>
                <w:rFonts w:hint="eastAsia"/>
                <w:kern w:val="0"/>
                <w:szCs w:val="21"/>
              </w:rPr>
              <w:t>，且不低于同行业平均水平；</w:t>
            </w:r>
          </w:p>
          <w:p w14:paraId="267D534A" w14:textId="77777777" w:rsidR="00621530" w:rsidRDefault="00621530" w:rsidP="00330F2C">
            <w:pPr>
              <w:widowControl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2023</w:t>
            </w:r>
            <w:r>
              <w:rPr>
                <w:rFonts w:hint="eastAsia"/>
                <w:kern w:val="0"/>
                <w:szCs w:val="21"/>
              </w:rPr>
              <w:t>年度每股收益不低于</w:t>
            </w:r>
            <w:r>
              <w:rPr>
                <w:rFonts w:hint="eastAsia"/>
                <w:kern w:val="0"/>
                <w:szCs w:val="21"/>
              </w:rPr>
              <w:t>1.74</w:t>
            </w:r>
            <w:r>
              <w:rPr>
                <w:rFonts w:hint="eastAsia"/>
                <w:kern w:val="0"/>
                <w:szCs w:val="21"/>
              </w:rPr>
              <w:t>元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股，且不低于同行业平均水平。</w:t>
            </w:r>
          </w:p>
        </w:tc>
      </w:tr>
      <w:tr w:rsidR="00621530" w14:paraId="7DB94FD6" w14:textId="77777777" w:rsidTr="00330F2C">
        <w:trPr>
          <w:trHeight w:val="397"/>
        </w:trPr>
        <w:tc>
          <w:tcPr>
            <w:tcW w:w="124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6FDAD" w14:textId="77777777" w:rsidR="00621530" w:rsidRDefault="00621530" w:rsidP="00330F2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三</w:t>
            </w:r>
            <w:r>
              <w:rPr>
                <w:kern w:val="0"/>
                <w:szCs w:val="21"/>
              </w:rPr>
              <w:t>个解除限售期</w:t>
            </w:r>
          </w:p>
        </w:tc>
        <w:tc>
          <w:tcPr>
            <w:tcW w:w="375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EA63F" w14:textId="77777777" w:rsidR="00621530" w:rsidRDefault="00621530" w:rsidP="00330F2C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、以</w:t>
            </w:r>
            <w:r>
              <w:rPr>
                <w:rFonts w:hint="eastAsia"/>
                <w:kern w:val="0"/>
                <w:szCs w:val="21"/>
              </w:rPr>
              <w:t>2020</w:t>
            </w:r>
            <w:r>
              <w:rPr>
                <w:rFonts w:hint="eastAsia"/>
                <w:kern w:val="0"/>
                <w:szCs w:val="21"/>
              </w:rPr>
              <w:t>年净利润为基数，</w:t>
            </w:r>
            <w:r>
              <w:rPr>
                <w:rFonts w:hint="eastAsia"/>
                <w:kern w:val="0"/>
                <w:szCs w:val="21"/>
              </w:rPr>
              <w:t>2024</w:t>
            </w:r>
            <w:r>
              <w:rPr>
                <w:rFonts w:hint="eastAsia"/>
                <w:kern w:val="0"/>
                <w:szCs w:val="21"/>
              </w:rPr>
              <w:t>年度净利润增长率不低于</w:t>
            </w:r>
            <w:r>
              <w:rPr>
                <w:rFonts w:hint="eastAsia"/>
                <w:kern w:val="0"/>
                <w:szCs w:val="21"/>
              </w:rPr>
              <w:t>40%</w:t>
            </w:r>
            <w:r>
              <w:rPr>
                <w:rFonts w:hint="eastAsia"/>
                <w:kern w:val="0"/>
                <w:szCs w:val="21"/>
              </w:rPr>
              <w:t>，且不低于同行业平均水平；</w:t>
            </w:r>
          </w:p>
          <w:p w14:paraId="000C94E9" w14:textId="77777777" w:rsidR="00621530" w:rsidRDefault="00621530" w:rsidP="00330F2C">
            <w:pPr>
              <w:widowControl/>
              <w:rPr>
                <w:kern w:val="0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2024</w:t>
            </w:r>
            <w:r>
              <w:rPr>
                <w:rFonts w:hint="eastAsia"/>
                <w:kern w:val="0"/>
                <w:szCs w:val="21"/>
              </w:rPr>
              <w:t>年度每股收益不低于</w:t>
            </w:r>
            <w:r>
              <w:rPr>
                <w:rFonts w:hint="eastAsia"/>
                <w:kern w:val="0"/>
                <w:szCs w:val="21"/>
              </w:rPr>
              <w:t>1.87</w:t>
            </w:r>
            <w:r>
              <w:rPr>
                <w:rFonts w:hint="eastAsia"/>
                <w:kern w:val="0"/>
                <w:szCs w:val="21"/>
              </w:rPr>
              <w:t>元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股，且不低于同行业平均水平。</w:t>
            </w:r>
          </w:p>
        </w:tc>
      </w:tr>
    </w:tbl>
    <w:bookmarkEnd w:id="1"/>
    <w:p w14:paraId="0AD42CA9" w14:textId="246B85B1" w:rsidR="00161986" w:rsidRPr="00F4623B" w:rsidRDefault="00161986" w:rsidP="00F4623B">
      <w:pPr>
        <w:tabs>
          <w:tab w:val="left" w:pos="426"/>
        </w:tabs>
        <w:spacing w:beforeLines="50" w:before="156" w:afterLines="50" w:after="156" w:line="460" w:lineRule="exact"/>
        <w:ind w:firstLineChars="200" w:firstLine="480"/>
        <w:outlineLvl w:val="0"/>
        <w:rPr>
          <w:rFonts w:ascii="宋体" w:hAnsi="宋体"/>
          <w:color w:val="000000"/>
          <w:sz w:val="24"/>
        </w:rPr>
      </w:pPr>
      <w:r w:rsidRPr="00F4623B">
        <w:rPr>
          <w:rFonts w:ascii="宋体" w:hAnsi="宋体" w:hint="eastAsia"/>
          <w:color w:val="000000"/>
          <w:sz w:val="24"/>
        </w:rPr>
        <w:t>注：净利润指归属于上市公司股东的扣除非经常性损益的净利润（“扣非归母净利润”）；每股收益</w:t>
      </w:r>
      <w:proofErr w:type="gramStart"/>
      <w:r w:rsidRPr="00F4623B">
        <w:rPr>
          <w:rFonts w:ascii="宋体" w:hAnsi="宋体" w:hint="eastAsia"/>
          <w:color w:val="000000"/>
          <w:sz w:val="24"/>
        </w:rPr>
        <w:t>指扣非归母净</w:t>
      </w:r>
      <w:proofErr w:type="gramEnd"/>
      <w:r w:rsidRPr="00F4623B">
        <w:rPr>
          <w:rFonts w:ascii="宋体" w:hAnsi="宋体" w:hint="eastAsia"/>
          <w:color w:val="000000"/>
          <w:sz w:val="24"/>
        </w:rPr>
        <w:t>利润与公司总股本的比率（“扣非每股收益”）。</w:t>
      </w:r>
    </w:p>
    <w:p w14:paraId="4938B07E" w14:textId="61E4350D" w:rsidR="00482489" w:rsidRPr="00231471" w:rsidRDefault="00482489" w:rsidP="000C3CE4">
      <w:pPr>
        <w:tabs>
          <w:tab w:val="left" w:pos="426"/>
        </w:tabs>
        <w:spacing w:beforeLines="50" w:before="156" w:afterLines="50" w:after="156" w:line="460" w:lineRule="exact"/>
        <w:ind w:firstLineChars="200" w:firstLine="562"/>
        <w:outlineLvl w:val="0"/>
        <w:rPr>
          <w:color w:val="000000"/>
          <w:sz w:val="28"/>
          <w:szCs w:val="28"/>
        </w:rPr>
      </w:pPr>
      <w:r w:rsidRPr="00231471">
        <w:rPr>
          <w:rFonts w:ascii="宋体" w:hAnsi="宋体"/>
          <w:b/>
          <w:color w:val="000000"/>
          <w:sz w:val="28"/>
          <w:szCs w:val="28"/>
        </w:rPr>
        <w:t>修订</w:t>
      </w:r>
      <w:r w:rsidRPr="00231471">
        <w:rPr>
          <w:rFonts w:ascii="宋体" w:hAnsi="宋体" w:hint="eastAsia"/>
          <w:b/>
          <w:color w:val="000000"/>
          <w:sz w:val="28"/>
          <w:szCs w:val="28"/>
        </w:rPr>
        <w:t>后：</w:t>
      </w:r>
      <w:r w:rsidRPr="00231471">
        <w:rPr>
          <w:rFonts w:hint="eastAsia"/>
          <w:color w:val="000000"/>
          <w:sz w:val="28"/>
          <w:szCs w:val="28"/>
        </w:rPr>
        <w:t>本激励计划各年度公司业绩考核目标如下：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6754"/>
      </w:tblGrid>
      <w:tr w:rsidR="00482489" w14:paraId="07D6B8DB" w14:textId="77777777" w:rsidTr="004214B5">
        <w:trPr>
          <w:trHeight w:val="337"/>
        </w:trPr>
        <w:tc>
          <w:tcPr>
            <w:tcW w:w="1245" w:type="pct"/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79AAE" w14:textId="77777777" w:rsidR="00482489" w:rsidRDefault="00482489" w:rsidP="004214B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解除限售期</w:t>
            </w:r>
          </w:p>
        </w:tc>
        <w:tc>
          <w:tcPr>
            <w:tcW w:w="3755" w:type="pct"/>
            <w:shd w:val="clear" w:color="auto" w:fill="BFBFBF" w:themeFill="background1" w:themeFillShade="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5D4EF" w14:textId="77777777" w:rsidR="00482489" w:rsidRDefault="00482489" w:rsidP="004214B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业绩考核条件</w:t>
            </w:r>
          </w:p>
        </w:tc>
      </w:tr>
      <w:tr w:rsidR="00482489" w14:paraId="0691B7AD" w14:textId="77777777" w:rsidTr="004214B5">
        <w:trPr>
          <w:trHeight w:val="761"/>
        </w:trPr>
        <w:tc>
          <w:tcPr>
            <w:tcW w:w="124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E6FD7" w14:textId="77777777" w:rsidR="00482489" w:rsidRDefault="00482489" w:rsidP="004214B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一</w:t>
            </w:r>
            <w:r>
              <w:rPr>
                <w:kern w:val="0"/>
                <w:szCs w:val="21"/>
              </w:rPr>
              <w:t>个解除限售期</w:t>
            </w:r>
          </w:p>
        </w:tc>
        <w:tc>
          <w:tcPr>
            <w:tcW w:w="375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5737B" w14:textId="3F5A2DCE" w:rsidR="00482489" w:rsidRPr="002A1288" w:rsidRDefault="00482489" w:rsidP="004214B5">
            <w:pPr>
              <w:widowControl/>
              <w:rPr>
                <w:kern w:val="0"/>
                <w:szCs w:val="21"/>
              </w:rPr>
            </w:pPr>
            <w:r w:rsidRPr="002A1288">
              <w:rPr>
                <w:rFonts w:hint="eastAsia"/>
                <w:kern w:val="0"/>
                <w:szCs w:val="21"/>
              </w:rPr>
              <w:t>1</w:t>
            </w:r>
            <w:r w:rsidRPr="002A1288">
              <w:rPr>
                <w:rFonts w:hint="eastAsia"/>
                <w:kern w:val="0"/>
                <w:szCs w:val="21"/>
              </w:rPr>
              <w:t>、以</w:t>
            </w:r>
            <w:r w:rsidRPr="002A1288">
              <w:rPr>
                <w:rFonts w:hint="eastAsia"/>
                <w:kern w:val="0"/>
                <w:szCs w:val="21"/>
              </w:rPr>
              <w:t>2020</w:t>
            </w:r>
            <w:r w:rsidRPr="002A1288">
              <w:rPr>
                <w:rFonts w:hint="eastAsia"/>
                <w:kern w:val="0"/>
                <w:szCs w:val="21"/>
              </w:rPr>
              <w:t>年</w:t>
            </w:r>
            <w:proofErr w:type="gramStart"/>
            <w:r w:rsidR="00161986" w:rsidRPr="00F4623B">
              <w:rPr>
                <w:rFonts w:hint="eastAsia"/>
                <w:kern w:val="0"/>
                <w:szCs w:val="21"/>
              </w:rPr>
              <w:t>扣非归母</w:t>
            </w:r>
            <w:r w:rsidRPr="002A1288">
              <w:rPr>
                <w:rFonts w:hint="eastAsia"/>
                <w:kern w:val="0"/>
                <w:szCs w:val="21"/>
              </w:rPr>
              <w:t>净</w:t>
            </w:r>
            <w:proofErr w:type="gramEnd"/>
            <w:r w:rsidRPr="002A1288">
              <w:rPr>
                <w:rFonts w:hint="eastAsia"/>
                <w:kern w:val="0"/>
                <w:szCs w:val="21"/>
              </w:rPr>
              <w:t>利润为基数，</w:t>
            </w:r>
            <w:r w:rsidRPr="002A1288">
              <w:rPr>
                <w:rFonts w:hint="eastAsia"/>
                <w:kern w:val="0"/>
                <w:szCs w:val="21"/>
              </w:rPr>
              <w:t>2022</w:t>
            </w:r>
            <w:r w:rsidRPr="002A1288">
              <w:rPr>
                <w:rFonts w:hint="eastAsia"/>
                <w:kern w:val="0"/>
                <w:szCs w:val="21"/>
              </w:rPr>
              <w:t>年度</w:t>
            </w:r>
            <w:proofErr w:type="gramStart"/>
            <w:r w:rsidR="00161986" w:rsidRPr="00F4623B">
              <w:rPr>
                <w:rFonts w:hint="eastAsia"/>
                <w:kern w:val="0"/>
                <w:szCs w:val="21"/>
              </w:rPr>
              <w:t>扣非归母</w:t>
            </w:r>
            <w:r w:rsidRPr="002A1288">
              <w:rPr>
                <w:rFonts w:hint="eastAsia"/>
                <w:kern w:val="0"/>
                <w:szCs w:val="21"/>
              </w:rPr>
              <w:t>净</w:t>
            </w:r>
            <w:proofErr w:type="gramEnd"/>
            <w:r w:rsidRPr="002A1288">
              <w:rPr>
                <w:rFonts w:hint="eastAsia"/>
                <w:kern w:val="0"/>
                <w:szCs w:val="21"/>
              </w:rPr>
              <w:t>利润增长率不低于</w:t>
            </w:r>
            <w:r w:rsidR="002A1288">
              <w:rPr>
                <w:kern w:val="0"/>
                <w:szCs w:val="21"/>
              </w:rPr>
              <w:t>45</w:t>
            </w:r>
            <w:r w:rsidRPr="002A1288">
              <w:rPr>
                <w:rFonts w:hint="eastAsia"/>
                <w:kern w:val="0"/>
                <w:szCs w:val="21"/>
              </w:rPr>
              <w:t>%</w:t>
            </w:r>
            <w:r w:rsidRPr="002A1288">
              <w:rPr>
                <w:rFonts w:hint="eastAsia"/>
                <w:kern w:val="0"/>
                <w:szCs w:val="21"/>
              </w:rPr>
              <w:t>，且不低于同行业平均水平；</w:t>
            </w:r>
          </w:p>
          <w:p w14:paraId="647C107F" w14:textId="3E612D3B" w:rsidR="00482489" w:rsidRPr="002A1288" w:rsidRDefault="00482489" w:rsidP="004214B5">
            <w:pPr>
              <w:widowControl/>
              <w:rPr>
                <w:kern w:val="0"/>
                <w:szCs w:val="21"/>
              </w:rPr>
            </w:pPr>
            <w:proofErr w:type="gramStart"/>
            <w:r w:rsidRPr="002A1288">
              <w:rPr>
                <w:rFonts w:hint="eastAsia"/>
                <w:kern w:val="0"/>
                <w:szCs w:val="21"/>
              </w:rPr>
              <w:t>2</w:t>
            </w:r>
            <w:r w:rsidRPr="002A1288">
              <w:rPr>
                <w:rFonts w:hint="eastAsia"/>
                <w:kern w:val="0"/>
                <w:szCs w:val="21"/>
              </w:rPr>
              <w:t>、</w:t>
            </w:r>
            <w:r w:rsidRPr="002A1288">
              <w:rPr>
                <w:rFonts w:hint="eastAsia"/>
                <w:kern w:val="0"/>
                <w:szCs w:val="21"/>
              </w:rPr>
              <w:t>2022</w:t>
            </w:r>
            <w:r w:rsidRPr="002A1288">
              <w:rPr>
                <w:rFonts w:hint="eastAsia"/>
                <w:kern w:val="0"/>
                <w:szCs w:val="21"/>
              </w:rPr>
              <w:t>年度</w:t>
            </w:r>
            <w:r w:rsidR="00161986" w:rsidRPr="00161986">
              <w:rPr>
                <w:rFonts w:hint="eastAsia"/>
                <w:kern w:val="0"/>
                <w:szCs w:val="21"/>
              </w:rPr>
              <w:t>扣非</w:t>
            </w:r>
            <w:r w:rsidRPr="002A1288">
              <w:rPr>
                <w:rFonts w:hint="eastAsia"/>
                <w:kern w:val="0"/>
                <w:szCs w:val="21"/>
              </w:rPr>
              <w:t>每股</w:t>
            </w:r>
            <w:proofErr w:type="gramEnd"/>
            <w:r w:rsidRPr="002A1288">
              <w:rPr>
                <w:rFonts w:hint="eastAsia"/>
                <w:kern w:val="0"/>
                <w:szCs w:val="21"/>
              </w:rPr>
              <w:t>收益不低于</w:t>
            </w:r>
            <w:r w:rsidRPr="002A1288">
              <w:rPr>
                <w:rFonts w:hint="eastAsia"/>
                <w:kern w:val="0"/>
                <w:szCs w:val="21"/>
              </w:rPr>
              <w:t>1.</w:t>
            </w:r>
            <w:r w:rsidR="002A1288">
              <w:rPr>
                <w:kern w:val="0"/>
                <w:szCs w:val="21"/>
              </w:rPr>
              <w:t>95</w:t>
            </w:r>
            <w:r w:rsidRPr="002A1288">
              <w:rPr>
                <w:rFonts w:hint="eastAsia"/>
                <w:kern w:val="0"/>
                <w:szCs w:val="21"/>
              </w:rPr>
              <w:t>元</w:t>
            </w:r>
            <w:r w:rsidRPr="002A1288">
              <w:rPr>
                <w:rFonts w:hint="eastAsia"/>
                <w:kern w:val="0"/>
                <w:szCs w:val="21"/>
              </w:rPr>
              <w:t>/</w:t>
            </w:r>
            <w:r w:rsidRPr="002A1288">
              <w:rPr>
                <w:rFonts w:hint="eastAsia"/>
                <w:kern w:val="0"/>
                <w:szCs w:val="21"/>
              </w:rPr>
              <w:t>股，且不低于同行业平均水平。</w:t>
            </w:r>
          </w:p>
        </w:tc>
      </w:tr>
      <w:tr w:rsidR="00482489" w14:paraId="3FE221D8" w14:textId="77777777" w:rsidTr="004214B5">
        <w:trPr>
          <w:trHeight w:val="397"/>
        </w:trPr>
        <w:tc>
          <w:tcPr>
            <w:tcW w:w="124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00BAA" w14:textId="77777777" w:rsidR="00482489" w:rsidRDefault="00482489" w:rsidP="004214B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第二个解除限售期</w:t>
            </w:r>
          </w:p>
        </w:tc>
        <w:tc>
          <w:tcPr>
            <w:tcW w:w="375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C4BDA" w14:textId="49F8684B" w:rsidR="00482489" w:rsidRPr="002A1288" w:rsidRDefault="00482489" w:rsidP="004214B5">
            <w:pPr>
              <w:widowControl/>
              <w:rPr>
                <w:kern w:val="0"/>
                <w:szCs w:val="21"/>
              </w:rPr>
            </w:pPr>
            <w:r w:rsidRPr="002A1288">
              <w:rPr>
                <w:rFonts w:hint="eastAsia"/>
                <w:kern w:val="0"/>
                <w:szCs w:val="21"/>
              </w:rPr>
              <w:t>1</w:t>
            </w:r>
            <w:r w:rsidRPr="002A1288">
              <w:rPr>
                <w:rFonts w:hint="eastAsia"/>
                <w:kern w:val="0"/>
                <w:szCs w:val="21"/>
              </w:rPr>
              <w:t>、以</w:t>
            </w:r>
            <w:r w:rsidRPr="002A1288">
              <w:rPr>
                <w:rFonts w:hint="eastAsia"/>
                <w:kern w:val="0"/>
                <w:szCs w:val="21"/>
              </w:rPr>
              <w:t>2020</w:t>
            </w:r>
            <w:r w:rsidRPr="002A1288">
              <w:rPr>
                <w:rFonts w:hint="eastAsia"/>
                <w:kern w:val="0"/>
                <w:szCs w:val="21"/>
              </w:rPr>
              <w:t>年</w:t>
            </w:r>
            <w:proofErr w:type="gramStart"/>
            <w:r w:rsidR="00161986" w:rsidRPr="00F4623B">
              <w:rPr>
                <w:rFonts w:hint="eastAsia"/>
                <w:kern w:val="0"/>
                <w:szCs w:val="21"/>
              </w:rPr>
              <w:t>扣非归母</w:t>
            </w:r>
            <w:r w:rsidRPr="002A1288">
              <w:rPr>
                <w:rFonts w:hint="eastAsia"/>
                <w:kern w:val="0"/>
                <w:szCs w:val="21"/>
              </w:rPr>
              <w:t>净</w:t>
            </w:r>
            <w:proofErr w:type="gramEnd"/>
            <w:r w:rsidRPr="002A1288">
              <w:rPr>
                <w:rFonts w:hint="eastAsia"/>
                <w:kern w:val="0"/>
                <w:szCs w:val="21"/>
              </w:rPr>
              <w:t>利润为基数，</w:t>
            </w:r>
            <w:r w:rsidRPr="002A1288">
              <w:rPr>
                <w:rFonts w:hint="eastAsia"/>
                <w:kern w:val="0"/>
                <w:szCs w:val="21"/>
              </w:rPr>
              <w:t>2023</w:t>
            </w:r>
            <w:r w:rsidRPr="002A1288">
              <w:rPr>
                <w:rFonts w:hint="eastAsia"/>
                <w:kern w:val="0"/>
                <w:szCs w:val="21"/>
              </w:rPr>
              <w:t>年度</w:t>
            </w:r>
            <w:proofErr w:type="gramStart"/>
            <w:r w:rsidR="00161986" w:rsidRPr="00F4623B">
              <w:rPr>
                <w:rFonts w:hint="eastAsia"/>
                <w:kern w:val="0"/>
                <w:szCs w:val="21"/>
              </w:rPr>
              <w:t>扣非归母</w:t>
            </w:r>
            <w:r w:rsidRPr="002A1288">
              <w:rPr>
                <w:rFonts w:hint="eastAsia"/>
                <w:kern w:val="0"/>
                <w:szCs w:val="21"/>
              </w:rPr>
              <w:t>净</w:t>
            </w:r>
            <w:proofErr w:type="gramEnd"/>
            <w:r w:rsidRPr="002A1288">
              <w:rPr>
                <w:rFonts w:hint="eastAsia"/>
                <w:kern w:val="0"/>
                <w:szCs w:val="21"/>
              </w:rPr>
              <w:t>利润增长率不低于</w:t>
            </w:r>
            <w:r w:rsidR="002A1288">
              <w:rPr>
                <w:kern w:val="0"/>
                <w:szCs w:val="21"/>
              </w:rPr>
              <w:t>53</w:t>
            </w:r>
            <w:r w:rsidRPr="002A1288">
              <w:rPr>
                <w:rFonts w:hint="eastAsia"/>
                <w:kern w:val="0"/>
                <w:szCs w:val="21"/>
              </w:rPr>
              <w:t>%</w:t>
            </w:r>
            <w:r w:rsidRPr="002A1288">
              <w:rPr>
                <w:rFonts w:hint="eastAsia"/>
                <w:kern w:val="0"/>
                <w:szCs w:val="21"/>
              </w:rPr>
              <w:t>，且不低于同行业平均水平；</w:t>
            </w:r>
          </w:p>
          <w:p w14:paraId="2DC6D4E5" w14:textId="3D1E60E3" w:rsidR="00482489" w:rsidRPr="002A1288" w:rsidRDefault="00482489" w:rsidP="004214B5">
            <w:pPr>
              <w:widowControl/>
              <w:rPr>
                <w:kern w:val="0"/>
                <w:szCs w:val="21"/>
              </w:rPr>
            </w:pPr>
            <w:proofErr w:type="gramStart"/>
            <w:r w:rsidRPr="002A1288">
              <w:rPr>
                <w:rFonts w:hint="eastAsia"/>
                <w:kern w:val="0"/>
                <w:szCs w:val="21"/>
              </w:rPr>
              <w:t>2</w:t>
            </w:r>
            <w:r w:rsidRPr="002A1288">
              <w:rPr>
                <w:rFonts w:hint="eastAsia"/>
                <w:kern w:val="0"/>
                <w:szCs w:val="21"/>
              </w:rPr>
              <w:t>、</w:t>
            </w:r>
            <w:r w:rsidRPr="002A1288">
              <w:rPr>
                <w:rFonts w:hint="eastAsia"/>
                <w:kern w:val="0"/>
                <w:szCs w:val="21"/>
              </w:rPr>
              <w:t>2023</w:t>
            </w:r>
            <w:r w:rsidRPr="002A1288">
              <w:rPr>
                <w:rFonts w:hint="eastAsia"/>
                <w:kern w:val="0"/>
                <w:szCs w:val="21"/>
              </w:rPr>
              <w:t>年度</w:t>
            </w:r>
            <w:r w:rsidR="00161986" w:rsidRPr="00161986">
              <w:rPr>
                <w:rFonts w:hint="eastAsia"/>
                <w:kern w:val="0"/>
                <w:szCs w:val="21"/>
              </w:rPr>
              <w:t>扣非</w:t>
            </w:r>
            <w:r w:rsidRPr="002A1288">
              <w:rPr>
                <w:rFonts w:hint="eastAsia"/>
                <w:kern w:val="0"/>
                <w:szCs w:val="21"/>
              </w:rPr>
              <w:t>每股</w:t>
            </w:r>
            <w:proofErr w:type="gramEnd"/>
            <w:r w:rsidRPr="002A1288">
              <w:rPr>
                <w:rFonts w:hint="eastAsia"/>
                <w:kern w:val="0"/>
                <w:szCs w:val="21"/>
              </w:rPr>
              <w:t>收益不低于</w:t>
            </w:r>
            <w:r w:rsidR="002A1288">
              <w:rPr>
                <w:kern w:val="0"/>
                <w:szCs w:val="21"/>
              </w:rPr>
              <w:t>2.05</w:t>
            </w:r>
            <w:r w:rsidRPr="002A1288">
              <w:rPr>
                <w:rFonts w:hint="eastAsia"/>
                <w:kern w:val="0"/>
                <w:szCs w:val="21"/>
              </w:rPr>
              <w:t>元</w:t>
            </w:r>
            <w:r w:rsidRPr="002A1288">
              <w:rPr>
                <w:rFonts w:hint="eastAsia"/>
                <w:kern w:val="0"/>
                <w:szCs w:val="21"/>
              </w:rPr>
              <w:t>/</w:t>
            </w:r>
            <w:r w:rsidRPr="002A1288">
              <w:rPr>
                <w:rFonts w:hint="eastAsia"/>
                <w:kern w:val="0"/>
                <w:szCs w:val="21"/>
              </w:rPr>
              <w:t>股，且不低于同行业平均水平。</w:t>
            </w:r>
          </w:p>
        </w:tc>
      </w:tr>
      <w:tr w:rsidR="00482489" w:rsidRPr="002A1288" w14:paraId="5F54DB49" w14:textId="77777777" w:rsidTr="004214B5">
        <w:trPr>
          <w:trHeight w:val="397"/>
        </w:trPr>
        <w:tc>
          <w:tcPr>
            <w:tcW w:w="124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92E56" w14:textId="77777777" w:rsidR="00482489" w:rsidRDefault="00482489" w:rsidP="004214B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</w:rPr>
              <w:t>三</w:t>
            </w:r>
            <w:r>
              <w:rPr>
                <w:kern w:val="0"/>
                <w:szCs w:val="21"/>
              </w:rPr>
              <w:t>个解除限售期</w:t>
            </w:r>
          </w:p>
        </w:tc>
        <w:tc>
          <w:tcPr>
            <w:tcW w:w="375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39565" w14:textId="0EBE8710" w:rsidR="00482489" w:rsidRPr="002A1288" w:rsidRDefault="00482489" w:rsidP="004214B5">
            <w:pPr>
              <w:widowControl/>
              <w:rPr>
                <w:kern w:val="0"/>
                <w:szCs w:val="21"/>
              </w:rPr>
            </w:pPr>
            <w:r w:rsidRPr="002A1288">
              <w:rPr>
                <w:rFonts w:hint="eastAsia"/>
                <w:kern w:val="0"/>
                <w:szCs w:val="21"/>
              </w:rPr>
              <w:t>1</w:t>
            </w:r>
            <w:r w:rsidRPr="002A1288">
              <w:rPr>
                <w:rFonts w:hint="eastAsia"/>
                <w:kern w:val="0"/>
                <w:szCs w:val="21"/>
              </w:rPr>
              <w:t>、以</w:t>
            </w:r>
            <w:r w:rsidRPr="002A1288">
              <w:rPr>
                <w:rFonts w:hint="eastAsia"/>
                <w:kern w:val="0"/>
                <w:szCs w:val="21"/>
              </w:rPr>
              <w:t>2020</w:t>
            </w:r>
            <w:r w:rsidRPr="002A1288">
              <w:rPr>
                <w:rFonts w:hint="eastAsia"/>
                <w:kern w:val="0"/>
                <w:szCs w:val="21"/>
              </w:rPr>
              <w:t>年</w:t>
            </w:r>
            <w:proofErr w:type="gramStart"/>
            <w:r w:rsidR="00161986" w:rsidRPr="00F4623B">
              <w:rPr>
                <w:rFonts w:hint="eastAsia"/>
                <w:kern w:val="0"/>
                <w:szCs w:val="21"/>
              </w:rPr>
              <w:t>扣非归母</w:t>
            </w:r>
            <w:r w:rsidRPr="002A1288">
              <w:rPr>
                <w:rFonts w:hint="eastAsia"/>
                <w:kern w:val="0"/>
                <w:szCs w:val="21"/>
              </w:rPr>
              <w:t>净</w:t>
            </w:r>
            <w:proofErr w:type="gramEnd"/>
            <w:r w:rsidRPr="002A1288">
              <w:rPr>
                <w:rFonts w:hint="eastAsia"/>
                <w:kern w:val="0"/>
                <w:szCs w:val="21"/>
              </w:rPr>
              <w:t>利润为基数，</w:t>
            </w:r>
            <w:r w:rsidRPr="002A1288">
              <w:rPr>
                <w:rFonts w:hint="eastAsia"/>
                <w:kern w:val="0"/>
                <w:szCs w:val="21"/>
              </w:rPr>
              <w:t>2024</w:t>
            </w:r>
            <w:r w:rsidRPr="002A1288">
              <w:rPr>
                <w:rFonts w:hint="eastAsia"/>
                <w:kern w:val="0"/>
                <w:szCs w:val="21"/>
              </w:rPr>
              <w:t>年度</w:t>
            </w:r>
            <w:proofErr w:type="gramStart"/>
            <w:r w:rsidR="00161986" w:rsidRPr="00F4623B">
              <w:rPr>
                <w:rFonts w:hint="eastAsia"/>
                <w:kern w:val="0"/>
                <w:szCs w:val="21"/>
              </w:rPr>
              <w:t>扣非归母</w:t>
            </w:r>
            <w:r w:rsidRPr="002A1288">
              <w:rPr>
                <w:rFonts w:hint="eastAsia"/>
                <w:kern w:val="0"/>
                <w:szCs w:val="21"/>
              </w:rPr>
              <w:t>净</w:t>
            </w:r>
            <w:proofErr w:type="gramEnd"/>
            <w:r w:rsidRPr="002A1288">
              <w:rPr>
                <w:rFonts w:hint="eastAsia"/>
                <w:kern w:val="0"/>
                <w:szCs w:val="21"/>
              </w:rPr>
              <w:t>利润增长率不低于</w:t>
            </w:r>
            <w:r w:rsidR="002A1288">
              <w:rPr>
                <w:kern w:val="0"/>
                <w:szCs w:val="21"/>
              </w:rPr>
              <w:t>60</w:t>
            </w:r>
            <w:r w:rsidRPr="002A1288">
              <w:rPr>
                <w:rFonts w:hint="eastAsia"/>
                <w:kern w:val="0"/>
                <w:szCs w:val="21"/>
              </w:rPr>
              <w:t>%</w:t>
            </w:r>
            <w:r w:rsidRPr="002A1288">
              <w:rPr>
                <w:rFonts w:hint="eastAsia"/>
                <w:kern w:val="0"/>
                <w:szCs w:val="21"/>
              </w:rPr>
              <w:t>，且不低于同行业平均水平；</w:t>
            </w:r>
          </w:p>
          <w:p w14:paraId="29774312" w14:textId="11C6182C" w:rsidR="00482489" w:rsidRPr="002A1288" w:rsidRDefault="00482489" w:rsidP="004214B5">
            <w:pPr>
              <w:widowControl/>
              <w:rPr>
                <w:kern w:val="0"/>
                <w:szCs w:val="21"/>
              </w:rPr>
            </w:pPr>
            <w:proofErr w:type="gramStart"/>
            <w:r w:rsidRPr="002A1288">
              <w:rPr>
                <w:rFonts w:hint="eastAsia"/>
                <w:kern w:val="0"/>
                <w:szCs w:val="21"/>
              </w:rPr>
              <w:t>2</w:t>
            </w:r>
            <w:r w:rsidRPr="002A1288">
              <w:rPr>
                <w:rFonts w:hint="eastAsia"/>
                <w:kern w:val="0"/>
                <w:szCs w:val="21"/>
              </w:rPr>
              <w:t>、</w:t>
            </w:r>
            <w:r w:rsidRPr="002A1288">
              <w:rPr>
                <w:rFonts w:hint="eastAsia"/>
                <w:kern w:val="0"/>
                <w:szCs w:val="21"/>
              </w:rPr>
              <w:t>2024</w:t>
            </w:r>
            <w:r w:rsidRPr="002A1288">
              <w:rPr>
                <w:rFonts w:hint="eastAsia"/>
                <w:kern w:val="0"/>
                <w:szCs w:val="21"/>
              </w:rPr>
              <w:t>年度</w:t>
            </w:r>
            <w:r w:rsidR="00161986" w:rsidRPr="00161986">
              <w:rPr>
                <w:rFonts w:hint="eastAsia"/>
                <w:kern w:val="0"/>
                <w:szCs w:val="21"/>
              </w:rPr>
              <w:t>扣非</w:t>
            </w:r>
            <w:r w:rsidRPr="002A1288">
              <w:rPr>
                <w:rFonts w:hint="eastAsia"/>
                <w:kern w:val="0"/>
                <w:szCs w:val="21"/>
              </w:rPr>
              <w:t>每股</w:t>
            </w:r>
            <w:proofErr w:type="gramEnd"/>
            <w:r w:rsidRPr="002A1288">
              <w:rPr>
                <w:rFonts w:hint="eastAsia"/>
                <w:kern w:val="0"/>
                <w:szCs w:val="21"/>
              </w:rPr>
              <w:t>收益不低于</w:t>
            </w:r>
            <w:r w:rsidR="002A1288">
              <w:rPr>
                <w:kern w:val="0"/>
                <w:szCs w:val="21"/>
              </w:rPr>
              <w:t>2.15</w:t>
            </w:r>
            <w:r w:rsidRPr="002A1288">
              <w:rPr>
                <w:rFonts w:hint="eastAsia"/>
                <w:kern w:val="0"/>
                <w:szCs w:val="21"/>
              </w:rPr>
              <w:t>元</w:t>
            </w:r>
            <w:r w:rsidRPr="002A1288">
              <w:rPr>
                <w:rFonts w:hint="eastAsia"/>
                <w:kern w:val="0"/>
                <w:szCs w:val="21"/>
              </w:rPr>
              <w:t>/</w:t>
            </w:r>
            <w:r w:rsidRPr="002A1288">
              <w:rPr>
                <w:rFonts w:hint="eastAsia"/>
                <w:kern w:val="0"/>
                <w:szCs w:val="21"/>
              </w:rPr>
              <w:t>股，且不低于同行业平均水平。</w:t>
            </w:r>
          </w:p>
        </w:tc>
      </w:tr>
    </w:tbl>
    <w:bookmarkEnd w:id="0"/>
    <w:p w14:paraId="556D5FE0" w14:textId="77777777" w:rsidR="00482489" w:rsidRPr="00231471" w:rsidRDefault="00482489" w:rsidP="00482489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31471">
        <w:rPr>
          <w:rFonts w:ascii="宋体" w:hAnsi="宋体" w:hint="eastAsia"/>
          <w:sz w:val="28"/>
          <w:szCs w:val="28"/>
        </w:rPr>
        <w:t>除上述修订外，公司2021年A股限制性股票激励计划的其他内容不变。更新后的</w:t>
      </w:r>
      <w:r w:rsidR="00511F53" w:rsidRPr="00231471">
        <w:rPr>
          <w:rFonts w:ascii="宋体" w:hAnsi="宋体" w:hint="eastAsia"/>
          <w:sz w:val="28"/>
          <w:szCs w:val="28"/>
        </w:rPr>
        <w:t>公司《2021年A股限制性股票激励计划（草案修订稿）》</w:t>
      </w:r>
      <w:r w:rsidR="0058252D" w:rsidRPr="00231471">
        <w:rPr>
          <w:rFonts w:ascii="宋体" w:hAnsi="宋体" w:hint="eastAsia"/>
          <w:sz w:val="28"/>
          <w:szCs w:val="28"/>
        </w:rPr>
        <w:t>及其摘要</w:t>
      </w:r>
      <w:r w:rsidR="00511F53" w:rsidRPr="00231471">
        <w:rPr>
          <w:rFonts w:ascii="宋体" w:hAnsi="宋体" w:hint="eastAsia"/>
          <w:sz w:val="28"/>
          <w:szCs w:val="28"/>
        </w:rPr>
        <w:t>、《2021年A股限制性股票激励计划实施考核管理办法（修订稿）》等</w:t>
      </w:r>
      <w:r w:rsidRPr="00231471">
        <w:rPr>
          <w:rFonts w:ascii="宋体" w:hAnsi="宋体" w:hint="eastAsia"/>
          <w:sz w:val="28"/>
          <w:szCs w:val="28"/>
        </w:rPr>
        <w:t>相关文件详见</w:t>
      </w:r>
      <w:r w:rsidR="00511F53" w:rsidRPr="00231471">
        <w:rPr>
          <w:rFonts w:ascii="宋体" w:hAnsi="宋体" w:hint="eastAsia"/>
          <w:sz w:val="28"/>
          <w:szCs w:val="28"/>
        </w:rPr>
        <w:t>上交所网站、香港联交所网站及公司网站</w:t>
      </w:r>
      <w:r w:rsidRPr="00231471">
        <w:rPr>
          <w:rFonts w:ascii="宋体" w:hAnsi="宋体" w:hint="eastAsia"/>
          <w:sz w:val="28"/>
          <w:szCs w:val="28"/>
        </w:rPr>
        <w:t>。</w:t>
      </w:r>
    </w:p>
    <w:p w14:paraId="600404D7" w14:textId="77777777" w:rsidR="00C24EC2" w:rsidRPr="00231471" w:rsidRDefault="00F2125A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31471">
        <w:rPr>
          <w:rFonts w:ascii="宋体" w:hAnsi="宋体"/>
          <w:sz w:val="28"/>
          <w:szCs w:val="28"/>
        </w:rPr>
        <w:t>特此公告。</w:t>
      </w:r>
    </w:p>
    <w:p w14:paraId="153A9E99" w14:textId="77777777" w:rsidR="00C24EC2" w:rsidRPr="00231471" w:rsidRDefault="00C24EC2">
      <w:pPr>
        <w:spacing w:line="50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</w:p>
    <w:p w14:paraId="04E31C0B" w14:textId="77777777" w:rsidR="00C24EC2" w:rsidRPr="00231471" w:rsidRDefault="00511F53">
      <w:pPr>
        <w:spacing w:line="50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proofErr w:type="gramStart"/>
      <w:r w:rsidRPr="00231471">
        <w:rPr>
          <w:rFonts w:ascii="宋体" w:hAnsi="宋体" w:hint="eastAsia"/>
          <w:sz w:val="28"/>
          <w:szCs w:val="28"/>
        </w:rPr>
        <w:t>兖</w:t>
      </w:r>
      <w:proofErr w:type="gramEnd"/>
      <w:r w:rsidRPr="00231471">
        <w:rPr>
          <w:rFonts w:ascii="宋体" w:hAnsi="宋体" w:hint="eastAsia"/>
          <w:sz w:val="28"/>
          <w:szCs w:val="28"/>
        </w:rPr>
        <w:t>矿能源集团</w:t>
      </w:r>
      <w:r w:rsidR="00EA2AE3" w:rsidRPr="00231471">
        <w:rPr>
          <w:rFonts w:ascii="宋体" w:hAnsi="宋体" w:hint="eastAsia"/>
          <w:sz w:val="28"/>
          <w:szCs w:val="28"/>
        </w:rPr>
        <w:t>股份</w:t>
      </w:r>
      <w:r w:rsidR="00AF57CC" w:rsidRPr="00231471">
        <w:rPr>
          <w:rFonts w:ascii="宋体" w:hAnsi="宋体"/>
          <w:sz w:val="28"/>
          <w:szCs w:val="28"/>
        </w:rPr>
        <w:t>有限公司</w:t>
      </w:r>
      <w:r w:rsidR="00F2125A" w:rsidRPr="00231471">
        <w:rPr>
          <w:rFonts w:ascii="宋体" w:hAnsi="宋体"/>
          <w:sz w:val="28"/>
          <w:szCs w:val="28"/>
        </w:rPr>
        <w:t>董事会</w:t>
      </w:r>
    </w:p>
    <w:p w14:paraId="17B777EA" w14:textId="6B0DDAC7" w:rsidR="00C24EC2" w:rsidRPr="00231471" w:rsidRDefault="008C4978">
      <w:pPr>
        <w:spacing w:line="50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231471">
        <w:rPr>
          <w:rFonts w:ascii="宋体" w:hAnsi="宋体"/>
          <w:sz w:val="28"/>
          <w:szCs w:val="28"/>
        </w:rPr>
        <w:t>2021</w:t>
      </w:r>
      <w:r w:rsidRPr="00231471">
        <w:rPr>
          <w:rFonts w:ascii="宋体" w:hAnsi="宋体" w:hint="eastAsia"/>
          <w:sz w:val="28"/>
          <w:szCs w:val="28"/>
        </w:rPr>
        <w:t>年</w:t>
      </w:r>
      <w:r w:rsidRPr="00231471">
        <w:rPr>
          <w:rFonts w:ascii="宋体" w:hAnsi="宋体"/>
          <w:sz w:val="28"/>
          <w:szCs w:val="28"/>
        </w:rPr>
        <w:t>12</w:t>
      </w:r>
      <w:r w:rsidRPr="00231471">
        <w:rPr>
          <w:rFonts w:ascii="宋体" w:hAnsi="宋体" w:hint="eastAsia"/>
          <w:sz w:val="28"/>
          <w:szCs w:val="28"/>
        </w:rPr>
        <w:t>月</w:t>
      </w:r>
      <w:r w:rsidR="00B93BB5" w:rsidRPr="00231471">
        <w:rPr>
          <w:rFonts w:ascii="宋体" w:hAnsi="宋体" w:hint="eastAsia"/>
          <w:sz w:val="28"/>
          <w:szCs w:val="28"/>
        </w:rPr>
        <w:t>31</w:t>
      </w:r>
      <w:r w:rsidRPr="00231471">
        <w:rPr>
          <w:rFonts w:ascii="宋体" w:hAnsi="宋体" w:hint="eastAsia"/>
          <w:sz w:val="28"/>
          <w:szCs w:val="28"/>
        </w:rPr>
        <w:t>日</w:t>
      </w:r>
    </w:p>
    <w:sectPr w:rsidR="00C24EC2" w:rsidRPr="00231471" w:rsidSect="00CE01F4">
      <w:headerReference w:type="default" r:id="rId9"/>
      <w:footerReference w:type="default" r:id="rId10"/>
      <w:pgSz w:w="11906" w:h="16838"/>
      <w:pgMar w:top="1440" w:right="1418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C24E" w14:textId="77777777" w:rsidR="002D3D5D" w:rsidRDefault="002D3D5D">
      <w:r>
        <w:separator/>
      </w:r>
    </w:p>
  </w:endnote>
  <w:endnote w:type="continuationSeparator" w:id="0">
    <w:p w14:paraId="04E5C0D9" w14:textId="77777777" w:rsidR="002D3D5D" w:rsidRDefault="002D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206909"/>
      <w:docPartObj>
        <w:docPartGallery w:val="Page Numbers (Bottom of Page)"/>
        <w:docPartUnique/>
      </w:docPartObj>
    </w:sdtPr>
    <w:sdtEndPr/>
    <w:sdtContent>
      <w:p w14:paraId="08BEE81A" w14:textId="77777777" w:rsidR="001A68CE" w:rsidRDefault="00163B3B">
        <w:pPr>
          <w:pStyle w:val="a9"/>
          <w:jc w:val="center"/>
        </w:pPr>
        <w:r>
          <w:fldChar w:fldCharType="begin"/>
        </w:r>
        <w:r w:rsidR="001A68CE">
          <w:instrText xml:space="preserve"> PAGE   \* MERGEFORMAT </w:instrText>
        </w:r>
        <w:r>
          <w:fldChar w:fldCharType="separate"/>
        </w:r>
        <w:r w:rsidR="000C3CE4" w:rsidRPr="000C3CE4">
          <w:rPr>
            <w:noProof/>
            <w:lang w:val="zh-CN"/>
          </w:rPr>
          <w:t>1</w:t>
        </w:r>
        <w:r>
          <w:fldChar w:fldCharType="end"/>
        </w:r>
      </w:p>
    </w:sdtContent>
  </w:sdt>
  <w:p w14:paraId="1EDAD6A9" w14:textId="77777777" w:rsidR="001A68CE" w:rsidRDefault="001A68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3CF6" w14:textId="77777777" w:rsidR="002D3D5D" w:rsidRDefault="002D3D5D">
      <w:r>
        <w:separator/>
      </w:r>
    </w:p>
  </w:footnote>
  <w:footnote w:type="continuationSeparator" w:id="0">
    <w:p w14:paraId="0F23A7C0" w14:textId="77777777" w:rsidR="002D3D5D" w:rsidRDefault="002D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9C41" w14:textId="77777777" w:rsidR="00330F2C" w:rsidRDefault="00330F2C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51FC"/>
    <w:multiLevelType w:val="multilevel"/>
    <w:tmpl w:val="7A244B2A"/>
    <w:lvl w:ilvl="0">
      <w:start w:val="1"/>
      <w:numFmt w:val="japaneseCounting"/>
      <w:lvlText w:val="（%1）"/>
      <w:lvlJc w:val="left"/>
      <w:pPr>
        <w:ind w:left="11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0" w:hanging="420"/>
      </w:pPr>
    </w:lvl>
    <w:lvl w:ilvl="2">
      <w:start w:val="1"/>
      <w:numFmt w:val="lowerRoman"/>
      <w:lvlText w:val="%3."/>
      <w:lvlJc w:val="right"/>
      <w:pPr>
        <w:ind w:left="1720" w:hanging="420"/>
      </w:pPr>
    </w:lvl>
    <w:lvl w:ilvl="3">
      <w:start w:val="1"/>
      <w:numFmt w:val="decimal"/>
      <w:lvlText w:val="%4."/>
      <w:lvlJc w:val="left"/>
      <w:pPr>
        <w:ind w:left="2140" w:hanging="420"/>
      </w:pPr>
    </w:lvl>
    <w:lvl w:ilvl="4">
      <w:start w:val="1"/>
      <w:numFmt w:val="lowerLetter"/>
      <w:lvlText w:val="%5)"/>
      <w:lvlJc w:val="left"/>
      <w:pPr>
        <w:ind w:left="2560" w:hanging="420"/>
      </w:pPr>
    </w:lvl>
    <w:lvl w:ilvl="5">
      <w:start w:val="1"/>
      <w:numFmt w:val="lowerRoman"/>
      <w:lvlText w:val="%6."/>
      <w:lvlJc w:val="right"/>
      <w:pPr>
        <w:ind w:left="2980" w:hanging="420"/>
      </w:pPr>
    </w:lvl>
    <w:lvl w:ilvl="6">
      <w:start w:val="1"/>
      <w:numFmt w:val="decimal"/>
      <w:lvlText w:val="%7."/>
      <w:lvlJc w:val="left"/>
      <w:pPr>
        <w:ind w:left="3400" w:hanging="420"/>
      </w:pPr>
    </w:lvl>
    <w:lvl w:ilvl="7">
      <w:start w:val="1"/>
      <w:numFmt w:val="lowerLetter"/>
      <w:lvlText w:val="%8)"/>
      <w:lvlJc w:val="left"/>
      <w:pPr>
        <w:ind w:left="3820" w:hanging="420"/>
      </w:pPr>
    </w:lvl>
    <w:lvl w:ilvl="8">
      <w:start w:val="1"/>
      <w:numFmt w:val="lowerRoman"/>
      <w:lvlText w:val="%9."/>
      <w:lvlJc w:val="right"/>
      <w:pPr>
        <w:ind w:left="4240" w:hanging="420"/>
      </w:pPr>
    </w:lvl>
  </w:abstractNum>
  <w:abstractNum w:abstractNumId="1" w15:restartNumberingAfterBreak="0">
    <w:nsid w:val="5D2478A0"/>
    <w:multiLevelType w:val="multilevel"/>
    <w:tmpl w:val="5D2478A0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97E"/>
    <w:rsid w:val="00002707"/>
    <w:rsid w:val="00002846"/>
    <w:rsid w:val="00010971"/>
    <w:rsid w:val="00010A89"/>
    <w:rsid w:val="00011042"/>
    <w:rsid w:val="0001147A"/>
    <w:rsid w:val="00013F0C"/>
    <w:rsid w:val="000154AF"/>
    <w:rsid w:val="00015B14"/>
    <w:rsid w:val="00017432"/>
    <w:rsid w:val="00017889"/>
    <w:rsid w:val="00026F22"/>
    <w:rsid w:val="00032CA8"/>
    <w:rsid w:val="000331FB"/>
    <w:rsid w:val="00036296"/>
    <w:rsid w:val="00037B25"/>
    <w:rsid w:val="00042E6F"/>
    <w:rsid w:val="00045700"/>
    <w:rsid w:val="00047271"/>
    <w:rsid w:val="000569BF"/>
    <w:rsid w:val="00057512"/>
    <w:rsid w:val="00061DA3"/>
    <w:rsid w:val="00062A24"/>
    <w:rsid w:val="000641AB"/>
    <w:rsid w:val="000710F9"/>
    <w:rsid w:val="00071F5C"/>
    <w:rsid w:val="00074B5A"/>
    <w:rsid w:val="00076E66"/>
    <w:rsid w:val="000775F9"/>
    <w:rsid w:val="00091970"/>
    <w:rsid w:val="00095AA2"/>
    <w:rsid w:val="000A2228"/>
    <w:rsid w:val="000A2B7B"/>
    <w:rsid w:val="000A5756"/>
    <w:rsid w:val="000B0B45"/>
    <w:rsid w:val="000B134A"/>
    <w:rsid w:val="000B2792"/>
    <w:rsid w:val="000B3549"/>
    <w:rsid w:val="000B4997"/>
    <w:rsid w:val="000B741B"/>
    <w:rsid w:val="000B7826"/>
    <w:rsid w:val="000C0759"/>
    <w:rsid w:val="000C1DBA"/>
    <w:rsid w:val="000C3CE4"/>
    <w:rsid w:val="000C4005"/>
    <w:rsid w:val="000C5131"/>
    <w:rsid w:val="000C513A"/>
    <w:rsid w:val="000C7640"/>
    <w:rsid w:val="000D0106"/>
    <w:rsid w:val="000E42E1"/>
    <w:rsid w:val="000E54CF"/>
    <w:rsid w:val="000E777B"/>
    <w:rsid w:val="000F00FF"/>
    <w:rsid w:val="000F7AE5"/>
    <w:rsid w:val="0010095B"/>
    <w:rsid w:val="00100C95"/>
    <w:rsid w:val="00103CCC"/>
    <w:rsid w:val="00107A91"/>
    <w:rsid w:val="00115088"/>
    <w:rsid w:val="00115781"/>
    <w:rsid w:val="00132746"/>
    <w:rsid w:val="0013647B"/>
    <w:rsid w:val="001370E8"/>
    <w:rsid w:val="001374F0"/>
    <w:rsid w:val="0014222E"/>
    <w:rsid w:val="00153C60"/>
    <w:rsid w:val="001544DB"/>
    <w:rsid w:val="00156E6F"/>
    <w:rsid w:val="00161986"/>
    <w:rsid w:val="001636CC"/>
    <w:rsid w:val="00163B3B"/>
    <w:rsid w:val="0016592D"/>
    <w:rsid w:val="001677D6"/>
    <w:rsid w:val="00170FE8"/>
    <w:rsid w:val="001711C2"/>
    <w:rsid w:val="0018165B"/>
    <w:rsid w:val="00193355"/>
    <w:rsid w:val="00194FA7"/>
    <w:rsid w:val="00197CCF"/>
    <w:rsid w:val="001A2C4D"/>
    <w:rsid w:val="001A34EB"/>
    <w:rsid w:val="001A68CE"/>
    <w:rsid w:val="001A7E62"/>
    <w:rsid w:val="001B403D"/>
    <w:rsid w:val="001B4D87"/>
    <w:rsid w:val="001B6E52"/>
    <w:rsid w:val="001C16B0"/>
    <w:rsid w:val="001D6E99"/>
    <w:rsid w:val="001E1ED5"/>
    <w:rsid w:val="001E1F36"/>
    <w:rsid w:val="001E6ABD"/>
    <w:rsid w:val="001F3EF6"/>
    <w:rsid w:val="001F69F1"/>
    <w:rsid w:val="0020677F"/>
    <w:rsid w:val="00210605"/>
    <w:rsid w:val="00211CF5"/>
    <w:rsid w:val="00216C2C"/>
    <w:rsid w:val="002179FD"/>
    <w:rsid w:val="002213F4"/>
    <w:rsid w:val="002222B7"/>
    <w:rsid w:val="002226DE"/>
    <w:rsid w:val="00226092"/>
    <w:rsid w:val="00227053"/>
    <w:rsid w:val="00227A2F"/>
    <w:rsid w:val="00231471"/>
    <w:rsid w:val="002355E7"/>
    <w:rsid w:val="00236E89"/>
    <w:rsid w:val="002417BE"/>
    <w:rsid w:val="00257C18"/>
    <w:rsid w:val="00272508"/>
    <w:rsid w:val="002814D1"/>
    <w:rsid w:val="0028350B"/>
    <w:rsid w:val="00284538"/>
    <w:rsid w:val="00285198"/>
    <w:rsid w:val="00292AF4"/>
    <w:rsid w:val="00295775"/>
    <w:rsid w:val="002A1288"/>
    <w:rsid w:val="002A15BE"/>
    <w:rsid w:val="002A294F"/>
    <w:rsid w:val="002A2F68"/>
    <w:rsid w:val="002A43F8"/>
    <w:rsid w:val="002B0043"/>
    <w:rsid w:val="002B2118"/>
    <w:rsid w:val="002B5AFE"/>
    <w:rsid w:val="002C15DA"/>
    <w:rsid w:val="002D2436"/>
    <w:rsid w:val="002D3922"/>
    <w:rsid w:val="002D3D5D"/>
    <w:rsid w:val="002D6A27"/>
    <w:rsid w:val="002E0B8B"/>
    <w:rsid w:val="002F26F2"/>
    <w:rsid w:val="002F2C32"/>
    <w:rsid w:val="002F6E7C"/>
    <w:rsid w:val="00301E11"/>
    <w:rsid w:val="00304482"/>
    <w:rsid w:val="00322DB1"/>
    <w:rsid w:val="003234C3"/>
    <w:rsid w:val="00325FC2"/>
    <w:rsid w:val="003274FB"/>
    <w:rsid w:val="00330F2C"/>
    <w:rsid w:val="00331722"/>
    <w:rsid w:val="00336381"/>
    <w:rsid w:val="00351090"/>
    <w:rsid w:val="00352ED6"/>
    <w:rsid w:val="00353A67"/>
    <w:rsid w:val="0036119F"/>
    <w:rsid w:val="00362814"/>
    <w:rsid w:val="003643EF"/>
    <w:rsid w:val="00365F76"/>
    <w:rsid w:val="003712B9"/>
    <w:rsid w:val="003722B4"/>
    <w:rsid w:val="00373D1D"/>
    <w:rsid w:val="00374D0C"/>
    <w:rsid w:val="00377F76"/>
    <w:rsid w:val="00390197"/>
    <w:rsid w:val="003910D0"/>
    <w:rsid w:val="003A0FDB"/>
    <w:rsid w:val="003A3F27"/>
    <w:rsid w:val="003B338C"/>
    <w:rsid w:val="003C3E29"/>
    <w:rsid w:val="003D0D43"/>
    <w:rsid w:val="003D2C1D"/>
    <w:rsid w:val="003E16BD"/>
    <w:rsid w:val="003E316F"/>
    <w:rsid w:val="003F55CA"/>
    <w:rsid w:val="00400B48"/>
    <w:rsid w:val="00400F0C"/>
    <w:rsid w:val="00406FAB"/>
    <w:rsid w:val="00414D51"/>
    <w:rsid w:val="00417D5C"/>
    <w:rsid w:val="00417FC5"/>
    <w:rsid w:val="004221FD"/>
    <w:rsid w:val="00425A49"/>
    <w:rsid w:val="00431794"/>
    <w:rsid w:val="004349A4"/>
    <w:rsid w:val="004353F7"/>
    <w:rsid w:val="0043705C"/>
    <w:rsid w:val="004421A4"/>
    <w:rsid w:val="004427D3"/>
    <w:rsid w:val="00443037"/>
    <w:rsid w:val="004434AC"/>
    <w:rsid w:val="00451535"/>
    <w:rsid w:val="00452433"/>
    <w:rsid w:val="00453D1F"/>
    <w:rsid w:val="00454F91"/>
    <w:rsid w:val="00460A50"/>
    <w:rsid w:val="00461CB9"/>
    <w:rsid w:val="0046247B"/>
    <w:rsid w:val="004665A2"/>
    <w:rsid w:val="004728DD"/>
    <w:rsid w:val="004755FB"/>
    <w:rsid w:val="00480CC9"/>
    <w:rsid w:val="00480FE8"/>
    <w:rsid w:val="00482489"/>
    <w:rsid w:val="0048293A"/>
    <w:rsid w:val="00483406"/>
    <w:rsid w:val="00485FD4"/>
    <w:rsid w:val="00490E5F"/>
    <w:rsid w:val="0049203E"/>
    <w:rsid w:val="00495D9E"/>
    <w:rsid w:val="00497DFF"/>
    <w:rsid w:val="00497FBA"/>
    <w:rsid w:val="004A0014"/>
    <w:rsid w:val="004A003C"/>
    <w:rsid w:val="004A10D3"/>
    <w:rsid w:val="004B31B3"/>
    <w:rsid w:val="004C0907"/>
    <w:rsid w:val="004C1578"/>
    <w:rsid w:val="004C2A14"/>
    <w:rsid w:val="004C407E"/>
    <w:rsid w:val="004C4AE1"/>
    <w:rsid w:val="004C708A"/>
    <w:rsid w:val="004C7AED"/>
    <w:rsid w:val="004D2306"/>
    <w:rsid w:val="004D3299"/>
    <w:rsid w:val="004D42D8"/>
    <w:rsid w:val="004D6010"/>
    <w:rsid w:val="004E12A4"/>
    <w:rsid w:val="004E17D3"/>
    <w:rsid w:val="004E4434"/>
    <w:rsid w:val="004F00F7"/>
    <w:rsid w:val="004F1BCD"/>
    <w:rsid w:val="004F4534"/>
    <w:rsid w:val="004F5D78"/>
    <w:rsid w:val="00503ACB"/>
    <w:rsid w:val="00506AFD"/>
    <w:rsid w:val="00511F53"/>
    <w:rsid w:val="00513DCF"/>
    <w:rsid w:val="00514457"/>
    <w:rsid w:val="0052136E"/>
    <w:rsid w:val="005274BB"/>
    <w:rsid w:val="0053556F"/>
    <w:rsid w:val="005509A8"/>
    <w:rsid w:val="00550C03"/>
    <w:rsid w:val="005518B6"/>
    <w:rsid w:val="00556A28"/>
    <w:rsid w:val="00557E09"/>
    <w:rsid w:val="005666F5"/>
    <w:rsid w:val="0057092A"/>
    <w:rsid w:val="00570EF0"/>
    <w:rsid w:val="005711DF"/>
    <w:rsid w:val="00573E69"/>
    <w:rsid w:val="00574E7E"/>
    <w:rsid w:val="005754EA"/>
    <w:rsid w:val="0058252D"/>
    <w:rsid w:val="00583A86"/>
    <w:rsid w:val="00585BA1"/>
    <w:rsid w:val="00586C74"/>
    <w:rsid w:val="00586E3B"/>
    <w:rsid w:val="00591493"/>
    <w:rsid w:val="0059383E"/>
    <w:rsid w:val="005A09AD"/>
    <w:rsid w:val="005A176A"/>
    <w:rsid w:val="005A17ED"/>
    <w:rsid w:val="005A5444"/>
    <w:rsid w:val="005A7BCF"/>
    <w:rsid w:val="005B71D6"/>
    <w:rsid w:val="005C08B1"/>
    <w:rsid w:val="005C41D4"/>
    <w:rsid w:val="005C6442"/>
    <w:rsid w:val="005D2041"/>
    <w:rsid w:val="005D4923"/>
    <w:rsid w:val="005E1D86"/>
    <w:rsid w:val="005E5A20"/>
    <w:rsid w:val="005F4697"/>
    <w:rsid w:val="005F7946"/>
    <w:rsid w:val="005F7D0E"/>
    <w:rsid w:val="006036E7"/>
    <w:rsid w:val="00605FE0"/>
    <w:rsid w:val="00607E81"/>
    <w:rsid w:val="006119A5"/>
    <w:rsid w:val="00613250"/>
    <w:rsid w:val="00617FF6"/>
    <w:rsid w:val="00621530"/>
    <w:rsid w:val="00624B5C"/>
    <w:rsid w:val="0063492E"/>
    <w:rsid w:val="00637402"/>
    <w:rsid w:val="0064078F"/>
    <w:rsid w:val="00642DA0"/>
    <w:rsid w:val="00644854"/>
    <w:rsid w:val="006462F4"/>
    <w:rsid w:val="00650696"/>
    <w:rsid w:val="00651516"/>
    <w:rsid w:val="00656FCB"/>
    <w:rsid w:val="00665C9C"/>
    <w:rsid w:val="006670B4"/>
    <w:rsid w:val="00670B47"/>
    <w:rsid w:val="006749DA"/>
    <w:rsid w:val="0067588E"/>
    <w:rsid w:val="0068094E"/>
    <w:rsid w:val="006815DE"/>
    <w:rsid w:val="00684CA7"/>
    <w:rsid w:val="00685B0C"/>
    <w:rsid w:val="00685C3B"/>
    <w:rsid w:val="0069102D"/>
    <w:rsid w:val="00695C1C"/>
    <w:rsid w:val="006A2170"/>
    <w:rsid w:val="006A54B3"/>
    <w:rsid w:val="006B04E0"/>
    <w:rsid w:val="006B45F8"/>
    <w:rsid w:val="006B6DD3"/>
    <w:rsid w:val="006C574F"/>
    <w:rsid w:val="006C5DF8"/>
    <w:rsid w:val="006D1FD7"/>
    <w:rsid w:val="006D50CD"/>
    <w:rsid w:val="006D75A4"/>
    <w:rsid w:val="006D785C"/>
    <w:rsid w:val="006E7989"/>
    <w:rsid w:val="006F256D"/>
    <w:rsid w:val="006F62DB"/>
    <w:rsid w:val="006F6706"/>
    <w:rsid w:val="00713ED7"/>
    <w:rsid w:val="00714223"/>
    <w:rsid w:val="00714ED1"/>
    <w:rsid w:val="00716BF8"/>
    <w:rsid w:val="00716F0A"/>
    <w:rsid w:val="007236AB"/>
    <w:rsid w:val="00723D3F"/>
    <w:rsid w:val="00725748"/>
    <w:rsid w:val="00730891"/>
    <w:rsid w:val="00732F20"/>
    <w:rsid w:val="007333E4"/>
    <w:rsid w:val="00740E03"/>
    <w:rsid w:val="00741C3E"/>
    <w:rsid w:val="00742FA7"/>
    <w:rsid w:val="00754B14"/>
    <w:rsid w:val="0075730C"/>
    <w:rsid w:val="00767093"/>
    <w:rsid w:val="0076789A"/>
    <w:rsid w:val="00770896"/>
    <w:rsid w:val="00770A47"/>
    <w:rsid w:val="0077518D"/>
    <w:rsid w:val="00776E90"/>
    <w:rsid w:val="0077754E"/>
    <w:rsid w:val="00780F1E"/>
    <w:rsid w:val="00781F1A"/>
    <w:rsid w:val="007836A6"/>
    <w:rsid w:val="00792F74"/>
    <w:rsid w:val="00796103"/>
    <w:rsid w:val="007A21BE"/>
    <w:rsid w:val="007B0A7D"/>
    <w:rsid w:val="007B10C9"/>
    <w:rsid w:val="007B2727"/>
    <w:rsid w:val="007B7184"/>
    <w:rsid w:val="007B73FF"/>
    <w:rsid w:val="007C07D7"/>
    <w:rsid w:val="007C1F69"/>
    <w:rsid w:val="007C2587"/>
    <w:rsid w:val="007C6B15"/>
    <w:rsid w:val="007C78E5"/>
    <w:rsid w:val="007D14BD"/>
    <w:rsid w:val="007D1696"/>
    <w:rsid w:val="007D1AF0"/>
    <w:rsid w:val="007D1F57"/>
    <w:rsid w:val="007D2DB4"/>
    <w:rsid w:val="007D3969"/>
    <w:rsid w:val="007D3E54"/>
    <w:rsid w:val="007D7BF5"/>
    <w:rsid w:val="007E24E5"/>
    <w:rsid w:val="007E549E"/>
    <w:rsid w:val="007E558D"/>
    <w:rsid w:val="007F05D9"/>
    <w:rsid w:val="007F22F0"/>
    <w:rsid w:val="007F2B69"/>
    <w:rsid w:val="007F6E8A"/>
    <w:rsid w:val="00804A6E"/>
    <w:rsid w:val="0080745E"/>
    <w:rsid w:val="00811089"/>
    <w:rsid w:val="00820E33"/>
    <w:rsid w:val="008215D7"/>
    <w:rsid w:val="00823388"/>
    <w:rsid w:val="00823A69"/>
    <w:rsid w:val="00837484"/>
    <w:rsid w:val="00840FC8"/>
    <w:rsid w:val="008466CB"/>
    <w:rsid w:val="0084769B"/>
    <w:rsid w:val="00853370"/>
    <w:rsid w:val="00853BBD"/>
    <w:rsid w:val="00856A9E"/>
    <w:rsid w:val="0086030E"/>
    <w:rsid w:val="0086092B"/>
    <w:rsid w:val="00861B66"/>
    <w:rsid w:val="00864FA1"/>
    <w:rsid w:val="00865832"/>
    <w:rsid w:val="00867AE0"/>
    <w:rsid w:val="0087475B"/>
    <w:rsid w:val="008760A1"/>
    <w:rsid w:val="00882D5C"/>
    <w:rsid w:val="00883D36"/>
    <w:rsid w:val="008917FD"/>
    <w:rsid w:val="00895343"/>
    <w:rsid w:val="00897450"/>
    <w:rsid w:val="00897E78"/>
    <w:rsid w:val="008A272C"/>
    <w:rsid w:val="008A30C4"/>
    <w:rsid w:val="008A39CF"/>
    <w:rsid w:val="008A6126"/>
    <w:rsid w:val="008B3078"/>
    <w:rsid w:val="008B405E"/>
    <w:rsid w:val="008B50D9"/>
    <w:rsid w:val="008B5DE4"/>
    <w:rsid w:val="008C2133"/>
    <w:rsid w:val="008C4978"/>
    <w:rsid w:val="008C6A38"/>
    <w:rsid w:val="008D494A"/>
    <w:rsid w:val="008D4D3F"/>
    <w:rsid w:val="008D5D69"/>
    <w:rsid w:val="008E0A7F"/>
    <w:rsid w:val="008E143F"/>
    <w:rsid w:val="008F0D96"/>
    <w:rsid w:val="008F4AE2"/>
    <w:rsid w:val="008F5DD5"/>
    <w:rsid w:val="008F7B23"/>
    <w:rsid w:val="00901E05"/>
    <w:rsid w:val="00902595"/>
    <w:rsid w:val="00904EE9"/>
    <w:rsid w:val="009108AE"/>
    <w:rsid w:val="0091095B"/>
    <w:rsid w:val="00914A68"/>
    <w:rsid w:val="00916FF7"/>
    <w:rsid w:val="00922482"/>
    <w:rsid w:val="00926476"/>
    <w:rsid w:val="00926497"/>
    <w:rsid w:val="00931967"/>
    <w:rsid w:val="009338C9"/>
    <w:rsid w:val="00934B87"/>
    <w:rsid w:val="00943E3F"/>
    <w:rsid w:val="00945263"/>
    <w:rsid w:val="00945FD6"/>
    <w:rsid w:val="009510C2"/>
    <w:rsid w:val="00963436"/>
    <w:rsid w:val="009658A3"/>
    <w:rsid w:val="009703B8"/>
    <w:rsid w:val="00973A61"/>
    <w:rsid w:val="00976893"/>
    <w:rsid w:val="009802BE"/>
    <w:rsid w:val="00983096"/>
    <w:rsid w:val="00985B10"/>
    <w:rsid w:val="00990E4D"/>
    <w:rsid w:val="00993642"/>
    <w:rsid w:val="00993FE2"/>
    <w:rsid w:val="009A5429"/>
    <w:rsid w:val="009A789C"/>
    <w:rsid w:val="009A7FF2"/>
    <w:rsid w:val="009B0423"/>
    <w:rsid w:val="009B0508"/>
    <w:rsid w:val="009B0599"/>
    <w:rsid w:val="009B4FA6"/>
    <w:rsid w:val="009B5D61"/>
    <w:rsid w:val="009B68B1"/>
    <w:rsid w:val="009B6926"/>
    <w:rsid w:val="009D2D8F"/>
    <w:rsid w:val="009D6A09"/>
    <w:rsid w:val="009D7D6D"/>
    <w:rsid w:val="009E1297"/>
    <w:rsid w:val="009E17DD"/>
    <w:rsid w:val="009E20F2"/>
    <w:rsid w:val="009E4091"/>
    <w:rsid w:val="009E4BFC"/>
    <w:rsid w:val="009E7676"/>
    <w:rsid w:val="009F6599"/>
    <w:rsid w:val="009F7ABD"/>
    <w:rsid w:val="00A26755"/>
    <w:rsid w:val="00A27DC6"/>
    <w:rsid w:val="00A311DE"/>
    <w:rsid w:val="00A400A7"/>
    <w:rsid w:val="00A47001"/>
    <w:rsid w:val="00A50CAF"/>
    <w:rsid w:val="00A542E7"/>
    <w:rsid w:val="00A61249"/>
    <w:rsid w:val="00A70722"/>
    <w:rsid w:val="00A73B00"/>
    <w:rsid w:val="00A80E3C"/>
    <w:rsid w:val="00A812C3"/>
    <w:rsid w:val="00A837BA"/>
    <w:rsid w:val="00A90D9C"/>
    <w:rsid w:val="00A91FB3"/>
    <w:rsid w:val="00A96681"/>
    <w:rsid w:val="00AA2439"/>
    <w:rsid w:val="00AA63E9"/>
    <w:rsid w:val="00AB02EF"/>
    <w:rsid w:val="00AB1482"/>
    <w:rsid w:val="00AB7C5B"/>
    <w:rsid w:val="00AC36B4"/>
    <w:rsid w:val="00AC6E8B"/>
    <w:rsid w:val="00AD2431"/>
    <w:rsid w:val="00AD7A91"/>
    <w:rsid w:val="00AE0D02"/>
    <w:rsid w:val="00AE20A0"/>
    <w:rsid w:val="00AE7C89"/>
    <w:rsid w:val="00AF0743"/>
    <w:rsid w:val="00AF12B0"/>
    <w:rsid w:val="00AF3626"/>
    <w:rsid w:val="00AF57CC"/>
    <w:rsid w:val="00B00560"/>
    <w:rsid w:val="00B04736"/>
    <w:rsid w:val="00B04BA1"/>
    <w:rsid w:val="00B155F6"/>
    <w:rsid w:val="00B226FE"/>
    <w:rsid w:val="00B25B30"/>
    <w:rsid w:val="00B3248C"/>
    <w:rsid w:val="00B36726"/>
    <w:rsid w:val="00B3779C"/>
    <w:rsid w:val="00B425A4"/>
    <w:rsid w:val="00B452E5"/>
    <w:rsid w:val="00B51378"/>
    <w:rsid w:val="00B5715C"/>
    <w:rsid w:val="00B605E0"/>
    <w:rsid w:val="00B667CB"/>
    <w:rsid w:val="00B77A23"/>
    <w:rsid w:val="00B77F79"/>
    <w:rsid w:val="00B8164F"/>
    <w:rsid w:val="00B840BD"/>
    <w:rsid w:val="00B84D63"/>
    <w:rsid w:val="00B86E3D"/>
    <w:rsid w:val="00B93BB5"/>
    <w:rsid w:val="00B96120"/>
    <w:rsid w:val="00B96A22"/>
    <w:rsid w:val="00B9773D"/>
    <w:rsid w:val="00BA270C"/>
    <w:rsid w:val="00BA3285"/>
    <w:rsid w:val="00BA5FDA"/>
    <w:rsid w:val="00BA69B6"/>
    <w:rsid w:val="00BB1F3E"/>
    <w:rsid w:val="00BB1F9B"/>
    <w:rsid w:val="00BB3ADC"/>
    <w:rsid w:val="00BB5CD0"/>
    <w:rsid w:val="00BC2A80"/>
    <w:rsid w:val="00BC4C16"/>
    <w:rsid w:val="00BD0653"/>
    <w:rsid w:val="00BD233D"/>
    <w:rsid w:val="00BD3968"/>
    <w:rsid w:val="00BD4F3C"/>
    <w:rsid w:val="00BD5488"/>
    <w:rsid w:val="00BD5C15"/>
    <w:rsid w:val="00BE00DC"/>
    <w:rsid w:val="00BE14E9"/>
    <w:rsid w:val="00C023DA"/>
    <w:rsid w:val="00C0281F"/>
    <w:rsid w:val="00C03A3D"/>
    <w:rsid w:val="00C06630"/>
    <w:rsid w:val="00C07BB3"/>
    <w:rsid w:val="00C11FD4"/>
    <w:rsid w:val="00C17704"/>
    <w:rsid w:val="00C2062C"/>
    <w:rsid w:val="00C21A80"/>
    <w:rsid w:val="00C24EC2"/>
    <w:rsid w:val="00C27187"/>
    <w:rsid w:val="00C328BA"/>
    <w:rsid w:val="00C37B4C"/>
    <w:rsid w:val="00C5011B"/>
    <w:rsid w:val="00C50884"/>
    <w:rsid w:val="00C5788C"/>
    <w:rsid w:val="00C57FFD"/>
    <w:rsid w:val="00C63F33"/>
    <w:rsid w:val="00C71FC9"/>
    <w:rsid w:val="00C73087"/>
    <w:rsid w:val="00C734ED"/>
    <w:rsid w:val="00C740C8"/>
    <w:rsid w:val="00C804ED"/>
    <w:rsid w:val="00C815C8"/>
    <w:rsid w:val="00C86185"/>
    <w:rsid w:val="00C87666"/>
    <w:rsid w:val="00C920E7"/>
    <w:rsid w:val="00C977B3"/>
    <w:rsid w:val="00CB02BF"/>
    <w:rsid w:val="00CB1780"/>
    <w:rsid w:val="00CB22E5"/>
    <w:rsid w:val="00CB4C65"/>
    <w:rsid w:val="00CC6F8D"/>
    <w:rsid w:val="00CC771A"/>
    <w:rsid w:val="00CD006E"/>
    <w:rsid w:val="00CD01FC"/>
    <w:rsid w:val="00CD07F6"/>
    <w:rsid w:val="00CD562A"/>
    <w:rsid w:val="00CE01F4"/>
    <w:rsid w:val="00CE4189"/>
    <w:rsid w:val="00CE5C53"/>
    <w:rsid w:val="00D01740"/>
    <w:rsid w:val="00D052EB"/>
    <w:rsid w:val="00D077EF"/>
    <w:rsid w:val="00D1142C"/>
    <w:rsid w:val="00D118BD"/>
    <w:rsid w:val="00D12F97"/>
    <w:rsid w:val="00D144A1"/>
    <w:rsid w:val="00D14DE8"/>
    <w:rsid w:val="00D1587F"/>
    <w:rsid w:val="00D20372"/>
    <w:rsid w:val="00D2781A"/>
    <w:rsid w:val="00D278D2"/>
    <w:rsid w:val="00D33216"/>
    <w:rsid w:val="00D40054"/>
    <w:rsid w:val="00D43526"/>
    <w:rsid w:val="00D43EA1"/>
    <w:rsid w:val="00D45F3E"/>
    <w:rsid w:val="00D47826"/>
    <w:rsid w:val="00D52B95"/>
    <w:rsid w:val="00D56D02"/>
    <w:rsid w:val="00D57685"/>
    <w:rsid w:val="00D57BD6"/>
    <w:rsid w:val="00D64136"/>
    <w:rsid w:val="00D67255"/>
    <w:rsid w:val="00D74B6E"/>
    <w:rsid w:val="00D812CC"/>
    <w:rsid w:val="00D85A36"/>
    <w:rsid w:val="00D879B0"/>
    <w:rsid w:val="00D9098F"/>
    <w:rsid w:val="00D94C6A"/>
    <w:rsid w:val="00D96327"/>
    <w:rsid w:val="00DA04E1"/>
    <w:rsid w:val="00DA0978"/>
    <w:rsid w:val="00DA1591"/>
    <w:rsid w:val="00DA2F96"/>
    <w:rsid w:val="00DA55DA"/>
    <w:rsid w:val="00DA70F6"/>
    <w:rsid w:val="00DB221B"/>
    <w:rsid w:val="00DB3314"/>
    <w:rsid w:val="00DB397E"/>
    <w:rsid w:val="00DB6DD2"/>
    <w:rsid w:val="00DC2F78"/>
    <w:rsid w:val="00DC3317"/>
    <w:rsid w:val="00DD2A44"/>
    <w:rsid w:val="00DE2869"/>
    <w:rsid w:val="00DE5939"/>
    <w:rsid w:val="00DF2486"/>
    <w:rsid w:val="00DF46A3"/>
    <w:rsid w:val="00E00936"/>
    <w:rsid w:val="00E01381"/>
    <w:rsid w:val="00E01499"/>
    <w:rsid w:val="00E0188C"/>
    <w:rsid w:val="00E02B48"/>
    <w:rsid w:val="00E041D6"/>
    <w:rsid w:val="00E13734"/>
    <w:rsid w:val="00E1427C"/>
    <w:rsid w:val="00E36030"/>
    <w:rsid w:val="00E37EA3"/>
    <w:rsid w:val="00E425D7"/>
    <w:rsid w:val="00E4386E"/>
    <w:rsid w:val="00E46300"/>
    <w:rsid w:val="00E523AC"/>
    <w:rsid w:val="00E52BBC"/>
    <w:rsid w:val="00E53B98"/>
    <w:rsid w:val="00E5440F"/>
    <w:rsid w:val="00E62D60"/>
    <w:rsid w:val="00E66015"/>
    <w:rsid w:val="00E71F93"/>
    <w:rsid w:val="00E76305"/>
    <w:rsid w:val="00E775F4"/>
    <w:rsid w:val="00E80264"/>
    <w:rsid w:val="00E8615D"/>
    <w:rsid w:val="00E9247C"/>
    <w:rsid w:val="00E97BF9"/>
    <w:rsid w:val="00EA2AE3"/>
    <w:rsid w:val="00EA2E77"/>
    <w:rsid w:val="00EA4256"/>
    <w:rsid w:val="00EA4E36"/>
    <w:rsid w:val="00EA537D"/>
    <w:rsid w:val="00EA7EE7"/>
    <w:rsid w:val="00EB17CF"/>
    <w:rsid w:val="00EB51B4"/>
    <w:rsid w:val="00EC0517"/>
    <w:rsid w:val="00EE2830"/>
    <w:rsid w:val="00EF3B72"/>
    <w:rsid w:val="00EF4E6A"/>
    <w:rsid w:val="00F009FD"/>
    <w:rsid w:val="00F06849"/>
    <w:rsid w:val="00F06C5D"/>
    <w:rsid w:val="00F111A4"/>
    <w:rsid w:val="00F11A90"/>
    <w:rsid w:val="00F20081"/>
    <w:rsid w:val="00F2125A"/>
    <w:rsid w:val="00F228E9"/>
    <w:rsid w:val="00F23F1F"/>
    <w:rsid w:val="00F2540E"/>
    <w:rsid w:val="00F317B8"/>
    <w:rsid w:val="00F331C0"/>
    <w:rsid w:val="00F35C20"/>
    <w:rsid w:val="00F40DFD"/>
    <w:rsid w:val="00F41A69"/>
    <w:rsid w:val="00F4257E"/>
    <w:rsid w:val="00F4623B"/>
    <w:rsid w:val="00F501E7"/>
    <w:rsid w:val="00F63725"/>
    <w:rsid w:val="00F63845"/>
    <w:rsid w:val="00F66C2E"/>
    <w:rsid w:val="00F739D4"/>
    <w:rsid w:val="00F74146"/>
    <w:rsid w:val="00F77E83"/>
    <w:rsid w:val="00F85471"/>
    <w:rsid w:val="00F86E6A"/>
    <w:rsid w:val="00F87096"/>
    <w:rsid w:val="00F91192"/>
    <w:rsid w:val="00F918CC"/>
    <w:rsid w:val="00F9441B"/>
    <w:rsid w:val="00F95F82"/>
    <w:rsid w:val="00F96E71"/>
    <w:rsid w:val="00F970E1"/>
    <w:rsid w:val="00F97FB4"/>
    <w:rsid w:val="00FA32A2"/>
    <w:rsid w:val="00FA37E4"/>
    <w:rsid w:val="00FB1267"/>
    <w:rsid w:val="00FC6751"/>
    <w:rsid w:val="00FD0434"/>
    <w:rsid w:val="00FD20D4"/>
    <w:rsid w:val="00FF11F6"/>
    <w:rsid w:val="00FF1462"/>
    <w:rsid w:val="00FF1FF2"/>
    <w:rsid w:val="00FF6DA1"/>
    <w:rsid w:val="5D510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1A1D2"/>
  <w15:docId w15:val="{C45801F7-48C2-42A3-ACDA-D1EFF379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1F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CE01F4"/>
    <w:pPr>
      <w:jc w:val="left"/>
    </w:pPr>
  </w:style>
  <w:style w:type="paragraph" w:styleId="a5">
    <w:name w:val="Plain Text"/>
    <w:basedOn w:val="a"/>
    <w:link w:val="a6"/>
    <w:uiPriority w:val="99"/>
    <w:unhideWhenUsed/>
    <w:qFormat/>
    <w:rsid w:val="00CE01F4"/>
    <w:rPr>
      <w:rFonts w:ascii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sid w:val="00CE01F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E0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E0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CE01F4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CE01F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sid w:val="00CE01F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E01F4"/>
    <w:rPr>
      <w:sz w:val="18"/>
      <w:szCs w:val="18"/>
    </w:rPr>
  </w:style>
  <w:style w:type="paragraph" w:styleId="af0">
    <w:name w:val="List Paragraph"/>
    <w:basedOn w:val="a"/>
    <w:uiPriority w:val="34"/>
    <w:qFormat/>
    <w:rsid w:val="00CE01F4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a6">
    <w:name w:val="纯文本 字符"/>
    <w:basedOn w:val="a0"/>
    <w:link w:val="a5"/>
    <w:uiPriority w:val="99"/>
    <w:rsid w:val="00CE01F4"/>
    <w:rPr>
      <w:rFonts w:ascii="宋体" w:eastAsia="宋体" w:hAnsi="Courier New" w:cs="Courier New"/>
      <w:szCs w:val="21"/>
    </w:rPr>
  </w:style>
  <w:style w:type="character" w:customStyle="1" w:styleId="a8">
    <w:name w:val="批注框文本 字符"/>
    <w:basedOn w:val="a0"/>
    <w:link w:val="a7"/>
    <w:uiPriority w:val="99"/>
    <w:semiHidden/>
    <w:rsid w:val="00CE01F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CE01F4"/>
    <w:rPr>
      <w:rFonts w:ascii="Times New Roman" w:eastAsia="宋体" w:hAnsi="Times New Roman" w:cs="Times New Roman"/>
      <w:szCs w:val="20"/>
    </w:rPr>
  </w:style>
  <w:style w:type="character" w:customStyle="1" w:styleId="ae">
    <w:name w:val="批注主题 字符"/>
    <w:basedOn w:val="a4"/>
    <w:link w:val="ad"/>
    <w:uiPriority w:val="99"/>
    <w:semiHidden/>
    <w:rsid w:val="00CE01F4"/>
    <w:rPr>
      <w:rFonts w:ascii="Times New Roman" w:eastAsia="宋体" w:hAnsi="Times New Roman" w:cs="Times New Roman"/>
      <w:b/>
      <w:bCs/>
      <w:szCs w:val="20"/>
    </w:rPr>
  </w:style>
  <w:style w:type="paragraph" w:customStyle="1" w:styleId="Default">
    <w:name w:val="Default"/>
    <w:qFormat/>
    <w:rsid w:val="00CE01F4"/>
    <w:pPr>
      <w:widowControl w:val="0"/>
      <w:autoSpaceDE w:val="0"/>
      <w:autoSpaceDN w:val="0"/>
      <w:adjustRightInd w:val="0"/>
      <w:spacing w:line="360" w:lineRule="auto"/>
      <w:jc w:val="both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customStyle="1" w:styleId="Af1">
    <w:name w:val="正文 A"/>
    <w:qFormat/>
    <w:rsid w:val="00CE01F4"/>
    <w:pPr>
      <w:widowControl w:val="0"/>
      <w:spacing w:line="360" w:lineRule="auto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2-41">
    <w:name w:val="中等深浅列表 2 - 着色 41"/>
    <w:basedOn w:val="a"/>
    <w:uiPriority w:val="34"/>
    <w:qFormat/>
    <w:rsid w:val="00CE01F4"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f2">
    <w:name w:val="footnote text"/>
    <w:basedOn w:val="a"/>
    <w:link w:val="af3"/>
    <w:uiPriority w:val="99"/>
    <w:semiHidden/>
    <w:unhideWhenUsed/>
    <w:rsid w:val="00770896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0"/>
    <w:link w:val="af2"/>
    <w:uiPriority w:val="99"/>
    <w:semiHidden/>
    <w:rsid w:val="00770896"/>
    <w:rPr>
      <w:rFonts w:ascii="Times New Roman" w:eastAsia="宋体" w:hAnsi="Times New Roman" w:cs="Times New Roman"/>
      <w:kern w:val="2"/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770896"/>
    <w:rPr>
      <w:vertAlign w:val="superscript"/>
    </w:rPr>
  </w:style>
  <w:style w:type="table" w:styleId="af5">
    <w:name w:val="Table Grid"/>
    <w:basedOn w:val="a1"/>
    <w:uiPriority w:val="59"/>
    <w:qFormat/>
    <w:rsid w:val="00BA69B6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352ED6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D153CA-7A86-42D6-91C3-1AC08847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799</Words>
  <Characters>824</Characters>
  <Application>Microsoft Office Word</Application>
  <DocSecurity>0</DocSecurity>
  <Lines>45</Lines>
  <Paragraphs>57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郭哲</dc:creator>
  <cp:lastModifiedBy>建德</cp:lastModifiedBy>
  <cp:revision>137</cp:revision>
  <cp:lastPrinted>2021-11-30T07:33:00Z</cp:lastPrinted>
  <dcterms:created xsi:type="dcterms:W3CDTF">2021-04-16T19:58:00Z</dcterms:created>
  <dcterms:modified xsi:type="dcterms:W3CDTF">2021-12-31T06:51:00Z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