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0CFA" w14:textId="23A1ACEC" w:rsidR="006D19F6" w:rsidRPr="005B04FE" w:rsidRDefault="00944BC5" w:rsidP="00944BC5">
      <w:pPr>
        <w:jc w:val="center"/>
        <w:rPr>
          <w:rFonts w:ascii="黑体" w:eastAsia="黑体" w:hAnsi="黑体"/>
        </w:rPr>
      </w:pPr>
      <w:r w:rsidRPr="005B04FE">
        <w:rPr>
          <w:rFonts w:ascii="黑体" w:eastAsia="黑体" w:hAnsi="黑体" w:hint="eastAsia"/>
        </w:rPr>
        <w:t>股票</w:t>
      </w:r>
      <w:r w:rsidR="006D19F6" w:rsidRPr="005B04FE">
        <w:rPr>
          <w:rFonts w:ascii="黑体" w:eastAsia="黑体" w:hAnsi="黑体" w:hint="eastAsia"/>
        </w:rPr>
        <w:t>代码：</w:t>
      </w:r>
      <w:r w:rsidR="006D19F6" w:rsidRPr="005B04FE">
        <w:rPr>
          <w:rFonts w:ascii="黑体" w:eastAsia="黑体" w:hAnsi="黑体"/>
        </w:rPr>
        <w:t>600188</w:t>
      </w:r>
      <w:r w:rsidR="006D19F6" w:rsidRPr="005B04FE">
        <w:rPr>
          <w:rFonts w:ascii="黑体" w:eastAsia="黑体" w:hAnsi="黑体" w:hint="eastAsia"/>
        </w:rPr>
        <w:t xml:space="preserve">               </w:t>
      </w:r>
      <w:r w:rsidRPr="005B04FE">
        <w:rPr>
          <w:rFonts w:ascii="黑体" w:eastAsia="黑体" w:hAnsi="黑体" w:hint="eastAsia"/>
        </w:rPr>
        <w:t>股票</w:t>
      </w:r>
      <w:r w:rsidR="006D19F6" w:rsidRPr="005B04FE">
        <w:rPr>
          <w:rFonts w:ascii="黑体" w:eastAsia="黑体" w:hAnsi="黑体" w:hint="eastAsia"/>
        </w:rPr>
        <w:t>简称： 兖州煤业           公告编号：20</w:t>
      </w:r>
      <w:r w:rsidR="006D19F6" w:rsidRPr="005B04FE">
        <w:rPr>
          <w:rFonts w:ascii="黑体" w:eastAsia="黑体" w:hAnsi="黑体"/>
        </w:rPr>
        <w:t>21</w:t>
      </w:r>
      <w:r w:rsidR="006D19F6" w:rsidRPr="005B04FE">
        <w:rPr>
          <w:rFonts w:ascii="黑体" w:eastAsia="黑体" w:hAnsi="黑体" w:hint="eastAsia"/>
        </w:rPr>
        <w:t>-</w:t>
      </w:r>
      <w:r w:rsidR="005F34CE" w:rsidRPr="005B04FE">
        <w:rPr>
          <w:rFonts w:ascii="黑体" w:eastAsia="黑体" w:hAnsi="黑体" w:hint="eastAsia"/>
        </w:rPr>
        <w:t>0</w:t>
      </w:r>
      <w:r w:rsidR="00CC7E6C">
        <w:rPr>
          <w:rFonts w:ascii="黑体" w:eastAsia="黑体" w:hAnsi="黑体" w:hint="eastAsia"/>
        </w:rPr>
        <w:t>6</w:t>
      </w:r>
      <w:r w:rsidR="00CC7E6C">
        <w:rPr>
          <w:rFonts w:ascii="黑体" w:eastAsia="黑体" w:hAnsi="黑体"/>
        </w:rPr>
        <w:t>5</w:t>
      </w:r>
    </w:p>
    <w:p w14:paraId="6231B640" w14:textId="77777777" w:rsidR="00944BC5" w:rsidRDefault="00944BC5" w:rsidP="00944BC5">
      <w:pPr>
        <w:spacing w:line="420" w:lineRule="exact"/>
        <w:jc w:val="center"/>
        <w:rPr>
          <w:rFonts w:ascii="黑体" w:eastAsia="黑体"/>
          <w:b/>
          <w:bCs/>
          <w:color w:val="FF0000"/>
          <w:sz w:val="36"/>
          <w:szCs w:val="36"/>
        </w:rPr>
      </w:pPr>
    </w:p>
    <w:p w14:paraId="28299084" w14:textId="77777777" w:rsidR="006D19F6" w:rsidRPr="00944BC5" w:rsidRDefault="006D19F6" w:rsidP="00944BC5">
      <w:pPr>
        <w:spacing w:line="420" w:lineRule="exact"/>
        <w:jc w:val="center"/>
        <w:rPr>
          <w:rFonts w:ascii="黑体" w:eastAsia="黑体"/>
          <w:b/>
          <w:bCs/>
          <w:color w:val="FF0000"/>
          <w:sz w:val="36"/>
          <w:szCs w:val="36"/>
        </w:rPr>
      </w:pPr>
      <w:r w:rsidRPr="00944BC5">
        <w:rPr>
          <w:rFonts w:ascii="黑体" w:eastAsia="黑体" w:hint="eastAsia"/>
          <w:b/>
          <w:bCs/>
          <w:color w:val="FF0000"/>
          <w:sz w:val="36"/>
          <w:szCs w:val="36"/>
        </w:rPr>
        <w:t>兖州煤业股份有限公司</w:t>
      </w:r>
      <w:r w:rsidR="00C0402E">
        <w:rPr>
          <w:rFonts w:ascii="黑体" w:eastAsia="黑体" w:hint="eastAsia"/>
          <w:b/>
          <w:bCs/>
          <w:color w:val="FF0000"/>
          <w:sz w:val="36"/>
          <w:szCs w:val="36"/>
        </w:rPr>
        <w:t>股票</w:t>
      </w:r>
      <w:r w:rsidR="00C0402E">
        <w:rPr>
          <w:rFonts w:ascii="黑体" w:eastAsia="黑体"/>
          <w:b/>
          <w:bCs/>
          <w:color w:val="FF0000"/>
          <w:sz w:val="36"/>
          <w:szCs w:val="36"/>
        </w:rPr>
        <w:t>交易异常波动</w:t>
      </w:r>
      <w:r w:rsidR="002E77CD" w:rsidRPr="00944BC5">
        <w:rPr>
          <w:rFonts w:ascii="黑体" w:eastAsia="黑体" w:hint="eastAsia"/>
          <w:b/>
          <w:bCs/>
          <w:color w:val="FF0000"/>
          <w:sz w:val="36"/>
          <w:szCs w:val="36"/>
        </w:rPr>
        <w:t>公告</w:t>
      </w:r>
    </w:p>
    <w:p w14:paraId="5D99D492" w14:textId="77777777" w:rsidR="006D19F6" w:rsidRPr="0056391B" w:rsidRDefault="00830B28" w:rsidP="006D19F6">
      <w:pPr>
        <w:spacing w:line="400" w:lineRule="exact"/>
        <w:rPr>
          <w:sz w:val="28"/>
          <w:szCs w:val="28"/>
        </w:rPr>
      </w:pPr>
      <w:r>
        <w:rPr>
          <w:rFonts w:asciiTheme="minorEastAsia" w:hAnsiTheme="minorEastAsia"/>
          <w:b/>
          <w:bCs/>
          <w:noProof/>
          <w:sz w:val="24"/>
        </w:rPr>
        <w:pict w14:anchorId="5C48E397">
          <v:shapetype id="_x0000_t202" coordsize="21600,21600" o:spt="202" path="m,l,21600r21600,l21600,xe">
            <v:stroke joinstyle="miter"/>
            <v:path gradientshapeok="t" o:connecttype="rect"/>
          </v:shapetype>
          <v:shape id="文本框 3" o:spid="_x0000_s1026" type="#_x0000_t202" style="position:absolute;left:0;text-align:left;margin-left:-8pt;margin-top:23.65pt;width:423pt;height:84.4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">
            <v:textbox>
              <w:txbxContent>
                <w:p w14:paraId="1B233022" w14:textId="77777777" w:rsidR="00944BC5" w:rsidRDefault="00944BC5" w:rsidP="00944BC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w10:wrap type="topAndBottom" anchorx="margin"/>
          </v:shape>
        </w:pict>
      </w:r>
    </w:p>
    <w:p w14:paraId="717CBCDA" w14:textId="77777777" w:rsidR="00C0402E" w:rsidRPr="004C12B8" w:rsidRDefault="00C0402E" w:rsidP="00491B58">
      <w:pPr>
        <w:pStyle w:val="Default"/>
        <w:spacing w:beforeLines="50" w:before="156" w:line="500" w:lineRule="exact"/>
        <w:ind w:firstLineChars="200" w:firstLine="560"/>
        <w:jc w:val="both"/>
        <w:rPr>
          <w:rFonts w:eastAsia="宋体" w:cs="Times New Roman"/>
          <w:color w:val="auto"/>
          <w:kern w:val="2"/>
          <w:sz w:val="28"/>
          <w:szCs w:val="28"/>
        </w:rPr>
      </w:pPr>
      <w:r w:rsidRPr="004C12B8">
        <w:rPr>
          <w:rFonts w:eastAsia="宋体" w:cs="Times New Roman"/>
          <w:color w:val="auto"/>
          <w:kern w:val="2"/>
          <w:sz w:val="28"/>
          <w:szCs w:val="28"/>
        </w:rPr>
        <w:t>重要内容提示：</w:t>
      </w:r>
    </w:p>
    <w:p w14:paraId="5965F2E7" w14:textId="77777777" w:rsidR="00C0402E" w:rsidRDefault="00C0402E" w:rsidP="004C12B8">
      <w:pPr>
        <w:pStyle w:val="Default"/>
        <w:spacing w:line="500" w:lineRule="exact"/>
        <w:ind w:firstLineChars="200" w:firstLine="480"/>
        <w:jc w:val="both"/>
        <w:rPr>
          <w:rFonts w:eastAsia="宋体" w:cs="Times New Roman"/>
          <w:color w:val="auto"/>
          <w:kern w:val="2"/>
          <w:sz w:val="28"/>
          <w:szCs w:val="28"/>
        </w:rPr>
      </w:pPr>
      <w:r>
        <w:rPr>
          <w:rFonts w:ascii="黑体" w:eastAsia="黑体" w:hAnsi="黑体" w:hint="eastAsia"/>
        </w:rPr>
        <w:t xml:space="preserve">● </w:t>
      </w:r>
      <w:r w:rsidRPr="00C0402E">
        <w:rPr>
          <w:rFonts w:eastAsia="宋体" w:cs="Times New Roman" w:hint="eastAsia"/>
          <w:color w:val="auto"/>
          <w:kern w:val="2"/>
          <w:sz w:val="28"/>
          <w:szCs w:val="28"/>
        </w:rPr>
        <w:t>兖州煤业</w:t>
      </w:r>
      <w:r w:rsidRPr="00C0402E">
        <w:rPr>
          <w:rFonts w:eastAsia="宋体" w:cs="Times New Roman"/>
          <w:color w:val="auto"/>
          <w:kern w:val="2"/>
          <w:sz w:val="28"/>
          <w:szCs w:val="28"/>
        </w:rPr>
        <w:t>股份有限公司（“公司”）A股股票连续三个交易日内收盘价格涨幅</w:t>
      </w:r>
      <w:proofErr w:type="gramStart"/>
      <w:r w:rsidRPr="00C0402E">
        <w:rPr>
          <w:rFonts w:eastAsia="宋体" w:cs="Times New Roman"/>
          <w:color w:val="auto"/>
          <w:kern w:val="2"/>
          <w:sz w:val="28"/>
          <w:szCs w:val="28"/>
        </w:rPr>
        <w:t>偏离值</w:t>
      </w:r>
      <w:proofErr w:type="gramEnd"/>
      <w:r w:rsidRPr="00C0402E">
        <w:rPr>
          <w:rFonts w:eastAsia="宋体" w:cs="Times New Roman"/>
          <w:color w:val="auto"/>
          <w:kern w:val="2"/>
          <w:sz w:val="28"/>
          <w:szCs w:val="28"/>
        </w:rPr>
        <w:t>累计超过20%</w:t>
      </w:r>
      <w:r>
        <w:rPr>
          <w:rFonts w:eastAsia="宋体" w:cs="Times New Roman" w:hint="eastAsia"/>
          <w:color w:val="auto"/>
          <w:kern w:val="2"/>
          <w:sz w:val="28"/>
          <w:szCs w:val="28"/>
        </w:rPr>
        <w:t>。</w:t>
      </w:r>
    </w:p>
    <w:p w14:paraId="37245D90" w14:textId="77777777" w:rsidR="00C0402E" w:rsidRPr="00C0402E" w:rsidRDefault="00C0402E" w:rsidP="004C12B8">
      <w:pPr>
        <w:pStyle w:val="Default"/>
        <w:spacing w:line="500" w:lineRule="exact"/>
        <w:ind w:firstLineChars="200" w:firstLine="480"/>
        <w:jc w:val="both"/>
        <w:rPr>
          <w:rFonts w:eastAsia="宋体" w:cs="Times New Roman"/>
          <w:color w:val="auto"/>
          <w:kern w:val="2"/>
          <w:sz w:val="28"/>
          <w:szCs w:val="28"/>
        </w:rPr>
      </w:pPr>
      <w:r>
        <w:rPr>
          <w:rFonts w:ascii="黑体" w:eastAsia="黑体" w:hAnsi="黑体" w:hint="eastAsia"/>
        </w:rPr>
        <w:t xml:space="preserve">● </w:t>
      </w:r>
      <w:r w:rsidRPr="00C0402E">
        <w:rPr>
          <w:rFonts w:eastAsia="宋体" w:cs="Times New Roman"/>
          <w:color w:val="auto"/>
          <w:kern w:val="2"/>
          <w:sz w:val="28"/>
          <w:szCs w:val="28"/>
        </w:rPr>
        <w:t>经公司自查并向控股股东</w:t>
      </w:r>
      <w:r w:rsidR="00491B58">
        <w:rPr>
          <w:rFonts w:eastAsia="宋体" w:cs="Times New Roman"/>
          <w:color w:val="auto"/>
          <w:kern w:val="2"/>
          <w:sz w:val="28"/>
          <w:szCs w:val="28"/>
        </w:rPr>
        <w:t>山东能源集团有限公司</w:t>
      </w:r>
      <w:r w:rsidR="003942C8">
        <w:rPr>
          <w:rFonts w:eastAsia="宋体" w:cs="Times New Roman" w:hint="eastAsia"/>
          <w:color w:val="auto"/>
          <w:kern w:val="2"/>
          <w:sz w:val="28"/>
          <w:szCs w:val="28"/>
        </w:rPr>
        <w:t>（“</w:t>
      </w:r>
      <w:r w:rsidR="00491B58">
        <w:rPr>
          <w:rFonts w:eastAsia="宋体" w:cs="Times New Roman" w:hint="eastAsia"/>
          <w:color w:val="auto"/>
          <w:kern w:val="2"/>
          <w:sz w:val="28"/>
          <w:szCs w:val="28"/>
        </w:rPr>
        <w:t>山东能源</w:t>
      </w:r>
      <w:r w:rsidR="003942C8">
        <w:rPr>
          <w:rFonts w:eastAsia="宋体" w:cs="Times New Roman" w:hint="eastAsia"/>
          <w:color w:val="auto"/>
          <w:kern w:val="2"/>
          <w:sz w:val="28"/>
          <w:szCs w:val="28"/>
        </w:rPr>
        <w:t>”）</w:t>
      </w:r>
      <w:r w:rsidRPr="00C0402E">
        <w:rPr>
          <w:rFonts w:eastAsia="宋体" w:cs="Times New Roman"/>
          <w:color w:val="auto"/>
          <w:kern w:val="2"/>
          <w:sz w:val="28"/>
          <w:szCs w:val="28"/>
        </w:rPr>
        <w:t>核实，截至本公告披露日，不存在涉及公司的应披露而未披露的重大事项</w:t>
      </w:r>
      <w:r>
        <w:rPr>
          <w:rFonts w:eastAsia="宋体" w:cs="Times New Roman" w:hint="eastAsia"/>
          <w:color w:val="auto"/>
          <w:kern w:val="2"/>
          <w:sz w:val="28"/>
          <w:szCs w:val="28"/>
        </w:rPr>
        <w:t>。</w:t>
      </w:r>
    </w:p>
    <w:p w14:paraId="09262865" w14:textId="77777777" w:rsidR="00C0402E" w:rsidRPr="00C0402E" w:rsidRDefault="00C0402E" w:rsidP="004C12B8">
      <w:pPr>
        <w:pStyle w:val="Default"/>
        <w:spacing w:line="500" w:lineRule="exact"/>
        <w:jc w:val="both"/>
        <w:rPr>
          <w:rFonts w:eastAsia="宋体" w:cs="Times New Roman"/>
          <w:color w:val="auto"/>
          <w:kern w:val="2"/>
          <w:sz w:val="28"/>
          <w:szCs w:val="28"/>
        </w:rPr>
      </w:pPr>
    </w:p>
    <w:p w14:paraId="17E85E52" w14:textId="77777777" w:rsidR="00C0402E" w:rsidRPr="004C12B8" w:rsidRDefault="00C0402E" w:rsidP="004C12B8">
      <w:pPr>
        <w:pStyle w:val="Default"/>
        <w:spacing w:line="500" w:lineRule="exact"/>
        <w:ind w:firstLineChars="200" w:firstLine="560"/>
        <w:jc w:val="both"/>
        <w:rPr>
          <w:rFonts w:ascii="黑体" w:eastAsia="黑体" w:hAnsi="黑体" w:cs="Times New Roman"/>
          <w:color w:val="auto"/>
          <w:kern w:val="2"/>
          <w:sz w:val="28"/>
          <w:szCs w:val="28"/>
        </w:rPr>
      </w:pPr>
      <w:r w:rsidRPr="004C12B8">
        <w:rPr>
          <w:rFonts w:ascii="黑体" w:eastAsia="黑体" w:hAnsi="黑体" w:cs="Times New Roman"/>
          <w:color w:val="auto"/>
          <w:kern w:val="2"/>
          <w:sz w:val="28"/>
          <w:szCs w:val="28"/>
        </w:rPr>
        <w:t>一、股票交易异常波动的具体情况</w:t>
      </w:r>
    </w:p>
    <w:p w14:paraId="48772909" w14:textId="77777777" w:rsidR="00C0402E" w:rsidRPr="00C0402E"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公司A股股票于2021年</w:t>
      </w:r>
      <w:r w:rsidR="00491B58">
        <w:rPr>
          <w:rFonts w:eastAsia="宋体" w:cs="Times New Roman" w:hint="eastAsia"/>
          <w:color w:val="auto"/>
          <w:kern w:val="2"/>
          <w:sz w:val="28"/>
          <w:szCs w:val="28"/>
        </w:rPr>
        <w:t>8</w:t>
      </w:r>
      <w:r w:rsidRPr="00C0402E">
        <w:rPr>
          <w:rFonts w:eastAsia="宋体" w:cs="Times New Roman"/>
          <w:color w:val="auto"/>
          <w:kern w:val="2"/>
          <w:sz w:val="28"/>
          <w:szCs w:val="28"/>
        </w:rPr>
        <w:t>月</w:t>
      </w:r>
      <w:r w:rsidR="00491B58">
        <w:rPr>
          <w:rFonts w:eastAsia="宋体" w:cs="Times New Roman" w:hint="eastAsia"/>
          <w:color w:val="auto"/>
          <w:kern w:val="2"/>
          <w:sz w:val="28"/>
          <w:szCs w:val="28"/>
        </w:rPr>
        <w:t>25</w:t>
      </w:r>
      <w:r w:rsidRPr="00C0402E">
        <w:rPr>
          <w:rFonts w:eastAsia="宋体" w:cs="Times New Roman"/>
          <w:color w:val="auto"/>
          <w:kern w:val="2"/>
          <w:sz w:val="28"/>
          <w:szCs w:val="28"/>
        </w:rPr>
        <w:t>日、</w:t>
      </w:r>
      <w:r w:rsidR="00491B58">
        <w:rPr>
          <w:rFonts w:eastAsia="宋体" w:cs="Times New Roman" w:hint="eastAsia"/>
          <w:color w:val="auto"/>
          <w:kern w:val="2"/>
          <w:sz w:val="28"/>
          <w:szCs w:val="28"/>
        </w:rPr>
        <w:t>8</w:t>
      </w:r>
      <w:r w:rsidRPr="00C0402E">
        <w:rPr>
          <w:rFonts w:eastAsia="宋体" w:cs="Times New Roman"/>
          <w:color w:val="auto"/>
          <w:kern w:val="2"/>
          <w:sz w:val="28"/>
          <w:szCs w:val="28"/>
        </w:rPr>
        <w:t>月</w:t>
      </w:r>
      <w:r w:rsidR="004C12B8">
        <w:rPr>
          <w:rFonts w:eastAsia="宋体" w:cs="Times New Roman" w:hint="eastAsia"/>
          <w:color w:val="auto"/>
          <w:kern w:val="2"/>
          <w:sz w:val="28"/>
          <w:szCs w:val="28"/>
        </w:rPr>
        <w:t>2</w:t>
      </w:r>
      <w:r w:rsidR="00491B58">
        <w:rPr>
          <w:rFonts w:eastAsia="宋体" w:cs="Times New Roman" w:hint="eastAsia"/>
          <w:color w:val="auto"/>
          <w:kern w:val="2"/>
          <w:sz w:val="28"/>
          <w:szCs w:val="28"/>
        </w:rPr>
        <w:t>6</w:t>
      </w:r>
      <w:r w:rsidRPr="00C0402E">
        <w:rPr>
          <w:rFonts w:eastAsia="宋体" w:cs="Times New Roman"/>
          <w:color w:val="auto"/>
          <w:kern w:val="2"/>
          <w:sz w:val="28"/>
          <w:szCs w:val="28"/>
        </w:rPr>
        <w:t>日及</w:t>
      </w:r>
      <w:r w:rsidR="00491B58">
        <w:rPr>
          <w:rFonts w:eastAsia="宋体" w:cs="Times New Roman" w:hint="eastAsia"/>
          <w:color w:val="auto"/>
          <w:kern w:val="2"/>
          <w:sz w:val="28"/>
          <w:szCs w:val="28"/>
        </w:rPr>
        <w:t>8</w:t>
      </w:r>
      <w:r w:rsidRPr="00C0402E">
        <w:rPr>
          <w:rFonts w:eastAsia="宋体" w:cs="Times New Roman"/>
          <w:color w:val="auto"/>
          <w:kern w:val="2"/>
          <w:sz w:val="28"/>
          <w:szCs w:val="28"/>
        </w:rPr>
        <w:t>月</w:t>
      </w:r>
      <w:r w:rsidR="00491B58">
        <w:rPr>
          <w:rFonts w:eastAsia="宋体" w:cs="Times New Roman" w:hint="eastAsia"/>
          <w:color w:val="auto"/>
          <w:kern w:val="2"/>
          <w:sz w:val="28"/>
          <w:szCs w:val="28"/>
        </w:rPr>
        <w:t>27</w:t>
      </w:r>
      <w:r w:rsidRPr="00C0402E">
        <w:rPr>
          <w:rFonts w:eastAsia="宋体" w:cs="Times New Roman"/>
          <w:color w:val="auto"/>
          <w:kern w:val="2"/>
          <w:sz w:val="28"/>
          <w:szCs w:val="28"/>
        </w:rPr>
        <w:t>日连续三个交易日内收盘价格涨幅</w:t>
      </w:r>
      <w:proofErr w:type="gramStart"/>
      <w:r w:rsidRPr="00C0402E">
        <w:rPr>
          <w:rFonts w:eastAsia="宋体" w:cs="Times New Roman"/>
          <w:color w:val="auto"/>
          <w:kern w:val="2"/>
          <w:sz w:val="28"/>
          <w:szCs w:val="28"/>
        </w:rPr>
        <w:t>偏离值</w:t>
      </w:r>
      <w:proofErr w:type="gramEnd"/>
      <w:r w:rsidRPr="00C0402E">
        <w:rPr>
          <w:rFonts w:eastAsia="宋体" w:cs="Times New Roman"/>
          <w:color w:val="auto"/>
          <w:kern w:val="2"/>
          <w:sz w:val="28"/>
          <w:szCs w:val="28"/>
        </w:rPr>
        <w:t>累计超过20%，根据《上海证券交易所交易规则》有关规定，属于股票交易异常波动。</w:t>
      </w:r>
    </w:p>
    <w:p w14:paraId="1E6E0F6B" w14:textId="77777777" w:rsidR="00C0402E" w:rsidRPr="004C12B8" w:rsidRDefault="00C0402E" w:rsidP="004C12B8">
      <w:pPr>
        <w:pStyle w:val="Default"/>
        <w:spacing w:line="500" w:lineRule="exact"/>
        <w:ind w:firstLineChars="200" w:firstLine="560"/>
        <w:jc w:val="both"/>
        <w:rPr>
          <w:rFonts w:ascii="黑体" w:eastAsia="黑体" w:hAnsi="黑体" w:cs="Times New Roman"/>
          <w:color w:val="auto"/>
          <w:kern w:val="2"/>
          <w:sz w:val="28"/>
          <w:szCs w:val="28"/>
        </w:rPr>
      </w:pPr>
      <w:r w:rsidRPr="004C12B8">
        <w:rPr>
          <w:rFonts w:ascii="黑体" w:eastAsia="黑体" w:hAnsi="黑体" w:cs="Times New Roman"/>
          <w:color w:val="auto"/>
          <w:kern w:val="2"/>
          <w:sz w:val="28"/>
          <w:szCs w:val="28"/>
        </w:rPr>
        <w:t>二、公司关注并核实的相关情况</w:t>
      </w:r>
    </w:p>
    <w:p w14:paraId="7F524AD8" w14:textId="77777777" w:rsidR="00C0402E" w:rsidRPr="00C0402E"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（一）生产经营情况</w:t>
      </w:r>
    </w:p>
    <w:p w14:paraId="130E2B8B" w14:textId="77777777" w:rsidR="00C0402E" w:rsidRPr="00C0402E"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公司目前生产经营正常，市场环境或行业政策没有发生重大调整，内部生产经营秩序正常。</w:t>
      </w:r>
    </w:p>
    <w:p w14:paraId="21A93CB4" w14:textId="77777777" w:rsidR="00C0402E" w:rsidRPr="00C0402E" w:rsidRDefault="00C0402E" w:rsidP="00491B5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（二）重大事项</w:t>
      </w:r>
    </w:p>
    <w:p w14:paraId="748A8A9F" w14:textId="77777777" w:rsidR="00491B58" w:rsidRPr="00491B58" w:rsidRDefault="00491B58" w:rsidP="00491B58">
      <w:pPr>
        <w:pStyle w:val="Default"/>
        <w:spacing w:line="500" w:lineRule="exact"/>
        <w:ind w:firstLineChars="200" w:firstLine="560"/>
        <w:rPr>
          <w:rFonts w:eastAsia="宋体" w:cs="Times New Roman"/>
          <w:color w:val="auto"/>
          <w:kern w:val="2"/>
          <w:sz w:val="28"/>
          <w:szCs w:val="28"/>
        </w:rPr>
      </w:pPr>
      <w:r w:rsidRPr="00491B58">
        <w:rPr>
          <w:rFonts w:eastAsia="宋体" w:cs="Times New Roman"/>
          <w:color w:val="auto"/>
          <w:kern w:val="2"/>
          <w:sz w:val="28"/>
          <w:szCs w:val="28"/>
        </w:rPr>
        <w:t>经公司自查，并经公司控股</w:t>
      </w:r>
      <w:proofErr w:type="gramStart"/>
      <w:r w:rsidRPr="00491B58">
        <w:rPr>
          <w:rFonts w:eastAsia="宋体" w:cs="Times New Roman"/>
          <w:color w:val="auto"/>
          <w:kern w:val="2"/>
          <w:sz w:val="28"/>
          <w:szCs w:val="28"/>
        </w:rPr>
        <w:t>股东函证确认</w:t>
      </w:r>
      <w:proofErr w:type="gramEnd"/>
      <w:r w:rsidRPr="00491B58">
        <w:rPr>
          <w:rFonts w:eastAsia="宋体" w:cs="Times New Roman"/>
          <w:color w:val="auto"/>
          <w:kern w:val="2"/>
          <w:sz w:val="28"/>
          <w:szCs w:val="28"/>
        </w:rPr>
        <w:t>，截至本公告披露日，公司、公司控股股东不存在其他应披露而未披露的重大信息，包括但不限于</w:t>
      </w:r>
      <w:r>
        <w:rPr>
          <w:rFonts w:eastAsia="宋体" w:cs="Times New Roman"/>
          <w:color w:val="auto"/>
          <w:kern w:val="2"/>
          <w:sz w:val="28"/>
          <w:szCs w:val="28"/>
        </w:rPr>
        <w:t>并购重组</w:t>
      </w:r>
      <w:r>
        <w:rPr>
          <w:rFonts w:eastAsia="宋体" w:cs="Times New Roman" w:hint="eastAsia"/>
          <w:color w:val="auto"/>
          <w:kern w:val="2"/>
          <w:sz w:val="28"/>
          <w:szCs w:val="28"/>
        </w:rPr>
        <w:t>、</w:t>
      </w:r>
      <w:r>
        <w:rPr>
          <w:rFonts w:eastAsia="宋体" w:cs="Times New Roman"/>
          <w:color w:val="auto"/>
          <w:kern w:val="2"/>
          <w:sz w:val="28"/>
          <w:szCs w:val="28"/>
        </w:rPr>
        <w:t>股份发行</w:t>
      </w:r>
      <w:r>
        <w:rPr>
          <w:rFonts w:eastAsia="宋体" w:cs="Times New Roman" w:hint="eastAsia"/>
          <w:color w:val="auto"/>
          <w:kern w:val="2"/>
          <w:sz w:val="28"/>
          <w:szCs w:val="28"/>
        </w:rPr>
        <w:t>、</w:t>
      </w:r>
      <w:r>
        <w:rPr>
          <w:rFonts w:eastAsia="宋体" w:cs="Times New Roman"/>
          <w:color w:val="auto"/>
          <w:kern w:val="2"/>
          <w:sz w:val="28"/>
          <w:szCs w:val="28"/>
        </w:rPr>
        <w:t>债务重组</w:t>
      </w:r>
      <w:r>
        <w:rPr>
          <w:rFonts w:eastAsia="宋体" w:cs="Times New Roman" w:hint="eastAsia"/>
          <w:color w:val="auto"/>
          <w:kern w:val="2"/>
          <w:sz w:val="28"/>
          <w:szCs w:val="28"/>
        </w:rPr>
        <w:t>、</w:t>
      </w:r>
      <w:r>
        <w:rPr>
          <w:rFonts w:eastAsia="宋体" w:cs="Times New Roman"/>
          <w:color w:val="auto"/>
          <w:kern w:val="2"/>
          <w:sz w:val="28"/>
          <w:szCs w:val="28"/>
        </w:rPr>
        <w:t>业务重组</w:t>
      </w:r>
      <w:r>
        <w:rPr>
          <w:rFonts w:eastAsia="宋体" w:cs="Times New Roman" w:hint="eastAsia"/>
          <w:color w:val="auto"/>
          <w:kern w:val="2"/>
          <w:sz w:val="28"/>
          <w:szCs w:val="28"/>
        </w:rPr>
        <w:t>、</w:t>
      </w:r>
      <w:r w:rsidRPr="00491B58">
        <w:rPr>
          <w:rFonts w:eastAsia="宋体" w:cs="Times New Roman"/>
          <w:color w:val="auto"/>
          <w:kern w:val="2"/>
          <w:sz w:val="28"/>
          <w:szCs w:val="28"/>
        </w:rPr>
        <w:t>资产剥离和资产注入等。</w:t>
      </w:r>
    </w:p>
    <w:p w14:paraId="01F4EFAD" w14:textId="77777777" w:rsidR="00C0402E" w:rsidRPr="00C0402E"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lastRenderedPageBreak/>
        <w:t>（三）媒体报道、市场传闻、热点概念情况</w:t>
      </w:r>
    </w:p>
    <w:p w14:paraId="2C9B6158" w14:textId="77777777" w:rsidR="004C12B8"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经公司自查，未发现需要澄清或回应的媒体报道或市场传闻。</w:t>
      </w:r>
    </w:p>
    <w:p w14:paraId="5FF227DD" w14:textId="77777777" w:rsidR="00C0402E" w:rsidRPr="00C0402E"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（四）其他股价敏感信息</w:t>
      </w:r>
    </w:p>
    <w:p w14:paraId="67F03149" w14:textId="77777777" w:rsidR="004C12B8"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公司未发现其他可能对公司股价产生较大影响的重大事件。公司董事、监事、高级管理人员、控股股东在公司本次股票交易异常波动期间不存在买卖公司股票的情况。</w:t>
      </w:r>
    </w:p>
    <w:p w14:paraId="049F9BDC" w14:textId="77777777" w:rsidR="00C0402E" w:rsidRPr="004C12B8" w:rsidRDefault="00C0402E" w:rsidP="004C12B8">
      <w:pPr>
        <w:pStyle w:val="Default"/>
        <w:spacing w:line="500" w:lineRule="exact"/>
        <w:ind w:firstLineChars="200" w:firstLine="560"/>
        <w:jc w:val="both"/>
        <w:rPr>
          <w:rFonts w:ascii="黑体" w:eastAsia="黑体" w:hAnsi="黑体" w:cs="Times New Roman"/>
          <w:color w:val="auto"/>
          <w:kern w:val="2"/>
          <w:sz w:val="28"/>
          <w:szCs w:val="28"/>
        </w:rPr>
      </w:pPr>
      <w:r w:rsidRPr="004C12B8">
        <w:rPr>
          <w:rFonts w:ascii="黑体" w:eastAsia="黑体" w:hAnsi="黑体" w:cs="Times New Roman"/>
          <w:color w:val="auto"/>
          <w:kern w:val="2"/>
          <w:sz w:val="28"/>
          <w:szCs w:val="28"/>
        </w:rPr>
        <w:t>三、风险提示</w:t>
      </w:r>
    </w:p>
    <w:p w14:paraId="7A2AEE55" w14:textId="77777777" w:rsidR="004C12B8"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公司A股股票连续三个交易日内收盘价格涨幅</w:t>
      </w:r>
      <w:proofErr w:type="gramStart"/>
      <w:r w:rsidRPr="00C0402E">
        <w:rPr>
          <w:rFonts w:eastAsia="宋体" w:cs="Times New Roman"/>
          <w:color w:val="auto"/>
          <w:kern w:val="2"/>
          <w:sz w:val="28"/>
          <w:szCs w:val="28"/>
        </w:rPr>
        <w:t>偏离值</w:t>
      </w:r>
      <w:proofErr w:type="gramEnd"/>
      <w:r w:rsidRPr="00C0402E">
        <w:rPr>
          <w:rFonts w:eastAsia="宋体" w:cs="Times New Roman"/>
          <w:color w:val="auto"/>
          <w:kern w:val="2"/>
          <w:sz w:val="28"/>
          <w:szCs w:val="28"/>
        </w:rPr>
        <w:t>累计超过20%，属于股票交易异常波动。公司提醒广大投资者注意二级市场交易风险，理性决策，审慎投资。《中国证券报》</w:t>
      </w:r>
      <w:r w:rsidR="004C12B8">
        <w:rPr>
          <w:rFonts w:eastAsia="宋体" w:cs="Times New Roman" w:hint="eastAsia"/>
          <w:color w:val="auto"/>
          <w:kern w:val="2"/>
          <w:sz w:val="28"/>
          <w:szCs w:val="28"/>
        </w:rPr>
        <w:t>、</w:t>
      </w:r>
      <w:r w:rsidRPr="00C0402E">
        <w:rPr>
          <w:rFonts w:eastAsia="宋体" w:cs="Times New Roman"/>
          <w:color w:val="auto"/>
          <w:kern w:val="2"/>
          <w:sz w:val="28"/>
          <w:szCs w:val="28"/>
        </w:rPr>
        <w:t>《上海证券报》</w:t>
      </w:r>
      <w:r w:rsidR="004C12B8">
        <w:rPr>
          <w:rFonts w:eastAsia="宋体" w:cs="Times New Roman" w:hint="eastAsia"/>
          <w:color w:val="auto"/>
          <w:kern w:val="2"/>
          <w:sz w:val="28"/>
          <w:szCs w:val="28"/>
        </w:rPr>
        <w:t>、《证券时报》、《证券日报》、</w:t>
      </w:r>
      <w:r w:rsidRPr="00C0402E">
        <w:rPr>
          <w:rFonts w:eastAsia="宋体" w:cs="Times New Roman"/>
          <w:color w:val="auto"/>
          <w:kern w:val="2"/>
          <w:sz w:val="28"/>
          <w:szCs w:val="28"/>
        </w:rPr>
        <w:t>上海证券交易所网站(www.sse.com.cn）和香港联合交易所有限公司网站（www.hkexnews.hk）为公司指定信息披露媒体，公司发布的信息以在上述媒体刊登的正式公告为准。</w:t>
      </w:r>
    </w:p>
    <w:p w14:paraId="5C06218C" w14:textId="77777777" w:rsidR="00C0402E" w:rsidRPr="00C0402E"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敬请广大投资者理性投资，注意投资风险。</w:t>
      </w:r>
    </w:p>
    <w:p w14:paraId="7241DCA3" w14:textId="77777777" w:rsidR="00C0402E" w:rsidRPr="004C12B8" w:rsidRDefault="00C0402E" w:rsidP="004C12B8">
      <w:pPr>
        <w:pStyle w:val="Default"/>
        <w:spacing w:line="500" w:lineRule="exact"/>
        <w:ind w:firstLineChars="200" w:firstLine="560"/>
        <w:jc w:val="both"/>
        <w:rPr>
          <w:rFonts w:ascii="黑体" w:eastAsia="黑体" w:hAnsi="黑体" w:cs="Times New Roman"/>
          <w:color w:val="auto"/>
          <w:kern w:val="2"/>
          <w:sz w:val="28"/>
          <w:szCs w:val="28"/>
        </w:rPr>
      </w:pPr>
      <w:r w:rsidRPr="004C12B8">
        <w:rPr>
          <w:rFonts w:ascii="黑体" w:eastAsia="黑体" w:hAnsi="黑体" w:cs="Times New Roman"/>
          <w:color w:val="auto"/>
          <w:kern w:val="2"/>
          <w:sz w:val="28"/>
          <w:szCs w:val="28"/>
        </w:rPr>
        <w:t>四、董事会声明及承诺</w:t>
      </w:r>
    </w:p>
    <w:p w14:paraId="63BA3ED1" w14:textId="77777777" w:rsidR="00C0402E" w:rsidRPr="00C0402E"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公司董事会确认，公司没有根据《上海证券交易所股票上市规则》等有关规定应披露而未披露的重大事项或与该事项有关的筹划和意向。董事会也未获悉公司有根据《上海证券交易所股票上市规则》等有关规定应披露而未披露的对公司股票交易价格产生较大影响的信息。</w:t>
      </w:r>
    </w:p>
    <w:p w14:paraId="7B08BD73" w14:textId="77777777" w:rsidR="004C12B8" w:rsidRDefault="004C12B8" w:rsidP="004C12B8">
      <w:pPr>
        <w:pStyle w:val="Default"/>
        <w:spacing w:line="500" w:lineRule="exact"/>
        <w:jc w:val="both"/>
        <w:rPr>
          <w:rFonts w:eastAsia="宋体" w:cs="Times New Roman"/>
          <w:color w:val="auto"/>
          <w:kern w:val="2"/>
          <w:sz w:val="28"/>
          <w:szCs w:val="28"/>
        </w:rPr>
      </w:pPr>
    </w:p>
    <w:p w14:paraId="1958E9B4" w14:textId="77777777" w:rsidR="00C0402E" w:rsidRDefault="00C0402E" w:rsidP="004C12B8">
      <w:pPr>
        <w:pStyle w:val="Default"/>
        <w:spacing w:line="500" w:lineRule="exact"/>
        <w:ind w:firstLineChars="200" w:firstLine="560"/>
        <w:jc w:val="both"/>
        <w:rPr>
          <w:rFonts w:eastAsia="宋体" w:cs="Times New Roman"/>
          <w:color w:val="auto"/>
          <w:kern w:val="2"/>
          <w:sz w:val="28"/>
          <w:szCs w:val="28"/>
        </w:rPr>
      </w:pPr>
      <w:r w:rsidRPr="00C0402E">
        <w:rPr>
          <w:rFonts w:eastAsia="宋体" w:cs="Times New Roman"/>
          <w:color w:val="auto"/>
          <w:kern w:val="2"/>
          <w:sz w:val="28"/>
          <w:szCs w:val="28"/>
        </w:rPr>
        <w:t>特此公告。</w:t>
      </w:r>
    </w:p>
    <w:p w14:paraId="030A5ADD" w14:textId="77777777" w:rsidR="0099664B" w:rsidRDefault="0099664B" w:rsidP="004C12B8">
      <w:pPr>
        <w:pStyle w:val="Default"/>
        <w:spacing w:line="500" w:lineRule="exact"/>
        <w:ind w:firstLineChars="200" w:firstLine="560"/>
        <w:jc w:val="both"/>
        <w:rPr>
          <w:rFonts w:eastAsia="宋体" w:cs="Times New Roman"/>
          <w:color w:val="auto"/>
          <w:kern w:val="2"/>
          <w:sz w:val="28"/>
          <w:szCs w:val="28"/>
        </w:rPr>
      </w:pPr>
    </w:p>
    <w:p w14:paraId="3F4C73CD" w14:textId="77777777" w:rsidR="0099664B" w:rsidRPr="00C0402E" w:rsidRDefault="0099664B" w:rsidP="004C12B8">
      <w:pPr>
        <w:pStyle w:val="Default"/>
        <w:spacing w:line="500" w:lineRule="exact"/>
        <w:ind w:firstLineChars="200" w:firstLine="560"/>
        <w:jc w:val="both"/>
        <w:rPr>
          <w:rFonts w:eastAsia="宋体" w:cs="Times New Roman"/>
          <w:color w:val="auto"/>
          <w:kern w:val="2"/>
          <w:sz w:val="28"/>
          <w:szCs w:val="28"/>
        </w:rPr>
      </w:pPr>
    </w:p>
    <w:p w14:paraId="73035D0F" w14:textId="77777777" w:rsidR="00DA74E6" w:rsidRDefault="00DA74E6" w:rsidP="004C12B8">
      <w:pPr>
        <w:spacing w:line="500" w:lineRule="exact"/>
        <w:ind w:leftChars="2025" w:left="4253"/>
        <w:rPr>
          <w:sz w:val="28"/>
        </w:rPr>
      </w:pPr>
      <w:r>
        <w:rPr>
          <w:sz w:val="28"/>
        </w:rPr>
        <w:t>兖州煤业股份有限公司</w:t>
      </w:r>
      <w:r>
        <w:rPr>
          <w:rFonts w:hint="eastAsia"/>
          <w:sz w:val="28"/>
        </w:rPr>
        <w:t>董事会</w:t>
      </w:r>
    </w:p>
    <w:p w14:paraId="6315F445" w14:textId="77777777" w:rsidR="00BF4187" w:rsidRPr="006D19F6" w:rsidRDefault="00DA74E6" w:rsidP="004C12B8">
      <w:pPr>
        <w:spacing w:line="500" w:lineRule="exact"/>
        <w:ind w:firstLineChars="1800" w:firstLine="5040"/>
      </w:pPr>
      <w:r>
        <w:rPr>
          <w:rFonts w:ascii="宋体" w:hAnsi="宋体" w:cs="宋体" w:hint="eastAsia"/>
          <w:sz w:val="28"/>
        </w:rPr>
        <w:t>20</w:t>
      </w:r>
      <w:r>
        <w:rPr>
          <w:rFonts w:ascii="宋体" w:hAnsi="宋体" w:cs="宋体"/>
          <w:sz w:val="28"/>
        </w:rPr>
        <w:t>21</w:t>
      </w:r>
      <w:r>
        <w:rPr>
          <w:rFonts w:ascii="宋体" w:hAnsi="宋体" w:cs="宋体" w:hint="eastAsia"/>
          <w:sz w:val="28"/>
        </w:rPr>
        <w:t>年</w:t>
      </w:r>
      <w:r w:rsidR="008734E5">
        <w:rPr>
          <w:rFonts w:ascii="宋体" w:hAnsi="宋体" w:cs="宋体" w:hint="eastAsia"/>
          <w:sz w:val="28"/>
        </w:rPr>
        <w:t>8</w:t>
      </w:r>
      <w:r>
        <w:rPr>
          <w:rFonts w:ascii="宋体" w:hAnsi="宋体" w:cs="宋体" w:hint="eastAsia"/>
          <w:sz w:val="28"/>
        </w:rPr>
        <w:t>月</w:t>
      </w:r>
      <w:r w:rsidR="008734E5">
        <w:rPr>
          <w:rFonts w:ascii="宋体" w:hAnsi="宋体" w:cs="宋体" w:hint="eastAsia"/>
          <w:sz w:val="28"/>
        </w:rPr>
        <w:t>27</w:t>
      </w:r>
      <w:r>
        <w:rPr>
          <w:rFonts w:ascii="宋体" w:hAnsi="宋体" w:cs="宋体" w:hint="eastAsia"/>
          <w:sz w:val="28"/>
        </w:rPr>
        <w:t>日</w:t>
      </w:r>
    </w:p>
    <w:sectPr w:rsidR="00BF4187" w:rsidRPr="006D19F6" w:rsidSect="009475E9">
      <w:headerReference w:type="even" r:id="rId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0DAB" w14:textId="77777777" w:rsidR="00830B28" w:rsidRDefault="00830B28">
      <w:r>
        <w:separator/>
      </w:r>
    </w:p>
  </w:endnote>
  <w:endnote w:type="continuationSeparator" w:id="0">
    <w:p w14:paraId="3CA78C4F" w14:textId="77777777" w:rsidR="00830B28" w:rsidRDefault="0083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84120"/>
      <w:docPartObj>
        <w:docPartGallery w:val="Page Numbers (Bottom of Page)"/>
        <w:docPartUnique/>
      </w:docPartObj>
    </w:sdtPr>
    <w:sdtEndPr/>
    <w:sdtContent>
      <w:p w14:paraId="29D906CD" w14:textId="77777777" w:rsidR="00E57E1D" w:rsidRDefault="00522570">
        <w:pPr>
          <w:pStyle w:val="a3"/>
          <w:jc w:val="center"/>
        </w:pPr>
        <w:r>
          <w:fldChar w:fldCharType="begin"/>
        </w:r>
        <w:r w:rsidR="00B22B1E">
          <w:instrText>PAGE   \* MERGEFORMAT</w:instrText>
        </w:r>
        <w:r>
          <w:fldChar w:fldCharType="separate"/>
        </w:r>
        <w:r w:rsidR="008734E5" w:rsidRPr="008734E5">
          <w:rPr>
            <w:noProof/>
            <w:lang w:val="zh-CN"/>
          </w:rPr>
          <w:t>2</w:t>
        </w:r>
        <w:r>
          <w:fldChar w:fldCharType="end"/>
        </w:r>
      </w:p>
    </w:sdtContent>
  </w:sdt>
  <w:p w14:paraId="05E6A9C3" w14:textId="77777777" w:rsidR="00E57E1D" w:rsidRDefault="00830B2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412E" w14:textId="77777777" w:rsidR="00830B28" w:rsidRDefault="00830B28">
      <w:r>
        <w:separator/>
      </w:r>
    </w:p>
  </w:footnote>
  <w:footnote w:type="continuationSeparator" w:id="0">
    <w:p w14:paraId="3A9D54B8" w14:textId="77777777" w:rsidR="00830B28" w:rsidRDefault="0083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574B" w14:textId="77777777" w:rsidR="00E57E1D" w:rsidRDefault="00522570">
    <w:pPr>
      <w:pStyle w:val="a5"/>
      <w:framePr w:wrap="around" w:vAnchor="text" w:hAnchor="margin" w:xAlign="right" w:y="1"/>
      <w:rPr>
        <w:rStyle w:val="a7"/>
      </w:rPr>
    </w:pPr>
    <w:r>
      <w:fldChar w:fldCharType="begin"/>
    </w:r>
    <w:r w:rsidR="00B22B1E">
      <w:rPr>
        <w:rStyle w:val="a7"/>
      </w:rPr>
      <w:instrText xml:space="preserve">PAGE  </w:instrText>
    </w:r>
    <w:r>
      <w:fldChar w:fldCharType="separate"/>
    </w:r>
    <w:r w:rsidR="00B22B1E" w:rsidRPr="00473C16">
      <w:rPr>
        <w:rStyle w:val="a7"/>
      </w:rPr>
      <w:t>1</w:t>
    </w:r>
    <w:r>
      <w:fldChar w:fldCharType="end"/>
    </w:r>
  </w:p>
  <w:p w14:paraId="68BAB694" w14:textId="77777777" w:rsidR="00E57E1D" w:rsidRDefault="00830B28">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6F97" w14:textId="77777777" w:rsidR="00E57E1D" w:rsidRDefault="00830B28">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111"/>
    <w:multiLevelType w:val="hybridMultilevel"/>
    <w:tmpl w:val="07A251E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2D5281F"/>
    <w:multiLevelType w:val="hybridMultilevel"/>
    <w:tmpl w:val="696CEA7A"/>
    <w:lvl w:ilvl="0" w:tplc="5E36BEF6">
      <w:start w:val="1"/>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A514776"/>
    <w:multiLevelType w:val="hybridMultilevel"/>
    <w:tmpl w:val="D9A0765E"/>
    <w:lvl w:ilvl="0" w:tplc="F8FC6D42">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7E670AFA"/>
    <w:multiLevelType w:val="hybridMultilevel"/>
    <w:tmpl w:val="AF4C7CE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353A"/>
    <w:rsid w:val="00032E9A"/>
    <w:rsid w:val="0004252A"/>
    <w:rsid w:val="0004341D"/>
    <w:rsid w:val="000B11E7"/>
    <w:rsid w:val="001307DF"/>
    <w:rsid w:val="001D1984"/>
    <w:rsid w:val="002202B0"/>
    <w:rsid w:val="00227DCF"/>
    <w:rsid w:val="002E77CD"/>
    <w:rsid w:val="00331233"/>
    <w:rsid w:val="00332FA6"/>
    <w:rsid w:val="003942C8"/>
    <w:rsid w:val="003A368F"/>
    <w:rsid w:val="003C39E6"/>
    <w:rsid w:val="00407148"/>
    <w:rsid w:val="00475760"/>
    <w:rsid w:val="004825B7"/>
    <w:rsid w:val="00491B58"/>
    <w:rsid w:val="00494745"/>
    <w:rsid w:val="004C12B8"/>
    <w:rsid w:val="00522570"/>
    <w:rsid w:val="00530230"/>
    <w:rsid w:val="005503D5"/>
    <w:rsid w:val="005B04FE"/>
    <w:rsid w:val="005E2BE7"/>
    <w:rsid w:val="005F2261"/>
    <w:rsid w:val="005F34CE"/>
    <w:rsid w:val="00627FFC"/>
    <w:rsid w:val="006A0C06"/>
    <w:rsid w:val="006D19F6"/>
    <w:rsid w:val="00812E7E"/>
    <w:rsid w:val="00826057"/>
    <w:rsid w:val="00830B28"/>
    <w:rsid w:val="008435F7"/>
    <w:rsid w:val="008734E5"/>
    <w:rsid w:val="00891BE0"/>
    <w:rsid w:val="008A5CD3"/>
    <w:rsid w:val="008E0634"/>
    <w:rsid w:val="008F54D3"/>
    <w:rsid w:val="00944BC5"/>
    <w:rsid w:val="009932C2"/>
    <w:rsid w:val="0099664B"/>
    <w:rsid w:val="00A27EDA"/>
    <w:rsid w:val="00A62F0C"/>
    <w:rsid w:val="00B22B1E"/>
    <w:rsid w:val="00B478F9"/>
    <w:rsid w:val="00B62E5F"/>
    <w:rsid w:val="00B66515"/>
    <w:rsid w:val="00BA7957"/>
    <w:rsid w:val="00BB7EF2"/>
    <w:rsid w:val="00BF4187"/>
    <w:rsid w:val="00C0402E"/>
    <w:rsid w:val="00C30152"/>
    <w:rsid w:val="00CC7E6C"/>
    <w:rsid w:val="00D554DA"/>
    <w:rsid w:val="00DA5CC7"/>
    <w:rsid w:val="00DA74E6"/>
    <w:rsid w:val="00DF18E5"/>
    <w:rsid w:val="00E20235"/>
    <w:rsid w:val="00E229D0"/>
    <w:rsid w:val="00E510F8"/>
    <w:rsid w:val="00E90804"/>
    <w:rsid w:val="00F3353A"/>
    <w:rsid w:val="00F515A9"/>
    <w:rsid w:val="00F637C3"/>
    <w:rsid w:val="00F864D9"/>
    <w:rsid w:val="00FF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8521D"/>
  <w15:docId w15:val="{1850EBB9-25FB-4037-ACF4-C6B68643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9F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D19F6"/>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9F6"/>
    <w:rPr>
      <w:rFonts w:ascii="Calibri" w:eastAsia="宋体" w:hAnsi="Calibri" w:cs="Times New Roman"/>
      <w:b/>
      <w:bCs/>
      <w:kern w:val="44"/>
      <w:sz w:val="24"/>
      <w:szCs w:val="44"/>
    </w:rPr>
  </w:style>
  <w:style w:type="paragraph" w:styleId="a3">
    <w:name w:val="footer"/>
    <w:basedOn w:val="a"/>
    <w:link w:val="a4"/>
    <w:uiPriority w:val="99"/>
    <w:qFormat/>
    <w:rsid w:val="006D19F6"/>
    <w:pPr>
      <w:tabs>
        <w:tab w:val="center" w:pos="4153"/>
        <w:tab w:val="right" w:pos="8306"/>
      </w:tabs>
      <w:snapToGrid w:val="0"/>
      <w:jc w:val="left"/>
    </w:pPr>
    <w:rPr>
      <w:sz w:val="18"/>
      <w:szCs w:val="18"/>
    </w:rPr>
  </w:style>
  <w:style w:type="character" w:customStyle="1" w:styleId="a4">
    <w:name w:val="页脚 字符"/>
    <w:basedOn w:val="a0"/>
    <w:link w:val="a3"/>
    <w:uiPriority w:val="99"/>
    <w:rsid w:val="006D19F6"/>
    <w:rPr>
      <w:rFonts w:ascii="Times New Roman" w:eastAsia="宋体" w:hAnsi="Times New Roman" w:cs="Times New Roman"/>
      <w:sz w:val="18"/>
      <w:szCs w:val="18"/>
    </w:rPr>
  </w:style>
  <w:style w:type="paragraph" w:styleId="a5">
    <w:name w:val="header"/>
    <w:basedOn w:val="a"/>
    <w:link w:val="a6"/>
    <w:uiPriority w:val="99"/>
    <w:qFormat/>
    <w:rsid w:val="006D19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19F6"/>
    <w:rPr>
      <w:rFonts w:ascii="Times New Roman" w:eastAsia="宋体" w:hAnsi="Times New Roman" w:cs="Times New Roman"/>
      <w:sz w:val="18"/>
      <w:szCs w:val="18"/>
    </w:rPr>
  </w:style>
  <w:style w:type="character" w:styleId="a7">
    <w:name w:val="page number"/>
    <w:basedOn w:val="a0"/>
    <w:qFormat/>
    <w:rsid w:val="006D19F6"/>
  </w:style>
  <w:style w:type="paragraph" w:styleId="a8">
    <w:name w:val="List Paragraph"/>
    <w:basedOn w:val="a"/>
    <w:uiPriority w:val="99"/>
    <w:unhideWhenUsed/>
    <w:rsid w:val="006D19F6"/>
    <w:pPr>
      <w:ind w:firstLineChars="200" w:firstLine="420"/>
    </w:pPr>
  </w:style>
  <w:style w:type="table" w:customStyle="1" w:styleId="11">
    <w:name w:val="网格型1"/>
    <w:basedOn w:val="a1"/>
    <w:next w:val="a9"/>
    <w:uiPriority w:val="59"/>
    <w:rsid w:val="006D19F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6D19F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02E"/>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452</Words>
  <Characters>544</Characters>
  <Application>Microsoft Office Word</Application>
  <DocSecurity>0</DocSecurity>
  <Lines>36</Lines>
  <Paragraphs>33</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婷玮 赵</dc:creator>
  <cp:keywords/>
  <dc:description/>
  <cp:lastModifiedBy>建德</cp:lastModifiedBy>
  <cp:revision>26</cp:revision>
  <cp:lastPrinted>2021-03-03T07:49:00Z</cp:lastPrinted>
  <dcterms:created xsi:type="dcterms:W3CDTF">2020-12-24T03:44:00Z</dcterms:created>
  <dcterms:modified xsi:type="dcterms:W3CDTF">2021-08-27T09:53:00Z</dcterms:modified>
</cp:coreProperties>
</file>