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A912B9" w:rsidRPr="006870D5" w14:paraId="6DFBD074" w14:textId="77777777" w:rsidTr="00A912B9">
        <w:tc>
          <w:tcPr>
            <w:tcW w:w="2765" w:type="dxa"/>
          </w:tcPr>
          <w:p w14:paraId="05990325" w14:textId="77777777" w:rsidR="00A912B9" w:rsidRPr="006870D5" w:rsidRDefault="003F2B6F" w:rsidP="003F2B6F">
            <w:pPr>
              <w:jc w:val="left"/>
              <w:rPr>
                <w:rFonts w:ascii="黑体" w:eastAsia="黑体" w:hAnsi="黑体" w:cs="Times New Roman"/>
                <w:kern w:val="0"/>
                <w:sz w:val="21"/>
                <w:szCs w:val="21"/>
              </w:rPr>
            </w:pPr>
            <w:bookmarkStart w:id="0" w:name="票面利率公告"/>
            <w:r w:rsidRPr="006870D5">
              <w:rPr>
                <w:rFonts w:ascii="黑体" w:eastAsia="黑体" w:hAnsi="黑体" w:cs="Times New Roman" w:hint="eastAsia"/>
                <w:kern w:val="0"/>
                <w:sz w:val="21"/>
                <w:szCs w:val="21"/>
              </w:rPr>
              <w:t>股票</w:t>
            </w:r>
            <w:r w:rsidR="00A912B9" w:rsidRPr="006870D5">
              <w:rPr>
                <w:rFonts w:ascii="黑体" w:eastAsia="黑体" w:hAnsi="黑体" w:cs="Times New Roman"/>
                <w:kern w:val="0"/>
                <w:sz w:val="21"/>
                <w:szCs w:val="21"/>
              </w:rPr>
              <w:t>代码：</w:t>
            </w:r>
            <w:r w:rsidRPr="006870D5">
              <w:rPr>
                <w:rFonts w:ascii="黑体" w:eastAsia="黑体" w:hAnsi="黑体" w:cs="Times New Roman"/>
                <w:sz w:val="21"/>
                <w:szCs w:val="21"/>
              </w:rPr>
              <w:t>600188</w:t>
            </w:r>
          </w:p>
        </w:tc>
        <w:tc>
          <w:tcPr>
            <w:tcW w:w="2765" w:type="dxa"/>
          </w:tcPr>
          <w:p w14:paraId="5A1A6700" w14:textId="77777777" w:rsidR="00A912B9" w:rsidRPr="006870D5" w:rsidRDefault="006870D5" w:rsidP="00E6560C">
            <w:pPr>
              <w:rPr>
                <w:rFonts w:ascii="黑体" w:eastAsia="黑体" w:hAnsi="黑体" w:cs="Times New Roman"/>
                <w:kern w:val="0"/>
                <w:sz w:val="21"/>
                <w:szCs w:val="21"/>
              </w:rPr>
            </w:pPr>
            <w:r w:rsidRPr="006870D5">
              <w:rPr>
                <w:rFonts w:ascii="黑体" w:eastAsia="黑体" w:hAnsi="黑体" w:cs="Times New Roman" w:hint="eastAsia"/>
                <w:kern w:val="0"/>
                <w:sz w:val="21"/>
                <w:szCs w:val="21"/>
              </w:rPr>
              <w:t>股票</w:t>
            </w:r>
            <w:r w:rsidR="00A912B9" w:rsidRPr="006870D5">
              <w:rPr>
                <w:rFonts w:ascii="黑体" w:eastAsia="黑体" w:hAnsi="黑体" w:cs="Times New Roman"/>
                <w:kern w:val="0"/>
                <w:sz w:val="21"/>
                <w:szCs w:val="21"/>
              </w:rPr>
              <w:t>简称：</w:t>
            </w:r>
            <w:r w:rsidR="003F2B6F" w:rsidRPr="006870D5">
              <w:rPr>
                <w:rFonts w:ascii="黑体" w:eastAsia="黑体" w:hAnsi="黑体" w:cs="Times New Roman" w:hint="eastAsia"/>
                <w:kern w:val="0"/>
                <w:sz w:val="21"/>
                <w:szCs w:val="21"/>
              </w:rPr>
              <w:t>兖州煤业</w:t>
            </w:r>
          </w:p>
        </w:tc>
        <w:tc>
          <w:tcPr>
            <w:tcW w:w="2766" w:type="dxa"/>
          </w:tcPr>
          <w:p w14:paraId="41EE4C8F" w14:textId="0B097A45" w:rsidR="00A912B9" w:rsidRPr="006870D5" w:rsidRDefault="00A912B9" w:rsidP="00A912B9">
            <w:pPr>
              <w:jc w:val="right"/>
              <w:rPr>
                <w:rFonts w:ascii="黑体" w:eastAsia="黑体" w:hAnsi="黑体" w:cs="Times New Roman"/>
                <w:kern w:val="0"/>
                <w:sz w:val="21"/>
                <w:szCs w:val="21"/>
              </w:rPr>
            </w:pPr>
            <w:r w:rsidRPr="006870D5">
              <w:rPr>
                <w:rFonts w:ascii="黑体" w:eastAsia="黑体" w:hAnsi="黑体" w:cs="Times New Roman"/>
                <w:kern w:val="0"/>
                <w:sz w:val="21"/>
                <w:szCs w:val="21"/>
              </w:rPr>
              <w:t>编号：</w:t>
            </w:r>
            <w:r w:rsidR="003F2B6F" w:rsidRPr="006870D5">
              <w:rPr>
                <w:rFonts w:ascii="黑体" w:eastAsia="黑体" w:hAnsi="黑体" w:cs="Times New Roman" w:hint="eastAsia"/>
                <w:kern w:val="0"/>
                <w:sz w:val="21"/>
                <w:szCs w:val="21"/>
              </w:rPr>
              <w:t>临</w:t>
            </w:r>
            <w:r w:rsidRPr="006870D5">
              <w:rPr>
                <w:rFonts w:ascii="黑体" w:eastAsia="黑体" w:hAnsi="黑体" w:cs="Times New Roman"/>
                <w:sz w:val="21"/>
                <w:szCs w:val="21"/>
              </w:rPr>
              <w:t>20</w:t>
            </w:r>
            <w:r w:rsidR="00C870CD" w:rsidRPr="006870D5">
              <w:rPr>
                <w:rFonts w:ascii="黑体" w:eastAsia="黑体" w:hAnsi="黑体" w:cs="Times New Roman" w:hint="eastAsia"/>
                <w:sz w:val="21"/>
                <w:szCs w:val="21"/>
              </w:rPr>
              <w:t>2</w:t>
            </w:r>
            <w:r w:rsidR="00C870CD" w:rsidRPr="006870D5">
              <w:rPr>
                <w:rFonts w:ascii="黑体" w:eastAsia="黑体" w:hAnsi="黑体" w:cs="Times New Roman"/>
                <w:sz w:val="21"/>
                <w:szCs w:val="21"/>
              </w:rPr>
              <w:t>1</w:t>
            </w:r>
            <w:r w:rsidRPr="006870D5">
              <w:rPr>
                <w:rFonts w:ascii="黑体" w:eastAsia="黑体" w:hAnsi="黑体" w:cs="Times New Roman"/>
                <w:sz w:val="21"/>
                <w:szCs w:val="21"/>
              </w:rPr>
              <w:t>-</w:t>
            </w:r>
            <w:r w:rsidR="00DC54E1">
              <w:rPr>
                <w:rFonts w:ascii="黑体" w:eastAsia="黑体" w:hAnsi="黑体" w:cs="Times New Roman" w:hint="eastAsia"/>
                <w:sz w:val="21"/>
                <w:szCs w:val="21"/>
              </w:rPr>
              <w:t>0</w:t>
            </w:r>
            <w:r w:rsidR="00DC54E1">
              <w:rPr>
                <w:rFonts w:ascii="黑体" w:eastAsia="黑体" w:hAnsi="黑体" w:cs="Times New Roman"/>
                <w:sz w:val="21"/>
                <w:szCs w:val="21"/>
              </w:rPr>
              <w:t>41</w:t>
            </w:r>
          </w:p>
        </w:tc>
      </w:tr>
    </w:tbl>
    <w:p w14:paraId="7078EF6B" w14:textId="77777777" w:rsidR="00E6560C" w:rsidRPr="00A912B9" w:rsidRDefault="00E6560C" w:rsidP="005C3838">
      <w:pPr>
        <w:widowControl w:val="0"/>
        <w:spacing w:line="240" w:lineRule="auto"/>
        <w:rPr>
          <w:rFonts w:cs="Times New Roman"/>
          <w:b/>
          <w:kern w:val="0"/>
          <w:sz w:val="28"/>
          <w:szCs w:val="28"/>
        </w:rPr>
      </w:pPr>
    </w:p>
    <w:p w14:paraId="6A85D0AF" w14:textId="77777777" w:rsidR="00944F06" w:rsidRDefault="00A60C97">
      <w:pPr>
        <w:spacing w:line="500" w:lineRule="exact"/>
        <w:rPr>
          <w:rFonts w:ascii="创艺简标宋" w:eastAsia="创艺简标宋" w:cs="Times New Roman"/>
          <w:color w:val="FF0000"/>
          <w:kern w:val="0"/>
          <w:sz w:val="36"/>
          <w:szCs w:val="36"/>
        </w:rPr>
      </w:pPr>
      <w:r w:rsidRPr="00A60C97">
        <w:rPr>
          <w:rFonts w:ascii="创艺简标宋" w:eastAsia="创艺简标宋" w:cs="Times New Roman" w:hint="eastAsia"/>
          <w:color w:val="FF0000"/>
          <w:kern w:val="0"/>
          <w:sz w:val="36"/>
          <w:szCs w:val="36"/>
        </w:rPr>
        <w:t>兖州煤业股份有限公司</w:t>
      </w:r>
    </w:p>
    <w:p w14:paraId="2AA3AA4F" w14:textId="77777777" w:rsidR="00944F06" w:rsidRDefault="00A60C97">
      <w:pPr>
        <w:widowControl w:val="0"/>
        <w:spacing w:line="500" w:lineRule="exact"/>
        <w:rPr>
          <w:rFonts w:ascii="创艺简标宋" w:eastAsia="创艺简标宋" w:cs="Times New Roman"/>
          <w:color w:val="FF0000"/>
          <w:kern w:val="0"/>
          <w:sz w:val="36"/>
          <w:szCs w:val="36"/>
        </w:rPr>
      </w:pPr>
      <w:r w:rsidRPr="00A60C97">
        <w:rPr>
          <w:rFonts w:ascii="创艺简标宋" w:eastAsia="创艺简标宋" w:cs="Times New Roman" w:hint="eastAsia"/>
          <w:color w:val="FF0000"/>
          <w:kern w:val="0"/>
          <w:sz w:val="36"/>
          <w:szCs w:val="36"/>
        </w:rPr>
        <w:t>关于控股股东办理可交换公司债券担保及信托</w:t>
      </w:r>
    </w:p>
    <w:p w14:paraId="63C95F48" w14:textId="77777777" w:rsidR="00944F06" w:rsidRDefault="00A60C97">
      <w:pPr>
        <w:widowControl w:val="0"/>
        <w:spacing w:line="500" w:lineRule="exact"/>
        <w:rPr>
          <w:rFonts w:ascii="创艺简标宋" w:eastAsia="创艺简标宋" w:cs="Times New Roman"/>
          <w:color w:val="FF0000"/>
          <w:kern w:val="0"/>
          <w:sz w:val="36"/>
          <w:szCs w:val="36"/>
        </w:rPr>
      </w:pPr>
      <w:r w:rsidRPr="00A60C97">
        <w:rPr>
          <w:rFonts w:ascii="创艺简标宋" w:eastAsia="创艺简标宋" w:cs="Times New Roman" w:hint="eastAsia"/>
          <w:color w:val="FF0000"/>
          <w:kern w:val="0"/>
          <w:sz w:val="36"/>
          <w:szCs w:val="36"/>
        </w:rPr>
        <w:t>撤销登记的提示性公告</w:t>
      </w:r>
      <w:bookmarkEnd w:id="0"/>
    </w:p>
    <w:p w14:paraId="3F592B0B" w14:textId="77777777" w:rsidR="00A05CC5" w:rsidRDefault="00446D88" w:rsidP="00785BD8">
      <w:pPr>
        <w:widowControl w:val="0"/>
        <w:spacing w:beforeLines="50" w:before="156" w:afterLines="50" w:after="156"/>
        <w:ind w:firstLineChars="200" w:firstLine="723"/>
        <w:jc w:val="both"/>
        <w:rPr>
          <w:rFonts w:ascii="宋体" w:hAnsi="宋体" w:cs="Times New Roman"/>
          <w:kern w:val="0"/>
          <w:sz w:val="28"/>
          <w:szCs w:val="28"/>
        </w:rPr>
      </w:pPr>
      <w:r>
        <w:rPr>
          <w:rFonts w:cs="Times New Roman"/>
          <w:b/>
          <w:noProof/>
          <w:color w:val="FF0000"/>
          <w:kern w:val="0"/>
          <w:sz w:val="36"/>
          <w:szCs w:val="36"/>
        </w:rPr>
        <w:pict w14:anchorId="33A6A817"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7" type="#_x0000_t202" style="position:absolute;left:0;text-align:left;margin-left:-3.15pt;margin-top:13.2pt;width:423pt;height:77.2pt;z-index:251658240">
            <v:textbox>
              <w:txbxContent>
                <w:p w14:paraId="4C4514DE" w14:textId="77777777" w:rsidR="00944F06" w:rsidRDefault="00A05CC5">
                  <w:pPr>
                    <w:adjustRightInd w:val="0"/>
                    <w:snapToGrid w:val="0"/>
                    <w:spacing w:line="480" w:lineRule="exact"/>
                    <w:ind w:firstLineChars="200" w:firstLine="560"/>
                    <w:jc w:val="both"/>
                    <w:rPr>
                      <w:rFonts w:cs="Times New Roman"/>
                      <w:sz w:val="28"/>
                    </w:rPr>
                  </w:pPr>
                  <w:r>
                    <w:rPr>
                      <w:rFonts w:cs="Times New Roman" w:hint="eastAsia"/>
                      <w:sz w:val="28"/>
                    </w:rPr>
                    <w:t>本公司董事会及全体董事保证本公告内容不存在任何虚假记载、误导性陈述或者重大遗漏，并对其内容的真实性、准确性和完整性承担个别及连带责任。</w:t>
                  </w:r>
                </w:p>
              </w:txbxContent>
            </v:textbox>
          </v:shape>
        </w:pict>
      </w:r>
    </w:p>
    <w:p w14:paraId="3AB9C42F" w14:textId="77777777" w:rsidR="00944F06" w:rsidRDefault="00944F06" w:rsidP="00785E29">
      <w:pPr>
        <w:widowControl w:val="0"/>
        <w:spacing w:before="156" w:after="156" w:line="240" w:lineRule="auto"/>
        <w:jc w:val="both"/>
        <w:rPr>
          <w:rFonts w:ascii="宋体" w:hAnsi="宋体" w:cs="Times New Roman"/>
          <w:kern w:val="0"/>
          <w:sz w:val="28"/>
          <w:szCs w:val="28"/>
        </w:rPr>
      </w:pPr>
    </w:p>
    <w:p w14:paraId="303C020C" w14:textId="07E2D2AC" w:rsidR="00BB05AE" w:rsidRDefault="0027245C" w:rsidP="00785E29">
      <w:pPr>
        <w:widowControl w:val="0"/>
        <w:spacing w:beforeLines="150" w:before="468" w:line="560" w:lineRule="exact"/>
        <w:ind w:firstLineChars="200" w:firstLine="560"/>
        <w:jc w:val="both"/>
        <w:rPr>
          <w:rFonts w:ascii="宋体" w:hAnsi="宋体" w:cs="Times New Roman"/>
          <w:kern w:val="0"/>
          <w:sz w:val="28"/>
          <w:szCs w:val="28"/>
        </w:rPr>
      </w:pPr>
      <w:r>
        <w:rPr>
          <w:rFonts w:ascii="宋体" w:hAnsi="宋体" w:cs="Times New Roman" w:hint="eastAsia"/>
          <w:kern w:val="0"/>
          <w:sz w:val="28"/>
          <w:szCs w:val="28"/>
        </w:rPr>
        <w:t>2</w:t>
      </w:r>
      <w:r>
        <w:rPr>
          <w:rFonts w:ascii="宋体" w:hAnsi="宋体" w:cs="Times New Roman"/>
          <w:kern w:val="0"/>
          <w:sz w:val="28"/>
          <w:szCs w:val="28"/>
        </w:rPr>
        <w:t>017</w:t>
      </w:r>
      <w:r>
        <w:rPr>
          <w:rFonts w:ascii="宋体" w:hAnsi="宋体" w:cs="Times New Roman" w:hint="eastAsia"/>
          <w:kern w:val="0"/>
          <w:sz w:val="28"/>
          <w:szCs w:val="28"/>
        </w:rPr>
        <w:t>年、2</w:t>
      </w:r>
      <w:r>
        <w:rPr>
          <w:rFonts w:ascii="宋体" w:hAnsi="宋体" w:cs="Times New Roman"/>
          <w:kern w:val="0"/>
          <w:sz w:val="28"/>
          <w:szCs w:val="28"/>
        </w:rPr>
        <w:t>018</w:t>
      </w:r>
      <w:r>
        <w:rPr>
          <w:rFonts w:ascii="宋体" w:hAnsi="宋体" w:cs="Times New Roman" w:hint="eastAsia"/>
          <w:kern w:val="0"/>
          <w:sz w:val="28"/>
          <w:szCs w:val="28"/>
        </w:rPr>
        <w:t>年，</w:t>
      </w:r>
      <w:r w:rsidR="003F2B6F" w:rsidRPr="006870D5">
        <w:rPr>
          <w:rFonts w:ascii="宋体" w:hAnsi="宋体" w:cs="Times New Roman" w:hint="eastAsia"/>
          <w:kern w:val="0"/>
          <w:sz w:val="28"/>
          <w:szCs w:val="28"/>
        </w:rPr>
        <w:t>兖州煤业股份有限公司</w:t>
      </w:r>
      <w:r w:rsidR="00BE3084" w:rsidRPr="006870D5">
        <w:rPr>
          <w:rFonts w:ascii="宋体" w:hAnsi="宋体" w:cs="Times New Roman" w:hint="eastAsia"/>
          <w:kern w:val="0"/>
          <w:sz w:val="28"/>
          <w:szCs w:val="28"/>
        </w:rPr>
        <w:t>（“本公司”）控股股东</w:t>
      </w:r>
      <w:r w:rsidR="003F2B6F" w:rsidRPr="006870D5">
        <w:rPr>
          <w:rFonts w:ascii="宋体" w:hAnsi="宋体" w:cs="Times New Roman" w:hint="eastAsia"/>
          <w:kern w:val="0"/>
          <w:sz w:val="28"/>
          <w:szCs w:val="28"/>
        </w:rPr>
        <w:t>山东能源集团有限公司</w:t>
      </w:r>
      <w:r w:rsidR="00BE3084" w:rsidRPr="006870D5">
        <w:rPr>
          <w:rFonts w:ascii="宋体" w:hAnsi="宋体" w:cs="Times New Roman" w:hint="eastAsia"/>
          <w:kern w:val="0"/>
          <w:sz w:val="28"/>
          <w:szCs w:val="28"/>
        </w:rPr>
        <w:t>（“</w:t>
      </w:r>
      <w:r w:rsidR="003F2B6F" w:rsidRPr="006870D5">
        <w:rPr>
          <w:rFonts w:ascii="宋体" w:hAnsi="宋体" w:cs="Times New Roman" w:hint="eastAsia"/>
          <w:kern w:val="0"/>
          <w:sz w:val="28"/>
          <w:szCs w:val="28"/>
        </w:rPr>
        <w:t>山能集团</w:t>
      </w:r>
      <w:r w:rsidR="00BE3084" w:rsidRPr="006870D5">
        <w:rPr>
          <w:rFonts w:ascii="宋体" w:hAnsi="宋体" w:cs="Times New Roman" w:hint="eastAsia"/>
          <w:kern w:val="0"/>
          <w:sz w:val="28"/>
          <w:szCs w:val="28"/>
        </w:rPr>
        <w:t>”</w:t>
      </w:r>
      <w:r w:rsidR="004E0D63" w:rsidRPr="006870D5">
        <w:rPr>
          <w:rFonts w:ascii="宋体" w:hAnsi="宋体" w:cs="Times New Roman" w:hint="eastAsia"/>
          <w:kern w:val="0"/>
          <w:sz w:val="28"/>
          <w:szCs w:val="28"/>
        </w:rPr>
        <w:t>，即</w:t>
      </w:r>
      <w:r w:rsidR="003F2B6F" w:rsidRPr="006870D5">
        <w:rPr>
          <w:rFonts w:ascii="宋体" w:hAnsi="宋体" w:cs="Times New Roman" w:hint="eastAsia"/>
          <w:kern w:val="0"/>
          <w:sz w:val="28"/>
          <w:szCs w:val="28"/>
        </w:rPr>
        <w:t>原“兖矿集团有限公司”</w:t>
      </w:r>
      <w:r w:rsidR="00BE3084" w:rsidRPr="006870D5">
        <w:rPr>
          <w:rFonts w:ascii="宋体" w:hAnsi="宋体" w:cs="Times New Roman" w:hint="eastAsia"/>
          <w:kern w:val="0"/>
          <w:sz w:val="28"/>
          <w:szCs w:val="28"/>
        </w:rPr>
        <w:t>）</w:t>
      </w:r>
      <w:r>
        <w:rPr>
          <w:rFonts w:ascii="宋体" w:hAnsi="宋体" w:cs="Times New Roman" w:hint="eastAsia"/>
          <w:kern w:val="0"/>
          <w:sz w:val="28"/>
          <w:szCs w:val="28"/>
        </w:rPr>
        <w:t>分别</w:t>
      </w:r>
      <w:r w:rsidR="00BB05AE" w:rsidRPr="00BB05AE">
        <w:rPr>
          <w:rFonts w:ascii="宋体" w:hAnsi="宋体" w:cs="Times New Roman" w:hint="eastAsia"/>
          <w:kern w:val="0"/>
          <w:sz w:val="28"/>
          <w:szCs w:val="28"/>
        </w:rPr>
        <w:t>为</w:t>
      </w:r>
      <w:r w:rsidR="00BB05AE">
        <w:rPr>
          <w:rFonts w:ascii="宋体" w:hAnsi="宋体" w:cs="Times New Roman" w:hint="eastAsia"/>
          <w:kern w:val="0"/>
          <w:sz w:val="28"/>
          <w:szCs w:val="28"/>
        </w:rPr>
        <w:t>其</w:t>
      </w:r>
      <w:r w:rsidR="00BB05AE" w:rsidRPr="00BB05AE">
        <w:rPr>
          <w:rFonts w:ascii="宋体" w:hAnsi="宋体" w:cs="Times New Roman" w:hint="eastAsia"/>
          <w:kern w:val="0"/>
          <w:sz w:val="28"/>
          <w:szCs w:val="28"/>
        </w:rPr>
        <w:t>发行2017年非公开发行可交换公司债券（第二期）（“17兖02EB”）、2018年非公开发行可交换公司债券（第一期）（“18兖01EB”）办理</w:t>
      </w:r>
      <w:r w:rsidR="00BB05AE">
        <w:rPr>
          <w:rFonts w:ascii="宋体" w:hAnsi="宋体" w:cs="Times New Roman" w:hint="eastAsia"/>
          <w:kern w:val="0"/>
          <w:sz w:val="28"/>
          <w:szCs w:val="28"/>
        </w:rPr>
        <w:t>了</w:t>
      </w:r>
      <w:r w:rsidR="00BB05AE" w:rsidRPr="00BB05AE">
        <w:rPr>
          <w:rFonts w:ascii="宋体" w:hAnsi="宋体" w:cs="Times New Roman" w:hint="eastAsia"/>
          <w:kern w:val="0"/>
          <w:sz w:val="28"/>
          <w:szCs w:val="28"/>
        </w:rPr>
        <w:t>本公司股票担保及信托</w:t>
      </w:r>
      <w:r w:rsidR="0035363F">
        <w:rPr>
          <w:rFonts w:ascii="宋体" w:hAnsi="宋体" w:cs="Times New Roman" w:hint="eastAsia"/>
          <w:kern w:val="0"/>
          <w:sz w:val="28"/>
          <w:szCs w:val="28"/>
        </w:rPr>
        <w:t>登记</w:t>
      </w:r>
      <w:r>
        <w:rPr>
          <w:rFonts w:ascii="宋体" w:hAnsi="宋体" w:cs="Times New Roman" w:hint="eastAsia"/>
          <w:kern w:val="0"/>
          <w:sz w:val="28"/>
          <w:szCs w:val="28"/>
        </w:rPr>
        <w:t>，即由</w:t>
      </w:r>
      <w:r w:rsidRPr="006870D5">
        <w:rPr>
          <w:rFonts w:ascii="宋体" w:hAnsi="宋体" w:cs="Times New Roman" w:hint="eastAsia"/>
          <w:kern w:val="0"/>
          <w:sz w:val="28"/>
          <w:szCs w:val="28"/>
        </w:rPr>
        <w:t>信托财产</w:t>
      </w:r>
      <w:r w:rsidR="00542D50">
        <w:rPr>
          <w:rFonts w:ascii="宋体" w:hAnsi="宋体" w:cs="Times New Roman" w:hint="eastAsia"/>
          <w:kern w:val="0"/>
          <w:sz w:val="28"/>
          <w:szCs w:val="28"/>
        </w:rPr>
        <w:t>管理人</w:t>
      </w:r>
      <w:r w:rsidRPr="006870D5">
        <w:rPr>
          <w:rFonts w:ascii="宋体" w:hAnsi="宋体" w:cs="Times New Roman" w:hint="eastAsia"/>
          <w:kern w:val="0"/>
          <w:sz w:val="28"/>
          <w:szCs w:val="28"/>
        </w:rPr>
        <w:t>中信证券股份有限公司（“中信证券”）</w:t>
      </w:r>
      <w:r>
        <w:rPr>
          <w:rFonts w:ascii="宋体" w:hAnsi="宋体" w:cs="Times New Roman" w:hint="eastAsia"/>
          <w:kern w:val="0"/>
          <w:sz w:val="28"/>
          <w:szCs w:val="28"/>
        </w:rPr>
        <w:t>通过</w:t>
      </w:r>
      <w:r w:rsidRPr="006870D5">
        <w:rPr>
          <w:rFonts w:ascii="宋体" w:hAnsi="宋体" w:cs="Times New Roman" w:hint="eastAsia"/>
          <w:kern w:val="0"/>
          <w:sz w:val="28"/>
          <w:szCs w:val="28"/>
        </w:rPr>
        <w:t>担保及信托专户</w:t>
      </w:r>
      <w:r>
        <w:rPr>
          <w:rFonts w:ascii="宋体" w:hAnsi="宋体" w:cs="Times New Roman" w:hint="eastAsia"/>
          <w:kern w:val="0"/>
          <w:sz w:val="28"/>
          <w:szCs w:val="28"/>
        </w:rPr>
        <w:t>持有本</w:t>
      </w:r>
      <w:r w:rsidRPr="006870D5">
        <w:rPr>
          <w:rFonts w:ascii="宋体" w:hAnsi="宋体" w:cs="Times New Roman" w:hint="eastAsia"/>
          <w:kern w:val="0"/>
          <w:sz w:val="28"/>
          <w:szCs w:val="28"/>
        </w:rPr>
        <w:t>公司</w:t>
      </w:r>
      <w:r>
        <w:rPr>
          <w:rFonts w:ascii="宋体" w:hAnsi="宋体" w:cs="Times New Roman" w:hint="eastAsia"/>
          <w:kern w:val="0"/>
          <w:sz w:val="28"/>
          <w:szCs w:val="28"/>
        </w:rPr>
        <w:t>相应数量的A股</w:t>
      </w:r>
      <w:r w:rsidRPr="006870D5">
        <w:rPr>
          <w:rFonts w:ascii="宋体" w:hAnsi="宋体" w:cs="Times New Roman" w:hint="eastAsia"/>
          <w:kern w:val="0"/>
          <w:sz w:val="28"/>
          <w:szCs w:val="28"/>
        </w:rPr>
        <w:t>股票</w:t>
      </w:r>
      <w:r w:rsidR="00BB05AE">
        <w:rPr>
          <w:rFonts w:ascii="宋体" w:hAnsi="宋体" w:cs="Times New Roman" w:hint="eastAsia"/>
          <w:kern w:val="0"/>
          <w:sz w:val="28"/>
          <w:szCs w:val="28"/>
        </w:rPr>
        <w:t>。</w:t>
      </w:r>
    </w:p>
    <w:p w14:paraId="2AAD66BB" w14:textId="1066528A" w:rsidR="00DA54A3" w:rsidRDefault="00DA54A3" w:rsidP="00785E29">
      <w:pPr>
        <w:widowControl w:val="0"/>
        <w:spacing w:line="560" w:lineRule="exact"/>
        <w:ind w:firstLineChars="200" w:firstLine="560"/>
        <w:jc w:val="both"/>
        <w:rPr>
          <w:rFonts w:ascii="宋体" w:hAnsi="宋体" w:cs="Times New Roman"/>
          <w:kern w:val="0"/>
          <w:sz w:val="28"/>
          <w:szCs w:val="28"/>
        </w:rPr>
      </w:pPr>
      <w:r>
        <w:rPr>
          <w:rFonts w:ascii="宋体" w:hAnsi="宋体" w:cs="Times New Roman" w:hint="eastAsia"/>
          <w:kern w:val="0"/>
          <w:sz w:val="28"/>
          <w:szCs w:val="28"/>
        </w:rPr>
        <w:t>目前，</w:t>
      </w:r>
      <w:r w:rsidRPr="006870D5">
        <w:rPr>
          <w:rFonts w:ascii="宋体" w:hAnsi="宋体" w:cs="Times New Roman" w:hint="eastAsia"/>
          <w:kern w:val="0"/>
          <w:sz w:val="28"/>
          <w:szCs w:val="28"/>
        </w:rPr>
        <w:t>“17兖02EB”“18兖01EB”已完成换股及债券摘牌工作，中信证券</w:t>
      </w:r>
      <w:r>
        <w:rPr>
          <w:rFonts w:ascii="宋体" w:hAnsi="宋体" w:cs="Times New Roman" w:hint="eastAsia"/>
          <w:kern w:val="0"/>
          <w:sz w:val="28"/>
          <w:szCs w:val="28"/>
        </w:rPr>
        <w:t>通过</w:t>
      </w:r>
      <w:r w:rsidRPr="006870D5">
        <w:rPr>
          <w:rFonts w:ascii="宋体" w:hAnsi="宋体" w:cs="Times New Roman" w:hint="eastAsia"/>
          <w:kern w:val="0"/>
          <w:sz w:val="28"/>
          <w:szCs w:val="28"/>
        </w:rPr>
        <w:t>担保及信托专户</w:t>
      </w:r>
      <w:r>
        <w:rPr>
          <w:rFonts w:ascii="宋体" w:hAnsi="宋体" w:cs="Times New Roman" w:hint="eastAsia"/>
          <w:kern w:val="0"/>
          <w:sz w:val="28"/>
          <w:szCs w:val="28"/>
        </w:rPr>
        <w:t>尚持有本</w:t>
      </w:r>
      <w:r w:rsidRPr="006870D5">
        <w:rPr>
          <w:rFonts w:ascii="宋体" w:hAnsi="宋体" w:cs="Times New Roman" w:hint="eastAsia"/>
          <w:kern w:val="0"/>
          <w:sz w:val="28"/>
          <w:szCs w:val="28"/>
        </w:rPr>
        <w:t>公司</w:t>
      </w:r>
      <w:r w:rsidRPr="006870D5">
        <w:rPr>
          <w:rFonts w:ascii="宋体" w:hAnsi="宋体" w:cs="Times New Roman"/>
          <w:kern w:val="0"/>
          <w:sz w:val="28"/>
          <w:szCs w:val="28"/>
        </w:rPr>
        <w:t>387,385,137</w:t>
      </w:r>
      <w:r w:rsidRPr="006870D5">
        <w:rPr>
          <w:rFonts w:ascii="宋体" w:hAnsi="宋体" w:cs="Times New Roman" w:hint="eastAsia"/>
          <w:kern w:val="0"/>
          <w:sz w:val="28"/>
          <w:szCs w:val="28"/>
        </w:rPr>
        <w:t>股</w:t>
      </w:r>
      <w:r>
        <w:rPr>
          <w:rFonts w:ascii="宋体" w:hAnsi="宋体" w:cs="Times New Roman" w:hint="eastAsia"/>
          <w:kern w:val="0"/>
          <w:sz w:val="28"/>
          <w:szCs w:val="28"/>
        </w:rPr>
        <w:t>A股</w:t>
      </w:r>
      <w:r w:rsidRPr="006870D5">
        <w:rPr>
          <w:rFonts w:ascii="宋体" w:hAnsi="宋体" w:cs="Times New Roman" w:hint="eastAsia"/>
          <w:kern w:val="0"/>
          <w:sz w:val="28"/>
          <w:szCs w:val="28"/>
        </w:rPr>
        <w:t>股票</w:t>
      </w:r>
      <w:r>
        <w:rPr>
          <w:rFonts w:ascii="宋体" w:hAnsi="宋体" w:cs="Times New Roman" w:hint="eastAsia"/>
          <w:kern w:val="0"/>
          <w:sz w:val="28"/>
          <w:szCs w:val="28"/>
        </w:rPr>
        <w:t>。</w:t>
      </w:r>
    </w:p>
    <w:p w14:paraId="41066457" w14:textId="23B8C888" w:rsidR="00DA54A3" w:rsidRDefault="00DA54A3" w:rsidP="00785E29">
      <w:pPr>
        <w:widowControl w:val="0"/>
        <w:spacing w:line="560" w:lineRule="exact"/>
        <w:ind w:firstLineChars="200" w:firstLine="560"/>
        <w:jc w:val="both"/>
        <w:rPr>
          <w:rFonts w:ascii="宋体" w:hAnsi="宋体" w:cs="Times New Roman"/>
          <w:kern w:val="0"/>
          <w:sz w:val="28"/>
          <w:szCs w:val="28"/>
        </w:rPr>
      </w:pPr>
      <w:r w:rsidRPr="006870D5">
        <w:rPr>
          <w:rFonts w:ascii="宋体" w:hAnsi="宋体" w:cs="Times New Roman" w:hint="eastAsia"/>
          <w:kern w:val="0"/>
          <w:sz w:val="28"/>
          <w:szCs w:val="28"/>
        </w:rPr>
        <w:t>山能集团与中信证券</w:t>
      </w:r>
      <w:r>
        <w:rPr>
          <w:rFonts w:ascii="宋体" w:hAnsi="宋体" w:cs="Times New Roman" w:hint="eastAsia"/>
          <w:kern w:val="0"/>
          <w:sz w:val="28"/>
          <w:szCs w:val="28"/>
        </w:rPr>
        <w:t>拟于近日</w:t>
      </w:r>
      <w:r w:rsidRPr="006870D5">
        <w:rPr>
          <w:rFonts w:ascii="宋体" w:hAnsi="宋体" w:cs="Times New Roman" w:hint="eastAsia"/>
          <w:kern w:val="0"/>
          <w:sz w:val="28"/>
          <w:szCs w:val="28"/>
        </w:rPr>
        <w:t>向中国证券登记结算有限责任公司上海分公司申请</w:t>
      </w:r>
      <w:r>
        <w:rPr>
          <w:rFonts w:ascii="宋体" w:hAnsi="宋体" w:cs="Times New Roman" w:hint="eastAsia"/>
          <w:kern w:val="0"/>
          <w:sz w:val="28"/>
          <w:szCs w:val="28"/>
        </w:rPr>
        <w:t>，</w:t>
      </w:r>
      <w:r w:rsidRPr="006870D5">
        <w:rPr>
          <w:rFonts w:ascii="宋体" w:hAnsi="宋体" w:cs="Times New Roman" w:hint="eastAsia"/>
          <w:kern w:val="0"/>
          <w:sz w:val="28"/>
          <w:szCs w:val="28"/>
        </w:rPr>
        <w:t>办理</w:t>
      </w:r>
      <w:r>
        <w:rPr>
          <w:rFonts w:ascii="宋体" w:hAnsi="宋体" w:cs="Times New Roman" w:hint="eastAsia"/>
          <w:kern w:val="0"/>
          <w:sz w:val="28"/>
          <w:szCs w:val="28"/>
        </w:rPr>
        <w:t>上述</w:t>
      </w:r>
      <w:r w:rsidRPr="006870D5">
        <w:rPr>
          <w:rFonts w:ascii="宋体" w:hAnsi="宋体" w:cs="Times New Roman" w:hint="eastAsia"/>
          <w:kern w:val="0"/>
          <w:sz w:val="28"/>
          <w:szCs w:val="28"/>
        </w:rPr>
        <w:t>担保及信托撤销登记。本次担保及信托撤销登记完成后，不会导致公司控股股东及实际控制人发生变化，不构成要约收购。</w:t>
      </w:r>
    </w:p>
    <w:p w14:paraId="016C7008" w14:textId="02F1DE27" w:rsidR="00944F06" w:rsidRDefault="00DA54A3" w:rsidP="00785E29">
      <w:pPr>
        <w:widowControl w:val="0"/>
        <w:spacing w:line="560" w:lineRule="exact"/>
        <w:ind w:firstLineChars="200" w:firstLine="560"/>
        <w:jc w:val="both"/>
        <w:rPr>
          <w:rFonts w:ascii="宋体" w:hAnsi="宋体" w:cs="Times New Roman"/>
          <w:kern w:val="0"/>
          <w:sz w:val="28"/>
          <w:szCs w:val="28"/>
        </w:rPr>
      </w:pPr>
      <w:r>
        <w:rPr>
          <w:rFonts w:ascii="宋体" w:hAnsi="宋体" w:cs="Times New Roman" w:hint="eastAsia"/>
          <w:kern w:val="0"/>
          <w:sz w:val="28"/>
          <w:szCs w:val="28"/>
        </w:rPr>
        <w:t>撤销登记前后</w:t>
      </w:r>
      <w:r w:rsidR="00AD43F6" w:rsidRPr="00441CA0">
        <w:rPr>
          <w:rFonts w:ascii="宋体" w:hAnsi="宋体" w:cs="Times New Roman" w:hint="eastAsia"/>
          <w:kern w:val="0"/>
          <w:sz w:val="28"/>
          <w:szCs w:val="28"/>
        </w:rPr>
        <w:t>，山能集团</w:t>
      </w:r>
      <w:r w:rsidR="00441CA0">
        <w:rPr>
          <w:rFonts w:ascii="宋体" w:hAnsi="宋体" w:cs="Times New Roman" w:hint="eastAsia"/>
          <w:kern w:val="0"/>
          <w:sz w:val="28"/>
          <w:szCs w:val="28"/>
        </w:rPr>
        <w:t>以及</w:t>
      </w:r>
      <w:r w:rsidR="00AD43F6" w:rsidRPr="00441CA0">
        <w:rPr>
          <w:rFonts w:ascii="宋体" w:hAnsi="宋体" w:cs="Times New Roman" w:hint="eastAsia"/>
          <w:kern w:val="0"/>
          <w:sz w:val="28"/>
          <w:szCs w:val="28"/>
        </w:rPr>
        <w:t>因发行可交换公司债券设立的由中信证券作为</w:t>
      </w:r>
      <w:r w:rsidR="00EB01FD">
        <w:rPr>
          <w:rFonts w:ascii="宋体" w:hAnsi="宋体" w:cs="Times New Roman" w:hint="eastAsia"/>
          <w:kern w:val="0"/>
          <w:sz w:val="28"/>
          <w:szCs w:val="28"/>
        </w:rPr>
        <w:t>管理人</w:t>
      </w:r>
      <w:r w:rsidR="00AD43F6" w:rsidRPr="00441CA0">
        <w:rPr>
          <w:rFonts w:ascii="宋体" w:hAnsi="宋体" w:cs="Times New Roman" w:hint="eastAsia"/>
          <w:kern w:val="0"/>
          <w:sz w:val="28"/>
          <w:szCs w:val="28"/>
        </w:rPr>
        <w:t>的担保及信托专户持股情况如下：</w:t>
      </w:r>
    </w:p>
    <w:p w14:paraId="73F53AFC" w14:textId="77777777" w:rsidR="00BB05AE" w:rsidRDefault="00BB05AE" w:rsidP="00785BD8">
      <w:pPr>
        <w:widowControl w:val="0"/>
        <w:spacing w:beforeLines="50" w:before="156" w:afterLines="50" w:after="156"/>
        <w:ind w:firstLineChars="200" w:firstLine="420"/>
        <w:jc w:val="right"/>
        <w:rPr>
          <w:rFonts w:cs="Times New Roman"/>
          <w:kern w:val="0"/>
          <w:sz w:val="21"/>
          <w:szCs w:val="22"/>
        </w:rPr>
      </w:pPr>
    </w:p>
    <w:p w14:paraId="6316F66D" w14:textId="77777777" w:rsidR="00BB05AE" w:rsidRDefault="00BB05AE" w:rsidP="00785BD8">
      <w:pPr>
        <w:widowControl w:val="0"/>
        <w:spacing w:beforeLines="50" w:before="156" w:afterLines="50" w:after="156"/>
        <w:ind w:firstLineChars="200" w:firstLine="420"/>
        <w:jc w:val="right"/>
        <w:rPr>
          <w:rFonts w:cs="Times New Roman"/>
          <w:kern w:val="0"/>
          <w:sz w:val="21"/>
          <w:szCs w:val="22"/>
        </w:rPr>
      </w:pPr>
    </w:p>
    <w:p w14:paraId="38128F7D" w14:textId="21E4D6F3" w:rsidR="00D72B73" w:rsidRPr="00D72B73" w:rsidRDefault="00D72B73" w:rsidP="00785BD8">
      <w:pPr>
        <w:widowControl w:val="0"/>
        <w:spacing w:beforeLines="50" w:before="156" w:afterLines="50" w:after="156"/>
        <w:ind w:firstLineChars="200" w:firstLine="420"/>
        <w:jc w:val="right"/>
        <w:rPr>
          <w:rFonts w:cs="Times New Roman"/>
          <w:kern w:val="0"/>
          <w:sz w:val="21"/>
          <w:szCs w:val="22"/>
        </w:rPr>
      </w:pPr>
      <w:r w:rsidRPr="00D72B73">
        <w:rPr>
          <w:rFonts w:cs="Times New Roman" w:hint="eastAsia"/>
          <w:kern w:val="0"/>
          <w:sz w:val="21"/>
          <w:szCs w:val="22"/>
        </w:rPr>
        <w:t>单位：股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364"/>
        <w:gridCol w:w="1424"/>
        <w:gridCol w:w="1373"/>
        <w:gridCol w:w="1387"/>
        <w:gridCol w:w="1424"/>
        <w:gridCol w:w="1324"/>
      </w:tblGrid>
      <w:tr w:rsidR="00AD43F6" w:rsidRPr="00606CF9" w14:paraId="5E5A995A" w14:textId="77777777" w:rsidTr="00DE79D5">
        <w:tc>
          <w:tcPr>
            <w:tcW w:w="1364" w:type="dxa"/>
            <w:vAlign w:val="center"/>
          </w:tcPr>
          <w:p w14:paraId="3B178B2C" w14:textId="13E4425B" w:rsidR="00AD43F6" w:rsidRPr="00606CF9" w:rsidRDefault="00542D50" w:rsidP="00785BD8">
            <w:pPr>
              <w:widowControl w:val="0"/>
              <w:spacing w:beforeLines="50" w:before="156" w:afterLines="50" w:after="156"/>
              <w:rPr>
                <w:rFonts w:cs="Times New Roman"/>
                <w:b/>
                <w:kern w:val="0"/>
                <w:sz w:val="21"/>
                <w:szCs w:val="21"/>
              </w:rPr>
            </w:pPr>
            <w:r>
              <w:rPr>
                <w:rFonts w:cs="Times New Roman" w:hint="eastAsia"/>
                <w:b/>
                <w:kern w:val="0"/>
                <w:sz w:val="21"/>
                <w:szCs w:val="21"/>
              </w:rPr>
              <w:t>账户全称</w:t>
            </w:r>
          </w:p>
        </w:tc>
        <w:tc>
          <w:tcPr>
            <w:tcW w:w="1424" w:type="dxa"/>
            <w:vAlign w:val="center"/>
          </w:tcPr>
          <w:p w14:paraId="1142F758" w14:textId="77777777" w:rsidR="00AD43F6" w:rsidRPr="00606CF9" w:rsidRDefault="00AD43F6" w:rsidP="00785BD8">
            <w:pPr>
              <w:widowControl w:val="0"/>
              <w:spacing w:beforeLines="50" w:before="156" w:afterLines="50" w:after="156"/>
              <w:rPr>
                <w:rFonts w:cs="Times New Roman"/>
                <w:b/>
                <w:kern w:val="0"/>
                <w:sz w:val="21"/>
                <w:szCs w:val="21"/>
              </w:rPr>
            </w:pPr>
            <w:r w:rsidRPr="00606CF9">
              <w:rPr>
                <w:rFonts w:cs="Times New Roman" w:hint="eastAsia"/>
                <w:b/>
                <w:kern w:val="0"/>
                <w:sz w:val="21"/>
                <w:szCs w:val="21"/>
              </w:rPr>
              <w:t>目前持股数</w:t>
            </w:r>
          </w:p>
        </w:tc>
        <w:tc>
          <w:tcPr>
            <w:tcW w:w="1373" w:type="dxa"/>
            <w:vAlign w:val="center"/>
          </w:tcPr>
          <w:p w14:paraId="5117B512" w14:textId="77777777" w:rsidR="00AD43F6" w:rsidRPr="00606CF9" w:rsidRDefault="00AD43F6" w:rsidP="00785BD8">
            <w:pPr>
              <w:widowControl w:val="0"/>
              <w:spacing w:beforeLines="50" w:before="156" w:afterLines="50" w:after="156"/>
              <w:rPr>
                <w:rFonts w:cs="Times New Roman"/>
                <w:b/>
                <w:kern w:val="0"/>
                <w:sz w:val="21"/>
                <w:szCs w:val="21"/>
              </w:rPr>
            </w:pPr>
            <w:r w:rsidRPr="00606CF9">
              <w:rPr>
                <w:rFonts w:cs="Times New Roman" w:hint="eastAsia"/>
                <w:b/>
                <w:kern w:val="0"/>
                <w:sz w:val="21"/>
                <w:szCs w:val="21"/>
              </w:rPr>
              <w:t>目前持股数占公司总股本比例</w:t>
            </w:r>
            <w:r w:rsidR="00441CA0">
              <w:rPr>
                <w:rFonts w:cs="Times New Roman" w:hint="eastAsia"/>
                <w:b/>
                <w:kern w:val="0"/>
                <w:sz w:val="21"/>
                <w:szCs w:val="21"/>
              </w:rPr>
              <w:t>（</w:t>
            </w:r>
            <w:r w:rsidR="00441CA0">
              <w:rPr>
                <w:rFonts w:cs="Times New Roman" w:hint="eastAsia"/>
                <w:b/>
                <w:kern w:val="0"/>
                <w:sz w:val="21"/>
                <w:szCs w:val="21"/>
              </w:rPr>
              <w:t>%</w:t>
            </w:r>
            <w:r w:rsidR="00441CA0">
              <w:rPr>
                <w:rFonts w:cs="Times New Roman" w:hint="eastAsia"/>
                <w:b/>
                <w:kern w:val="0"/>
                <w:sz w:val="21"/>
                <w:szCs w:val="21"/>
              </w:rPr>
              <w:t>）</w:t>
            </w:r>
          </w:p>
        </w:tc>
        <w:tc>
          <w:tcPr>
            <w:tcW w:w="1387" w:type="dxa"/>
            <w:vAlign w:val="center"/>
          </w:tcPr>
          <w:p w14:paraId="158A6608" w14:textId="77777777" w:rsidR="00AD43F6" w:rsidRPr="00606CF9" w:rsidRDefault="00AD43F6" w:rsidP="00785BD8">
            <w:pPr>
              <w:widowControl w:val="0"/>
              <w:spacing w:beforeLines="50" w:before="156" w:afterLines="50" w:after="156"/>
              <w:rPr>
                <w:rFonts w:cs="Times New Roman"/>
                <w:b/>
                <w:kern w:val="0"/>
                <w:sz w:val="21"/>
                <w:szCs w:val="21"/>
              </w:rPr>
            </w:pPr>
            <w:r w:rsidRPr="00606CF9">
              <w:rPr>
                <w:rFonts w:cs="Times New Roman" w:hint="eastAsia"/>
                <w:b/>
                <w:kern w:val="0"/>
                <w:sz w:val="21"/>
                <w:szCs w:val="21"/>
              </w:rPr>
              <w:t>本次拟划转股数</w:t>
            </w:r>
          </w:p>
        </w:tc>
        <w:tc>
          <w:tcPr>
            <w:tcW w:w="1424" w:type="dxa"/>
            <w:vAlign w:val="center"/>
          </w:tcPr>
          <w:p w14:paraId="7979095C" w14:textId="77777777" w:rsidR="00AD43F6" w:rsidRPr="00606CF9" w:rsidRDefault="00AD43F6" w:rsidP="00785BD8">
            <w:pPr>
              <w:widowControl w:val="0"/>
              <w:spacing w:beforeLines="50" w:before="156" w:afterLines="50" w:after="156"/>
              <w:rPr>
                <w:rFonts w:cs="Times New Roman"/>
                <w:b/>
                <w:kern w:val="0"/>
                <w:sz w:val="21"/>
                <w:szCs w:val="21"/>
              </w:rPr>
            </w:pPr>
            <w:r w:rsidRPr="00606CF9">
              <w:rPr>
                <w:rFonts w:cs="Times New Roman" w:hint="eastAsia"/>
                <w:b/>
                <w:kern w:val="0"/>
                <w:sz w:val="21"/>
                <w:szCs w:val="21"/>
              </w:rPr>
              <w:t>划转完成后持股数</w:t>
            </w:r>
          </w:p>
        </w:tc>
        <w:tc>
          <w:tcPr>
            <w:tcW w:w="1324" w:type="dxa"/>
            <w:vAlign w:val="center"/>
          </w:tcPr>
          <w:p w14:paraId="33690110" w14:textId="77777777" w:rsidR="00AD43F6" w:rsidRPr="00606CF9" w:rsidRDefault="00AD43F6" w:rsidP="00785BD8">
            <w:pPr>
              <w:widowControl w:val="0"/>
              <w:spacing w:beforeLines="50" w:before="156" w:afterLines="50" w:after="156"/>
              <w:rPr>
                <w:rFonts w:cs="Times New Roman"/>
                <w:b/>
                <w:kern w:val="0"/>
                <w:sz w:val="21"/>
                <w:szCs w:val="21"/>
              </w:rPr>
            </w:pPr>
            <w:r w:rsidRPr="00606CF9">
              <w:rPr>
                <w:rFonts w:cs="Times New Roman" w:hint="eastAsia"/>
                <w:b/>
                <w:kern w:val="0"/>
                <w:sz w:val="21"/>
                <w:szCs w:val="21"/>
              </w:rPr>
              <w:t>划转完成后持股占公司总股本比例</w:t>
            </w:r>
            <w:r w:rsidR="00441CA0">
              <w:rPr>
                <w:rFonts w:cs="Times New Roman" w:hint="eastAsia"/>
                <w:b/>
                <w:kern w:val="0"/>
                <w:sz w:val="21"/>
                <w:szCs w:val="21"/>
              </w:rPr>
              <w:t>（</w:t>
            </w:r>
            <w:r w:rsidR="00441CA0">
              <w:rPr>
                <w:rFonts w:cs="Times New Roman" w:hint="eastAsia"/>
                <w:b/>
                <w:kern w:val="0"/>
                <w:sz w:val="21"/>
                <w:szCs w:val="21"/>
              </w:rPr>
              <w:t>%</w:t>
            </w:r>
            <w:r w:rsidR="00441CA0">
              <w:rPr>
                <w:rFonts w:cs="Times New Roman" w:hint="eastAsia"/>
                <w:b/>
                <w:kern w:val="0"/>
                <w:sz w:val="21"/>
                <w:szCs w:val="21"/>
              </w:rPr>
              <w:t>）</w:t>
            </w:r>
          </w:p>
        </w:tc>
      </w:tr>
      <w:tr w:rsidR="00606CF9" w:rsidRPr="00606CF9" w14:paraId="6E54427E" w14:textId="77777777" w:rsidTr="00606CF9">
        <w:tc>
          <w:tcPr>
            <w:tcW w:w="1364" w:type="dxa"/>
            <w:vAlign w:val="center"/>
          </w:tcPr>
          <w:p w14:paraId="54BA0A07" w14:textId="77777777" w:rsidR="00606CF9" w:rsidRPr="00606CF9" w:rsidRDefault="006870D5" w:rsidP="00785BD8">
            <w:pPr>
              <w:widowControl w:val="0"/>
              <w:spacing w:beforeLines="50" w:before="156" w:afterLines="50" w:after="156"/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 w:hint="eastAsia"/>
                <w:kern w:val="0"/>
                <w:sz w:val="21"/>
                <w:szCs w:val="21"/>
              </w:rPr>
              <w:t>山能集团</w:t>
            </w:r>
          </w:p>
        </w:tc>
        <w:tc>
          <w:tcPr>
            <w:tcW w:w="1424" w:type="dxa"/>
            <w:vAlign w:val="center"/>
          </w:tcPr>
          <w:p w14:paraId="001FA3CF" w14:textId="77777777" w:rsidR="00606CF9" w:rsidRPr="00606CF9" w:rsidRDefault="00606CF9" w:rsidP="00785BD8">
            <w:pPr>
              <w:widowControl w:val="0"/>
              <w:spacing w:beforeLines="50" w:before="156" w:afterLines="50" w:after="156"/>
              <w:jc w:val="right"/>
              <w:rPr>
                <w:rFonts w:cs="Times New Roman"/>
                <w:kern w:val="0"/>
                <w:sz w:val="21"/>
                <w:szCs w:val="21"/>
              </w:rPr>
            </w:pPr>
            <w:r w:rsidRPr="00606CF9">
              <w:rPr>
                <w:sz w:val="21"/>
                <w:szCs w:val="21"/>
              </w:rPr>
              <w:t>1,875,662,151</w:t>
            </w:r>
          </w:p>
        </w:tc>
        <w:tc>
          <w:tcPr>
            <w:tcW w:w="1373" w:type="dxa"/>
            <w:vAlign w:val="center"/>
          </w:tcPr>
          <w:p w14:paraId="58DBF9F0" w14:textId="77777777" w:rsidR="00606CF9" w:rsidRPr="00606CF9" w:rsidRDefault="00606CF9" w:rsidP="00785BD8">
            <w:pPr>
              <w:widowControl w:val="0"/>
              <w:spacing w:beforeLines="50" w:before="156" w:afterLines="50" w:after="156"/>
              <w:jc w:val="right"/>
              <w:rPr>
                <w:rFonts w:cs="Times New Roman"/>
                <w:kern w:val="0"/>
                <w:sz w:val="21"/>
                <w:szCs w:val="21"/>
              </w:rPr>
            </w:pPr>
            <w:r w:rsidRPr="00606CF9">
              <w:rPr>
                <w:sz w:val="21"/>
                <w:szCs w:val="21"/>
              </w:rPr>
              <w:t>38.48</w:t>
            </w:r>
          </w:p>
        </w:tc>
        <w:tc>
          <w:tcPr>
            <w:tcW w:w="1387" w:type="dxa"/>
            <w:vAlign w:val="center"/>
          </w:tcPr>
          <w:p w14:paraId="0A105FCF" w14:textId="77777777" w:rsidR="00606CF9" w:rsidRPr="00606CF9" w:rsidRDefault="00606CF9" w:rsidP="00785BD8">
            <w:pPr>
              <w:widowControl w:val="0"/>
              <w:spacing w:beforeLines="50" w:before="156" w:afterLines="50" w:after="156"/>
              <w:jc w:val="right"/>
              <w:rPr>
                <w:rFonts w:cs="Times New Roman"/>
                <w:kern w:val="0"/>
                <w:sz w:val="21"/>
                <w:szCs w:val="21"/>
              </w:rPr>
            </w:pPr>
            <w:r w:rsidRPr="00606CF9">
              <w:rPr>
                <w:sz w:val="21"/>
                <w:szCs w:val="21"/>
              </w:rPr>
              <w:t>387,385,137</w:t>
            </w:r>
          </w:p>
        </w:tc>
        <w:tc>
          <w:tcPr>
            <w:tcW w:w="1424" w:type="dxa"/>
            <w:vAlign w:val="center"/>
          </w:tcPr>
          <w:p w14:paraId="31382E1D" w14:textId="77777777" w:rsidR="00606CF9" w:rsidRPr="00606CF9" w:rsidRDefault="00606CF9" w:rsidP="00785BD8">
            <w:pPr>
              <w:widowControl w:val="0"/>
              <w:spacing w:beforeLines="50" w:before="156" w:afterLines="50" w:after="156"/>
              <w:jc w:val="right"/>
              <w:rPr>
                <w:rFonts w:cs="Times New Roman"/>
                <w:kern w:val="0"/>
                <w:sz w:val="21"/>
                <w:szCs w:val="21"/>
              </w:rPr>
            </w:pPr>
            <w:r w:rsidRPr="00606CF9">
              <w:rPr>
                <w:sz w:val="21"/>
                <w:szCs w:val="21"/>
              </w:rPr>
              <w:t>2,263,047,288</w:t>
            </w:r>
          </w:p>
        </w:tc>
        <w:tc>
          <w:tcPr>
            <w:tcW w:w="1324" w:type="dxa"/>
            <w:vAlign w:val="center"/>
          </w:tcPr>
          <w:p w14:paraId="534DE4ED" w14:textId="77777777" w:rsidR="00606CF9" w:rsidRPr="00606CF9" w:rsidRDefault="00606CF9" w:rsidP="00785BD8">
            <w:pPr>
              <w:widowControl w:val="0"/>
              <w:spacing w:beforeLines="50" w:before="156" w:afterLines="50" w:after="156"/>
              <w:jc w:val="right"/>
              <w:rPr>
                <w:rFonts w:cs="Times New Roman"/>
                <w:kern w:val="0"/>
                <w:sz w:val="21"/>
                <w:szCs w:val="21"/>
              </w:rPr>
            </w:pPr>
            <w:r w:rsidRPr="00606CF9">
              <w:rPr>
                <w:sz w:val="21"/>
                <w:szCs w:val="21"/>
              </w:rPr>
              <w:t>46.43</w:t>
            </w:r>
          </w:p>
        </w:tc>
      </w:tr>
      <w:tr w:rsidR="00542D50" w:rsidRPr="00606CF9" w14:paraId="168654AE" w14:textId="77777777" w:rsidTr="00542D50">
        <w:tc>
          <w:tcPr>
            <w:tcW w:w="1364" w:type="dxa"/>
            <w:vAlign w:val="center"/>
          </w:tcPr>
          <w:p w14:paraId="524C8C48" w14:textId="2490BE5D" w:rsidR="00542D50" w:rsidRPr="00606CF9" w:rsidRDefault="00542D50" w:rsidP="00542D50">
            <w:pPr>
              <w:widowControl w:val="0"/>
              <w:spacing w:beforeLines="50" w:before="156" w:afterLines="50" w:after="156"/>
              <w:rPr>
                <w:rFonts w:cs="Times New Roman"/>
                <w:kern w:val="0"/>
                <w:sz w:val="21"/>
                <w:szCs w:val="21"/>
              </w:rPr>
            </w:pPr>
            <w:r w:rsidRPr="00542D50">
              <w:rPr>
                <w:rFonts w:cs="Times New Roman" w:hint="eastAsia"/>
                <w:kern w:val="0"/>
                <w:sz w:val="21"/>
                <w:szCs w:val="21"/>
              </w:rPr>
              <w:t>兖矿集团</w:t>
            </w:r>
            <w:r w:rsidRPr="00542D50">
              <w:rPr>
                <w:rFonts w:cs="Times New Roman" w:hint="eastAsia"/>
                <w:kern w:val="0"/>
                <w:sz w:val="21"/>
                <w:szCs w:val="21"/>
              </w:rPr>
              <w:t>-</w:t>
            </w:r>
            <w:r w:rsidRPr="00542D50">
              <w:rPr>
                <w:rFonts w:cs="Times New Roman" w:hint="eastAsia"/>
                <w:kern w:val="0"/>
                <w:sz w:val="21"/>
                <w:szCs w:val="21"/>
              </w:rPr>
              <w:t>中信证券</w:t>
            </w:r>
            <w:r w:rsidRPr="00542D50">
              <w:rPr>
                <w:rFonts w:cs="Times New Roman" w:hint="eastAsia"/>
                <w:kern w:val="0"/>
                <w:sz w:val="21"/>
                <w:szCs w:val="21"/>
              </w:rPr>
              <w:t>-17</w:t>
            </w:r>
            <w:r w:rsidRPr="00542D50">
              <w:rPr>
                <w:rFonts w:cs="Times New Roman" w:hint="eastAsia"/>
                <w:kern w:val="0"/>
                <w:sz w:val="21"/>
                <w:szCs w:val="21"/>
              </w:rPr>
              <w:t>兖</w:t>
            </w:r>
            <w:r w:rsidRPr="00542D50">
              <w:rPr>
                <w:rFonts w:cs="Times New Roman" w:hint="eastAsia"/>
                <w:kern w:val="0"/>
                <w:sz w:val="21"/>
                <w:szCs w:val="21"/>
              </w:rPr>
              <w:t>02EB</w:t>
            </w:r>
            <w:r w:rsidRPr="00542D50">
              <w:rPr>
                <w:rFonts w:cs="Times New Roman" w:hint="eastAsia"/>
                <w:kern w:val="0"/>
                <w:sz w:val="21"/>
                <w:szCs w:val="21"/>
              </w:rPr>
              <w:t>担保及信托财产专户</w:t>
            </w:r>
          </w:p>
        </w:tc>
        <w:tc>
          <w:tcPr>
            <w:tcW w:w="1424" w:type="dxa"/>
            <w:vAlign w:val="center"/>
          </w:tcPr>
          <w:p w14:paraId="5DAE8DEE" w14:textId="78487999" w:rsidR="00542D50" w:rsidRPr="00606CF9" w:rsidRDefault="00542D50" w:rsidP="00542D50">
            <w:pPr>
              <w:widowControl w:val="0"/>
              <w:spacing w:beforeLines="50" w:before="156" w:afterLines="50" w:after="156"/>
              <w:jc w:val="right"/>
              <w:rPr>
                <w:sz w:val="21"/>
                <w:szCs w:val="21"/>
              </w:rPr>
            </w:pPr>
            <w:r w:rsidRPr="00542D50">
              <w:rPr>
                <w:sz w:val="21"/>
                <w:szCs w:val="21"/>
              </w:rPr>
              <w:t>346,507,272</w:t>
            </w:r>
          </w:p>
        </w:tc>
        <w:tc>
          <w:tcPr>
            <w:tcW w:w="1373" w:type="dxa"/>
            <w:vAlign w:val="center"/>
          </w:tcPr>
          <w:p w14:paraId="0C87D342" w14:textId="769431B5" w:rsidR="00542D50" w:rsidRPr="00606CF9" w:rsidRDefault="00542D50" w:rsidP="00542D50">
            <w:pPr>
              <w:widowControl w:val="0"/>
              <w:spacing w:beforeLines="50" w:before="156" w:afterLines="50" w:after="156"/>
              <w:jc w:val="right"/>
              <w:rPr>
                <w:sz w:val="21"/>
                <w:szCs w:val="21"/>
              </w:rPr>
            </w:pPr>
            <w:r w:rsidRPr="00542D50">
              <w:rPr>
                <w:sz w:val="21"/>
                <w:szCs w:val="21"/>
              </w:rPr>
              <w:t>7.11</w:t>
            </w:r>
          </w:p>
        </w:tc>
        <w:tc>
          <w:tcPr>
            <w:tcW w:w="1387" w:type="dxa"/>
            <w:vAlign w:val="center"/>
          </w:tcPr>
          <w:p w14:paraId="51C03EC0" w14:textId="45D69933" w:rsidR="00542D50" w:rsidRPr="00606CF9" w:rsidRDefault="00542D50" w:rsidP="00542D50">
            <w:pPr>
              <w:widowControl w:val="0"/>
              <w:spacing w:beforeLines="50" w:before="156" w:afterLines="50" w:after="156"/>
              <w:jc w:val="right"/>
              <w:rPr>
                <w:sz w:val="21"/>
                <w:szCs w:val="21"/>
              </w:rPr>
            </w:pPr>
            <w:r w:rsidRPr="00542D50">
              <w:rPr>
                <w:sz w:val="21"/>
                <w:szCs w:val="21"/>
              </w:rPr>
              <w:t>-346,507,272</w:t>
            </w:r>
          </w:p>
        </w:tc>
        <w:tc>
          <w:tcPr>
            <w:tcW w:w="1424" w:type="dxa"/>
            <w:vAlign w:val="center"/>
          </w:tcPr>
          <w:p w14:paraId="5734394B" w14:textId="74B32BAC" w:rsidR="00542D50" w:rsidRDefault="00542D50" w:rsidP="00542D50">
            <w:pPr>
              <w:widowControl w:val="0"/>
              <w:spacing w:beforeLines="50" w:before="156" w:afterLines="50" w:after="156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</w:p>
        </w:tc>
        <w:tc>
          <w:tcPr>
            <w:tcW w:w="1324" w:type="dxa"/>
            <w:vAlign w:val="center"/>
          </w:tcPr>
          <w:p w14:paraId="0986E185" w14:textId="4566A7AB" w:rsidR="00542D50" w:rsidRDefault="00542D50" w:rsidP="00542D50">
            <w:pPr>
              <w:widowControl w:val="0"/>
              <w:spacing w:beforeLines="50" w:before="156" w:afterLines="50" w:after="156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</w:p>
        </w:tc>
      </w:tr>
      <w:tr w:rsidR="00542D50" w:rsidRPr="00606CF9" w14:paraId="60641D28" w14:textId="77777777" w:rsidTr="00542D50">
        <w:tc>
          <w:tcPr>
            <w:tcW w:w="1364" w:type="dxa"/>
            <w:vAlign w:val="center"/>
          </w:tcPr>
          <w:p w14:paraId="048B8C64" w14:textId="179B8CC9" w:rsidR="00542D50" w:rsidRPr="00606CF9" w:rsidRDefault="00542D50" w:rsidP="00542D50">
            <w:pPr>
              <w:widowControl w:val="0"/>
              <w:spacing w:beforeLines="50" w:before="156" w:afterLines="50" w:after="156"/>
              <w:rPr>
                <w:rFonts w:cs="Times New Roman"/>
                <w:kern w:val="0"/>
                <w:sz w:val="21"/>
                <w:szCs w:val="21"/>
              </w:rPr>
            </w:pPr>
            <w:r w:rsidRPr="00542D50">
              <w:rPr>
                <w:rFonts w:cs="Times New Roman" w:hint="eastAsia"/>
                <w:kern w:val="0"/>
                <w:sz w:val="21"/>
                <w:szCs w:val="21"/>
              </w:rPr>
              <w:t>兖矿集团</w:t>
            </w:r>
            <w:r w:rsidRPr="00542D50">
              <w:rPr>
                <w:rFonts w:cs="Times New Roman" w:hint="eastAsia"/>
                <w:kern w:val="0"/>
                <w:sz w:val="21"/>
                <w:szCs w:val="21"/>
              </w:rPr>
              <w:t>-</w:t>
            </w:r>
            <w:r w:rsidRPr="00542D50">
              <w:rPr>
                <w:rFonts w:cs="Times New Roman" w:hint="eastAsia"/>
                <w:kern w:val="0"/>
                <w:sz w:val="21"/>
                <w:szCs w:val="21"/>
              </w:rPr>
              <w:t>中信证券</w:t>
            </w:r>
            <w:r w:rsidRPr="00542D50">
              <w:rPr>
                <w:rFonts w:cs="Times New Roman" w:hint="eastAsia"/>
                <w:kern w:val="0"/>
                <w:sz w:val="21"/>
                <w:szCs w:val="21"/>
              </w:rPr>
              <w:t>-18</w:t>
            </w:r>
            <w:r w:rsidRPr="00542D50">
              <w:rPr>
                <w:rFonts w:cs="Times New Roman" w:hint="eastAsia"/>
                <w:kern w:val="0"/>
                <w:sz w:val="21"/>
                <w:szCs w:val="21"/>
              </w:rPr>
              <w:t>兖</w:t>
            </w:r>
            <w:r w:rsidRPr="00542D50">
              <w:rPr>
                <w:rFonts w:cs="Times New Roman" w:hint="eastAsia"/>
                <w:kern w:val="0"/>
                <w:sz w:val="21"/>
                <w:szCs w:val="21"/>
              </w:rPr>
              <w:t>01EB</w:t>
            </w:r>
            <w:r w:rsidRPr="00542D50">
              <w:rPr>
                <w:rFonts w:cs="Times New Roman" w:hint="eastAsia"/>
                <w:kern w:val="0"/>
                <w:sz w:val="21"/>
                <w:szCs w:val="21"/>
              </w:rPr>
              <w:t>担保及信托财产专户</w:t>
            </w:r>
          </w:p>
        </w:tc>
        <w:tc>
          <w:tcPr>
            <w:tcW w:w="1424" w:type="dxa"/>
            <w:vAlign w:val="center"/>
          </w:tcPr>
          <w:p w14:paraId="78957D6A" w14:textId="79E951EB" w:rsidR="00542D50" w:rsidRPr="00606CF9" w:rsidRDefault="00542D50" w:rsidP="00542D50">
            <w:pPr>
              <w:widowControl w:val="0"/>
              <w:spacing w:beforeLines="50" w:before="156" w:afterLines="50" w:after="156"/>
              <w:jc w:val="right"/>
              <w:rPr>
                <w:sz w:val="21"/>
                <w:szCs w:val="21"/>
              </w:rPr>
            </w:pPr>
            <w:r w:rsidRPr="00542D50">
              <w:rPr>
                <w:sz w:val="21"/>
                <w:szCs w:val="21"/>
              </w:rPr>
              <w:t>40,877,865</w:t>
            </w:r>
          </w:p>
        </w:tc>
        <w:tc>
          <w:tcPr>
            <w:tcW w:w="1373" w:type="dxa"/>
            <w:vAlign w:val="center"/>
          </w:tcPr>
          <w:p w14:paraId="19F94857" w14:textId="1A0D3C5B" w:rsidR="00542D50" w:rsidRPr="00606CF9" w:rsidRDefault="00542D50" w:rsidP="00542D50">
            <w:pPr>
              <w:widowControl w:val="0"/>
              <w:spacing w:beforeLines="50" w:before="156" w:afterLines="50" w:after="156"/>
              <w:jc w:val="right"/>
              <w:rPr>
                <w:sz w:val="21"/>
                <w:szCs w:val="21"/>
              </w:rPr>
            </w:pPr>
            <w:r w:rsidRPr="00542D50">
              <w:rPr>
                <w:sz w:val="21"/>
                <w:szCs w:val="21"/>
              </w:rPr>
              <w:t>0.84</w:t>
            </w:r>
          </w:p>
        </w:tc>
        <w:tc>
          <w:tcPr>
            <w:tcW w:w="1387" w:type="dxa"/>
            <w:vAlign w:val="center"/>
          </w:tcPr>
          <w:p w14:paraId="0B58FCC3" w14:textId="68F8A034" w:rsidR="00542D50" w:rsidRPr="00606CF9" w:rsidRDefault="00542D50" w:rsidP="00542D50">
            <w:pPr>
              <w:widowControl w:val="0"/>
              <w:spacing w:beforeLines="50" w:before="156" w:afterLines="50" w:after="156"/>
              <w:jc w:val="right"/>
              <w:rPr>
                <w:sz w:val="21"/>
                <w:szCs w:val="21"/>
              </w:rPr>
            </w:pPr>
            <w:r w:rsidRPr="00542D50">
              <w:rPr>
                <w:sz w:val="21"/>
                <w:szCs w:val="21"/>
              </w:rPr>
              <w:t>-40,877,865</w:t>
            </w:r>
          </w:p>
        </w:tc>
        <w:tc>
          <w:tcPr>
            <w:tcW w:w="1424" w:type="dxa"/>
            <w:vAlign w:val="center"/>
          </w:tcPr>
          <w:p w14:paraId="6FE57F6E" w14:textId="2CA9A55C" w:rsidR="00542D50" w:rsidRDefault="00542D50" w:rsidP="00542D50">
            <w:pPr>
              <w:widowControl w:val="0"/>
              <w:spacing w:beforeLines="50" w:before="156" w:afterLines="50" w:after="156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</w:p>
        </w:tc>
        <w:tc>
          <w:tcPr>
            <w:tcW w:w="1324" w:type="dxa"/>
            <w:vAlign w:val="center"/>
          </w:tcPr>
          <w:p w14:paraId="5256A0D0" w14:textId="1A5D8765" w:rsidR="00542D50" w:rsidRDefault="00542D50" w:rsidP="00542D50">
            <w:pPr>
              <w:widowControl w:val="0"/>
              <w:spacing w:beforeLines="50" w:before="156" w:afterLines="50" w:after="156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</w:p>
        </w:tc>
      </w:tr>
      <w:tr w:rsidR="00606CF9" w:rsidRPr="00542D50" w14:paraId="3CA1649D" w14:textId="77777777" w:rsidTr="00606CF9">
        <w:tc>
          <w:tcPr>
            <w:tcW w:w="1364" w:type="dxa"/>
            <w:vAlign w:val="center"/>
          </w:tcPr>
          <w:p w14:paraId="4AD7CDD6" w14:textId="77777777" w:rsidR="00606CF9" w:rsidRPr="00542D50" w:rsidRDefault="00606CF9" w:rsidP="00785BD8">
            <w:pPr>
              <w:widowControl w:val="0"/>
              <w:spacing w:beforeLines="50" w:before="156" w:afterLines="50" w:after="156"/>
              <w:rPr>
                <w:rFonts w:cs="Times New Roman"/>
                <w:b/>
                <w:kern w:val="0"/>
                <w:sz w:val="21"/>
                <w:szCs w:val="21"/>
              </w:rPr>
            </w:pPr>
            <w:r w:rsidRPr="00542D50">
              <w:rPr>
                <w:rFonts w:cs="Times New Roman" w:hint="eastAsia"/>
                <w:b/>
                <w:kern w:val="0"/>
                <w:sz w:val="21"/>
                <w:szCs w:val="21"/>
              </w:rPr>
              <w:t>合计</w:t>
            </w:r>
          </w:p>
        </w:tc>
        <w:tc>
          <w:tcPr>
            <w:tcW w:w="1424" w:type="dxa"/>
            <w:vAlign w:val="center"/>
          </w:tcPr>
          <w:p w14:paraId="540068DA" w14:textId="77777777" w:rsidR="00606CF9" w:rsidRPr="00542D50" w:rsidRDefault="00606CF9" w:rsidP="00785BD8">
            <w:pPr>
              <w:widowControl w:val="0"/>
              <w:spacing w:beforeLines="50" w:before="156" w:afterLines="50" w:after="156"/>
              <w:jc w:val="right"/>
              <w:rPr>
                <w:rFonts w:cs="Times New Roman"/>
                <w:b/>
                <w:kern w:val="0"/>
                <w:sz w:val="21"/>
                <w:szCs w:val="21"/>
              </w:rPr>
            </w:pPr>
            <w:r w:rsidRPr="00DC54E1">
              <w:rPr>
                <w:b/>
                <w:sz w:val="21"/>
                <w:szCs w:val="21"/>
              </w:rPr>
              <w:t>2,263,047,288</w:t>
            </w:r>
          </w:p>
        </w:tc>
        <w:tc>
          <w:tcPr>
            <w:tcW w:w="1373" w:type="dxa"/>
            <w:vAlign w:val="center"/>
          </w:tcPr>
          <w:p w14:paraId="2EC3526E" w14:textId="77777777" w:rsidR="00606CF9" w:rsidRPr="00542D50" w:rsidRDefault="00606CF9" w:rsidP="00785BD8">
            <w:pPr>
              <w:widowControl w:val="0"/>
              <w:spacing w:beforeLines="50" w:before="156" w:afterLines="50" w:after="156"/>
              <w:jc w:val="right"/>
              <w:rPr>
                <w:rFonts w:cs="Times New Roman"/>
                <w:b/>
                <w:kern w:val="0"/>
                <w:sz w:val="21"/>
                <w:szCs w:val="21"/>
              </w:rPr>
            </w:pPr>
            <w:r w:rsidRPr="00DC54E1">
              <w:rPr>
                <w:b/>
                <w:sz w:val="21"/>
                <w:szCs w:val="21"/>
              </w:rPr>
              <w:t>46.43</w:t>
            </w:r>
          </w:p>
        </w:tc>
        <w:tc>
          <w:tcPr>
            <w:tcW w:w="1387" w:type="dxa"/>
            <w:vAlign w:val="center"/>
          </w:tcPr>
          <w:p w14:paraId="163E1AA2" w14:textId="77777777" w:rsidR="00606CF9" w:rsidRPr="00542D50" w:rsidRDefault="00606CF9" w:rsidP="00785BD8">
            <w:pPr>
              <w:widowControl w:val="0"/>
              <w:spacing w:beforeLines="50" w:before="156" w:afterLines="50" w:after="156"/>
              <w:jc w:val="right"/>
              <w:rPr>
                <w:rFonts w:cs="Times New Roman"/>
                <w:b/>
                <w:kern w:val="0"/>
                <w:sz w:val="21"/>
                <w:szCs w:val="21"/>
              </w:rPr>
            </w:pPr>
            <w:r w:rsidRPr="00DC54E1">
              <w:rPr>
                <w:b/>
                <w:sz w:val="21"/>
                <w:szCs w:val="21"/>
              </w:rPr>
              <w:t>-</w:t>
            </w:r>
          </w:p>
        </w:tc>
        <w:tc>
          <w:tcPr>
            <w:tcW w:w="1424" w:type="dxa"/>
            <w:vAlign w:val="center"/>
          </w:tcPr>
          <w:p w14:paraId="67907611" w14:textId="77777777" w:rsidR="00606CF9" w:rsidRPr="00542D50" w:rsidRDefault="00606CF9" w:rsidP="00785BD8">
            <w:pPr>
              <w:widowControl w:val="0"/>
              <w:spacing w:beforeLines="50" w:before="156" w:afterLines="50" w:after="156"/>
              <w:jc w:val="right"/>
              <w:rPr>
                <w:rFonts w:cs="Times New Roman"/>
                <w:b/>
                <w:kern w:val="0"/>
                <w:sz w:val="21"/>
                <w:szCs w:val="21"/>
              </w:rPr>
            </w:pPr>
            <w:r w:rsidRPr="00DC54E1">
              <w:rPr>
                <w:b/>
                <w:sz w:val="21"/>
                <w:szCs w:val="21"/>
              </w:rPr>
              <w:t>2,263,047,288</w:t>
            </w:r>
          </w:p>
        </w:tc>
        <w:tc>
          <w:tcPr>
            <w:tcW w:w="1324" w:type="dxa"/>
            <w:vAlign w:val="center"/>
          </w:tcPr>
          <w:p w14:paraId="2C0E5360" w14:textId="77777777" w:rsidR="00606CF9" w:rsidRPr="00542D50" w:rsidRDefault="00606CF9" w:rsidP="00785BD8">
            <w:pPr>
              <w:widowControl w:val="0"/>
              <w:spacing w:beforeLines="50" w:before="156" w:afterLines="50" w:after="156"/>
              <w:jc w:val="right"/>
              <w:rPr>
                <w:rFonts w:cs="Times New Roman"/>
                <w:b/>
                <w:kern w:val="0"/>
                <w:sz w:val="21"/>
                <w:szCs w:val="21"/>
              </w:rPr>
            </w:pPr>
            <w:r w:rsidRPr="00DC54E1">
              <w:rPr>
                <w:b/>
                <w:sz w:val="21"/>
                <w:szCs w:val="21"/>
              </w:rPr>
              <w:t>46.43</w:t>
            </w:r>
          </w:p>
        </w:tc>
      </w:tr>
    </w:tbl>
    <w:p w14:paraId="3AFFE93F" w14:textId="5939C571" w:rsidR="00944F06" w:rsidRDefault="00DE79D5" w:rsidP="00785E29">
      <w:pPr>
        <w:widowControl w:val="0"/>
        <w:spacing w:line="560" w:lineRule="exact"/>
        <w:ind w:firstLineChars="200" w:firstLine="560"/>
        <w:jc w:val="both"/>
        <w:rPr>
          <w:rFonts w:ascii="宋体" w:hAnsi="宋体" w:cs="Times New Roman"/>
          <w:kern w:val="0"/>
          <w:sz w:val="28"/>
          <w:szCs w:val="28"/>
        </w:rPr>
      </w:pPr>
      <w:r w:rsidRPr="006870D5">
        <w:rPr>
          <w:rFonts w:ascii="宋体" w:hAnsi="宋体" w:cs="Times New Roman" w:hint="eastAsia"/>
          <w:kern w:val="0"/>
          <w:sz w:val="28"/>
          <w:szCs w:val="28"/>
        </w:rPr>
        <w:t>公司将持续关注山能集团</w:t>
      </w:r>
      <w:r w:rsidR="00DA54A3">
        <w:rPr>
          <w:rFonts w:ascii="宋体" w:hAnsi="宋体" w:cs="Times New Roman" w:hint="eastAsia"/>
          <w:kern w:val="0"/>
          <w:sz w:val="28"/>
          <w:szCs w:val="28"/>
        </w:rPr>
        <w:t>及中信证券</w:t>
      </w:r>
      <w:r w:rsidRPr="006870D5">
        <w:rPr>
          <w:rFonts w:ascii="宋体" w:hAnsi="宋体" w:cs="Times New Roman" w:hint="eastAsia"/>
          <w:kern w:val="0"/>
          <w:sz w:val="28"/>
          <w:szCs w:val="28"/>
        </w:rPr>
        <w:t>办理“17兖02EB”“18兖01EB”担保及信托撤销登记的后续进展，如本公告披露情况发生变化，公司将及时履行信息披露义务，请广大投资者注意投资风险。</w:t>
      </w:r>
    </w:p>
    <w:p w14:paraId="06A3E89D" w14:textId="77777777" w:rsidR="00944F06" w:rsidRDefault="005C3838" w:rsidP="00785E29">
      <w:pPr>
        <w:widowControl w:val="0"/>
        <w:spacing w:line="560" w:lineRule="exact"/>
        <w:ind w:firstLineChars="200" w:firstLine="560"/>
        <w:jc w:val="both"/>
        <w:rPr>
          <w:rFonts w:ascii="宋体" w:hAnsi="宋体" w:cs="Times New Roman"/>
          <w:kern w:val="0"/>
          <w:sz w:val="28"/>
          <w:szCs w:val="28"/>
        </w:rPr>
      </w:pPr>
      <w:r w:rsidRPr="006870D5">
        <w:rPr>
          <w:rFonts w:ascii="宋体" w:hAnsi="宋体" w:cs="Times New Roman"/>
          <w:kern w:val="0"/>
          <w:sz w:val="28"/>
          <w:szCs w:val="28"/>
        </w:rPr>
        <w:t>特此公告。</w:t>
      </w:r>
    </w:p>
    <w:p w14:paraId="591F7087" w14:textId="77777777" w:rsidR="00944F06" w:rsidRDefault="00944F06" w:rsidP="00785E29">
      <w:pPr>
        <w:widowControl w:val="0"/>
        <w:spacing w:line="560" w:lineRule="exact"/>
        <w:jc w:val="right"/>
        <w:rPr>
          <w:rFonts w:ascii="宋体" w:hAnsi="宋体" w:cs="Times New Roman"/>
          <w:kern w:val="0"/>
          <w:sz w:val="28"/>
          <w:szCs w:val="28"/>
        </w:rPr>
      </w:pPr>
    </w:p>
    <w:p w14:paraId="262CCC4D" w14:textId="77777777" w:rsidR="00944F06" w:rsidRDefault="00944F06" w:rsidP="00785E29">
      <w:pPr>
        <w:widowControl w:val="0"/>
        <w:spacing w:line="560" w:lineRule="exact"/>
        <w:jc w:val="right"/>
        <w:rPr>
          <w:rFonts w:ascii="宋体" w:hAnsi="宋体" w:cs="Times New Roman"/>
          <w:kern w:val="0"/>
          <w:sz w:val="28"/>
          <w:szCs w:val="28"/>
        </w:rPr>
      </w:pPr>
    </w:p>
    <w:p w14:paraId="1FA676F9" w14:textId="77777777" w:rsidR="00944F06" w:rsidRDefault="00AD43F6" w:rsidP="00785E29">
      <w:pPr>
        <w:widowControl w:val="0"/>
        <w:spacing w:line="560" w:lineRule="exact"/>
        <w:jc w:val="right"/>
        <w:rPr>
          <w:rFonts w:ascii="宋体" w:hAnsi="宋体" w:cs="Times New Roman"/>
          <w:kern w:val="0"/>
          <w:sz w:val="28"/>
          <w:szCs w:val="28"/>
        </w:rPr>
      </w:pPr>
      <w:r w:rsidRPr="006870D5">
        <w:rPr>
          <w:rFonts w:ascii="宋体" w:hAnsi="宋体" w:cs="Times New Roman" w:hint="eastAsia"/>
          <w:kern w:val="0"/>
          <w:sz w:val="28"/>
          <w:szCs w:val="28"/>
        </w:rPr>
        <w:t>兖州煤业股份有限公司董事会</w:t>
      </w:r>
    </w:p>
    <w:p w14:paraId="502EEF7E" w14:textId="1F9AB98C" w:rsidR="00942F98" w:rsidRDefault="006870D5" w:rsidP="00785E29">
      <w:pPr>
        <w:widowControl w:val="0"/>
        <w:spacing w:line="560" w:lineRule="exact"/>
        <w:ind w:right="560"/>
        <w:jc w:val="right"/>
        <w:rPr>
          <w:rFonts w:ascii="宋体" w:hAnsi="宋体" w:cs="Times New Roman"/>
          <w:kern w:val="0"/>
          <w:sz w:val="28"/>
          <w:szCs w:val="28"/>
        </w:rPr>
      </w:pPr>
      <w:r>
        <w:rPr>
          <w:rFonts w:ascii="宋体" w:hAnsi="宋体" w:cs="Times New Roman" w:hint="eastAsia"/>
          <w:kern w:val="0"/>
          <w:sz w:val="28"/>
          <w:szCs w:val="28"/>
        </w:rPr>
        <w:t>2</w:t>
      </w:r>
      <w:r>
        <w:rPr>
          <w:rFonts w:ascii="宋体" w:hAnsi="宋体" w:cs="Times New Roman"/>
          <w:kern w:val="0"/>
          <w:sz w:val="28"/>
          <w:szCs w:val="28"/>
        </w:rPr>
        <w:t>021</w:t>
      </w:r>
      <w:r w:rsidR="007B5AF5" w:rsidRPr="006870D5">
        <w:rPr>
          <w:rFonts w:ascii="宋体" w:hAnsi="宋体" w:cs="Times New Roman"/>
          <w:kern w:val="0"/>
          <w:sz w:val="28"/>
          <w:szCs w:val="28"/>
        </w:rPr>
        <w:t>年</w:t>
      </w:r>
      <w:r w:rsidR="00A05CC5">
        <w:rPr>
          <w:rFonts w:ascii="宋体" w:hAnsi="宋体" w:cs="Times New Roman" w:hint="eastAsia"/>
          <w:kern w:val="0"/>
          <w:sz w:val="28"/>
          <w:szCs w:val="28"/>
        </w:rPr>
        <w:t>5</w:t>
      </w:r>
      <w:r w:rsidR="007B5AF5" w:rsidRPr="006870D5">
        <w:rPr>
          <w:rFonts w:ascii="宋体" w:hAnsi="宋体" w:cs="Times New Roman"/>
          <w:kern w:val="0"/>
          <w:sz w:val="28"/>
          <w:szCs w:val="28"/>
        </w:rPr>
        <w:t>月</w:t>
      </w:r>
      <w:r w:rsidR="00145EA4">
        <w:rPr>
          <w:rFonts w:ascii="宋体" w:hAnsi="宋体" w:cs="Times New Roman" w:hint="eastAsia"/>
          <w:kern w:val="0"/>
          <w:sz w:val="28"/>
          <w:szCs w:val="28"/>
        </w:rPr>
        <w:t>2</w:t>
      </w:r>
      <w:r w:rsidR="00145EA4">
        <w:rPr>
          <w:rFonts w:ascii="宋体" w:hAnsi="宋体" w:cs="Times New Roman"/>
          <w:kern w:val="0"/>
          <w:sz w:val="28"/>
          <w:szCs w:val="28"/>
        </w:rPr>
        <w:t>6</w:t>
      </w:r>
      <w:r w:rsidR="007B5AF5" w:rsidRPr="006870D5">
        <w:rPr>
          <w:rFonts w:ascii="宋体" w:hAnsi="宋体" w:cs="Times New Roman"/>
          <w:kern w:val="0"/>
          <w:sz w:val="28"/>
          <w:szCs w:val="28"/>
        </w:rPr>
        <w:t>日</w:t>
      </w:r>
    </w:p>
    <w:sectPr w:rsidR="00942F98" w:rsidSect="004F474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CCD52" w14:textId="77777777" w:rsidR="00446D88" w:rsidRDefault="00446D88" w:rsidP="005C3838">
      <w:pPr>
        <w:spacing w:line="240" w:lineRule="auto"/>
      </w:pPr>
      <w:r>
        <w:separator/>
      </w:r>
    </w:p>
  </w:endnote>
  <w:endnote w:type="continuationSeparator" w:id="0">
    <w:p w14:paraId="44C30E20" w14:textId="77777777" w:rsidR="00446D88" w:rsidRDefault="00446D88" w:rsidP="005C38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7361795"/>
      <w:docPartObj>
        <w:docPartGallery w:val="Page Numbers (Bottom of Page)"/>
        <w:docPartUnique/>
      </w:docPartObj>
    </w:sdtPr>
    <w:sdtEndPr/>
    <w:sdtContent>
      <w:p w14:paraId="6B68CB45" w14:textId="13399F35" w:rsidR="007551A0" w:rsidRDefault="000E2991" w:rsidP="00DE79D5">
        <w:pPr>
          <w:pStyle w:val="a5"/>
          <w:jc w:val="center"/>
        </w:pPr>
        <w:r>
          <w:fldChar w:fldCharType="begin"/>
        </w:r>
        <w:r w:rsidR="00DE79D5">
          <w:instrText>PAGE   \* MERGEFORMAT</w:instrText>
        </w:r>
        <w:r>
          <w:fldChar w:fldCharType="separate"/>
        </w:r>
        <w:r w:rsidR="00EB01FD" w:rsidRPr="00EB01FD">
          <w:rPr>
            <w:noProof/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9089E" w14:textId="77777777" w:rsidR="00446D88" w:rsidRDefault="00446D88" w:rsidP="005C3838">
      <w:pPr>
        <w:spacing w:line="240" w:lineRule="auto"/>
      </w:pPr>
      <w:r>
        <w:separator/>
      </w:r>
    </w:p>
  </w:footnote>
  <w:footnote w:type="continuationSeparator" w:id="0">
    <w:p w14:paraId="59CB9ED1" w14:textId="77777777" w:rsidR="00446D88" w:rsidRDefault="00446D88" w:rsidP="005C383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5AF5"/>
    <w:rsid w:val="00035F1D"/>
    <w:rsid w:val="00053B49"/>
    <w:rsid w:val="0006020F"/>
    <w:rsid w:val="00067CB7"/>
    <w:rsid w:val="000752C3"/>
    <w:rsid w:val="00083D0B"/>
    <w:rsid w:val="000C60E5"/>
    <w:rsid w:val="000E2991"/>
    <w:rsid w:val="000F5394"/>
    <w:rsid w:val="001361CF"/>
    <w:rsid w:val="0014457A"/>
    <w:rsid w:val="00145EA4"/>
    <w:rsid w:val="00172F65"/>
    <w:rsid w:val="001A326D"/>
    <w:rsid w:val="001B3311"/>
    <w:rsid w:val="00262B5D"/>
    <w:rsid w:val="0027245C"/>
    <w:rsid w:val="002B1799"/>
    <w:rsid w:val="002D28AD"/>
    <w:rsid w:val="002E08E4"/>
    <w:rsid w:val="002E2318"/>
    <w:rsid w:val="002F5589"/>
    <w:rsid w:val="00303F37"/>
    <w:rsid w:val="00326307"/>
    <w:rsid w:val="00327DE1"/>
    <w:rsid w:val="0035363F"/>
    <w:rsid w:val="003A5A12"/>
    <w:rsid w:val="003F2B6F"/>
    <w:rsid w:val="00410058"/>
    <w:rsid w:val="00410D7A"/>
    <w:rsid w:val="004138E6"/>
    <w:rsid w:val="0041443B"/>
    <w:rsid w:val="004208EB"/>
    <w:rsid w:val="00441CA0"/>
    <w:rsid w:val="00446D88"/>
    <w:rsid w:val="00452E8D"/>
    <w:rsid w:val="00462394"/>
    <w:rsid w:val="004A7604"/>
    <w:rsid w:val="004E0D63"/>
    <w:rsid w:val="004E3A86"/>
    <w:rsid w:val="004E7922"/>
    <w:rsid w:val="004F4745"/>
    <w:rsid w:val="00502C0C"/>
    <w:rsid w:val="00514884"/>
    <w:rsid w:val="00517DED"/>
    <w:rsid w:val="00540F90"/>
    <w:rsid w:val="00542D50"/>
    <w:rsid w:val="00556A40"/>
    <w:rsid w:val="00597E68"/>
    <w:rsid w:val="005B70A4"/>
    <w:rsid w:val="005C3838"/>
    <w:rsid w:val="005C616D"/>
    <w:rsid w:val="00606CF9"/>
    <w:rsid w:val="006376BC"/>
    <w:rsid w:val="006870D5"/>
    <w:rsid w:val="00693670"/>
    <w:rsid w:val="006E224B"/>
    <w:rsid w:val="007346C0"/>
    <w:rsid w:val="00740EA5"/>
    <w:rsid w:val="00747034"/>
    <w:rsid w:val="007551A0"/>
    <w:rsid w:val="00785BD8"/>
    <w:rsid w:val="00785E29"/>
    <w:rsid w:val="00793334"/>
    <w:rsid w:val="007B5AF5"/>
    <w:rsid w:val="00802002"/>
    <w:rsid w:val="008330DE"/>
    <w:rsid w:val="008351DB"/>
    <w:rsid w:val="008578E0"/>
    <w:rsid w:val="00866CEC"/>
    <w:rsid w:val="00877B89"/>
    <w:rsid w:val="00882A97"/>
    <w:rsid w:val="0089096B"/>
    <w:rsid w:val="00890E99"/>
    <w:rsid w:val="008A1FDD"/>
    <w:rsid w:val="008D27FF"/>
    <w:rsid w:val="008D4867"/>
    <w:rsid w:val="008F076B"/>
    <w:rsid w:val="009245F8"/>
    <w:rsid w:val="00931A8D"/>
    <w:rsid w:val="00933754"/>
    <w:rsid w:val="00942F98"/>
    <w:rsid w:val="00944F06"/>
    <w:rsid w:val="00964D5A"/>
    <w:rsid w:val="00983F40"/>
    <w:rsid w:val="009B37C2"/>
    <w:rsid w:val="009B5B8E"/>
    <w:rsid w:val="009F56C6"/>
    <w:rsid w:val="00A05CC5"/>
    <w:rsid w:val="00A34D07"/>
    <w:rsid w:val="00A60C97"/>
    <w:rsid w:val="00A631A2"/>
    <w:rsid w:val="00A912B9"/>
    <w:rsid w:val="00A92176"/>
    <w:rsid w:val="00AB2C81"/>
    <w:rsid w:val="00AD43F6"/>
    <w:rsid w:val="00AE074C"/>
    <w:rsid w:val="00AE69FD"/>
    <w:rsid w:val="00AF246A"/>
    <w:rsid w:val="00B16EB0"/>
    <w:rsid w:val="00B222E8"/>
    <w:rsid w:val="00B2521E"/>
    <w:rsid w:val="00B52C47"/>
    <w:rsid w:val="00BA39DE"/>
    <w:rsid w:val="00BB05AE"/>
    <w:rsid w:val="00BB381C"/>
    <w:rsid w:val="00BC4EA0"/>
    <w:rsid w:val="00BE3084"/>
    <w:rsid w:val="00BE31D0"/>
    <w:rsid w:val="00C47ECA"/>
    <w:rsid w:val="00C7257D"/>
    <w:rsid w:val="00C80959"/>
    <w:rsid w:val="00C870CD"/>
    <w:rsid w:val="00CA66AA"/>
    <w:rsid w:val="00CB2D37"/>
    <w:rsid w:val="00D119D2"/>
    <w:rsid w:val="00D460D0"/>
    <w:rsid w:val="00D64096"/>
    <w:rsid w:val="00D72B73"/>
    <w:rsid w:val="00D911A0"/>
    <w:rsid w:val="00DA54A3"/>
    <w:rsid w:val="00DB33EA"/>
    <w:rsid w:val="00DB58B9"/>
    <w:rsid w:val="00DC54E1"/>
    <w:rsid w:val="00DC71F2"/>
    <w:rsid w:val="00DC7A55"/>
    <w:rsid w:val="00DE79D5"/>
    <w:rsid w:val="00E16997"/>
    <w:rsid w:val="00E34DB7"/>
    <w:rsid w:val="00E51B61"/>
    <w:rsid w:val="00E54B0D"/>
    <w:rsid w:val="00E6560C"/>
    <w:rsid w:val="00E837EA"/>
    <w:rsid w:val="00EB01FD"/>
    <w:rsid w:val="00EF0571"/>
    <w:rsid w:val="00EF7461"/>
    <w:rsid w:val="00F03090"/>
    <w:rsid w:val="00F03AB9"/>
    <w:rsid w:val="00F563AD"/>
    <w:rsid w:val="00F65199"/>
    <w:rsid w:val="00FB41EA"/>
    <w:rsid w:val="00FD26C2"/>
    <w:rsid w:val="00FF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B2E1ED"/>
  <w15:docId w15:val="{63FB38C9-54E6-4EDA-80F4-7EFE89F8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4"/>
        <w:szCs w:val="24"/>
        <w:lang w:val="en-US" w:eastAsia="zh-CN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38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38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383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3838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65199"/>
    <w:pPr>
      <w:spacing w:line="240" w:lineRule="auto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65199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9B5B8E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9B5B8E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9B5B8E"/>
  </w:style>
  <w:style w:type="paragraph" w:styleId="ac">
    <w:name w:val="annotation subject"/>
    <w:basedOn w:val="aa"/>
    <w:next w:val="aa"/>
    <w:link w:val="ad"/>
    <w:uiPriority w:val="99"/>
    <w:semiHidden/>
    <w:unhideWhenUsed/>
    <w:rsid w:val="009B5B8E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9B5B8E"/>
    <w:rPr>
      <w:b/>
      <w:bCs/>
    </w:rPr>
  </w:style>
  <w:style w:type="table" w:styleId="ae">
    <w:name w:val="Table Grid"/>
    <w:basedOn w:val="a1"/>
    <w:uiPriority w:val="39"/>
    <w:rsid w:val="00A912B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7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89991-DA26-47E4-81B9-AFA199CE1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424</Words>
  <Characters>505</Characters>
  <Application>Microsoft Office Word</Application>
  <DocSecurity>0</DocSecurity>
  <Lines>33</Lines>
  <Paragraphs>25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鹏</dc:creator>
  <cp:keywords/>
  <dc:description/>
  <cp:lastModifiedBy>金 建德</cp:lastModifiedBy>
  <cp:revision>6</cp:revision>
  <cp:lastPrinted>2021-05-25T07:35:00Z</cp:lastPrinted>
  <dcterms:created xsi:type="dcterms:W3CDTF">2021-05-26T06:12:00Z</dcterms:created>
  <dcterms:modified xsi:type="dcterms:W3CDTF">2021-05-26T06:37:00Z</dcterms:modified>
</cp:coreProperties>
</file>