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BA57F" w14:textId="62426D8F" w:rsidR="00E406B2" w:rsidRPr="00985A38" w:rsidRDefault="00E406B2" w:rsidP="008B2773">
      <w:pPr>
        <w:spacing w:line="560" w:lineRule="exact"/>
        <w:jc w:val="distribute"/>
        <w:rPr>
          <w:rFonts w:ascii="黑体" w:eastAsia="黑体" w:hAnsi="黑体"/>
          <w:szCs w:val="21"/>
        </w:rPr>
      </w:pPr>
      <w:r w:rsidRPr="00985A38">
        <w:rPr>
          <w:rFonts w:ascii="黑体" w:eastAsia="黑体" w:hAnsi="黑体"/>
          <w:szCs w:val="21"/>
        </w:rPr>
        <w:t xml:space="preserve">股票代码：600188 </w:t>
      </w:r>
      <w:r w:rsidRPr="00985A38">
        <w:rPr>
          <w:rFonts w:ascii="黑体" w:eastAsia="黑体" w:hAnsi="黑体" w:hint="eastAsia"/>
          <w:szCs w:val="21"/>
        </w:rPr>
        <w:t xml:space="preserve">              </w:t>
      </w:r>
      <w:r w:rsidRPr="00985A38">
        <w:rPr>
          <w:rFonts w:ascii="黑体" w:eastAsia="黑体" w:hAnsi="黑体"/>
          <w:szCs w:val="21"/>
        </w:rPr>
        <w:t>股票简称：兖州煤</w:t>
      </w:r>
      <w:r w:rsidRPr="00985A38">
        <w:rPr>
          <w:rFonts w:ascii="黑体" w:eastAsia="黑体" w:hAnsi="黑体" w:hint="eastAsia"/>
          <w:szCs w:val="21"/>
        </w:rPr>
        <w:t xml:space="preserve">业            </w:t>
      </w:r>
      <w:r w:rsidRPr="00985A38">
        <w:rPr>
          <w:rFonts w:ascii="黑体" w:eastAsia="黑体" w:hAnsi="黑体"/>
          <w:szCs w:val="21"/>
        </w:rPr>
        <w:t>编号：临20</w:t>
      </w:r>
      <w:r w:rsidRPr="00985A38">
        <w:rPr>
          <w:rFonts w:ascii="黑体" w:eastAsia="黑体" w:hAnsi="黑体" w:hint="eastAsia"/>
          <w:szCs w:val="21"/>
        </w:rPr>
        <w:t>20</w:t>
      </w:r>
      <w:r w:rsidRPr="00985A38">
        <w:rPr>
          <w:rFonts w:ascii="黑体" w:eastAsia="黑体" w:hAnsi="黑体"/>
          <w:szCs w:val="21"/>
        </w:rPr>
        <w:t>-</w:t>
      </w:r>
      <w:r w:rsidR="00985A38">
        <w:rPr>
          <w:rFonts w:ascii="黑体" w:eastAsia="黑体" w:hAnsi="黑体" w:hint="eastAsia"/>
          <w:szCs w:val="21"/>
        </w:rPr>
        <w:t>0</w:t>
      </w:r>
      <w:r w:rsidR="00985A38">
        <w:rPr>
          <w:rFonts w:ascii="黑体" w:eastAsia="黑体" w:hAnsi="黑体"/>
          <w:szCs w:val="21"/>
        </w:rPr>
        <w:t>77</w:t>
      </w:r>
    </w:p>
    <w:p w14:paraId="7BE8D6DE" w14:textId="77777777" w:rsidR="00E406B2" w:rsidRPr="00492F48" w:rsidRDefault="00E406B2" w:rsidP="00E406B2">
      <w:pPr>
        <w:spacing w:line="500" w:lineRule="exact"/>
        <w:jc w:val="center"/>
        <w:rPr>
          <w:rFonts w:ascii="黑体" w:eastAsia="黑体"/>
          <w:b/>
          <w:bCs/>
          <w:color w:val="FF0000"/>
          <w:sz w:val="36"/>
          <w:szCs w:val="36"/>
        </w:rPr>
      </w:pPr>
    </w:p>
    <w:p w14:paraId="2E880BC5" w14:textId="77777777" w:rsidR="00E406B2" w:rsidRPr="00441009"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兖州煤业股份有限公司</w:t>
      </w:r>
    </w:p>
    <w:p w14:paraId="343847A1" w14:textId="77777777" w:rsidR="00E406B2" w:rsidRPr="00441009"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关于</w:t>
      </w:r>
      <w:r w:rsidR="00FF2754">
        <w:rPr>
          <w:rFonts w:ascii="黑体" w:eastAsia="黑体" w:hint="eastAsia"/>
          <w:b/>
          <w:bCs/>
          <w:color w:val="FF0000"/>
          <w:sz w:val="36"/>
          <w:szCs w:val="36"/>
        </w:rPr>
        <w:t>境外控股</w:t>
      </w:r>
      <w:r w:rsidR="00B602AD">
        <w:rPr>
          <w:rFonts w:ascii="黑体" w:eastAsia="黑体" w:hint="eastAsia"/>
          <w:b/>
          <w:bCs/>
          <w:color w:val="FF0000"/>
          <w:sz w:val="36"/>
          <w:szCs w:val="36"/>
        </w:rPr>
        <w:t>子公司</w:t>
      </w:r>
      <w:r w:rsidR="00FF2754">
        <w:rPr>
          <w:rFonts w:ascii="黑体" w:eastAsia="黑体" w:hint="eastAsia"/>
          <w:b/>
          <w:bCs/>
          <w:color w:val="FF0000"/>
          <w:sz w:val="36"/>
          <w:szCs w:val="36"/>
        </w:rPr>
        <w:t>合并报表范围发生变化的</w:t>
      </w:r>
      <w:r w:rsidRPr="00441009">
        <w:rPr>
          <w:rFonts w:ascii="黑体" w:eastAsia="黑体" w:hint="eastAsia"/>
          <w:b/>
          <w:bCs/>
          <w:color w:val="FF0000"/>
          <w:sz w:val="36"/>
          <w:szCs w:val="36"/>
        </w:rPr>
        <w:t>公告</w:t>
      </w:r>
    </w:p>
    <w:p w14:paraId="6E20B4C4" w14:textId="77777777" w:rsidR="00E406B2" w:rsidRPr="00492F48" w:rsidRDefault="00E406B2" w:rsidP="00E406B2">
      <w:pPr>
        <w:spacing w:line="500" w:lineRule="exact"/>
        <w:jc w:val="center"/>
        <w:rPr>
          <w:rFonts w:ascii="黑体" w:eastAsia="黑体"/>
          <w:b/>
          <w:bCs/>
          <w:color w:val="FF0000"/>
          <w:sz w:val="36"/>
          <w:szCs w:val="36"/>
        </w:rPr>
      </w:pPr>
    </w:p>
    <w:p w14:paraId="77C3B5C4" w14:textId="77777777" w:rsidR="00E406B2" w:rsidRPr="00492F48" w:rsidRDefault="00E406B2" w:rsidP="00E406B2">
      <w:pPr>
        <w:rPr>
          <w:rFonts w:ascii="宋体"/>
          <w:sz w:val="30"/>
          <w:szCs w:val="30"/>
        </w:rPr>
      </w:pPr>
    </w:p>
    <w:p w14:paraId="2A211611" w14:textId="59F366DB" w:rsidR="00E406B2" w:rsidRPr="00492F48" w:rsidRDefault="002419E4" w:rsidP="00E406B2">
      <w:pPr>
        <w:ind w:firstLineChars="200" w:firstLine="420"/>
        <w:rPr>
          <w:rFonts w:ascii="仿宋_GB2312" w:eastAsia="仿宋_GB2312" w:hAnsi="宋体"/>
          <w:b/>
          <w:sz w:val="30"/>
          <w:szCs w:val="30"/>
        </w:rPr>
      </w:pPr>
      <w:r>
        <w:rPr>
          <w:noProof/>
        </w:rPr>
        <mc:AlternateContent>
          <mc:Choice Requires="wps">
            <w:drawing>
              <wp:anchor distT="0" distB="0" distL="114300" distR="114300" simplePos="0" relativeHeight="251659264" behindDoc="0" locked="0" layoutInCell="1" allowOverlap="1" wp14:anchorId="6DAE9ED8" wp14:editId="23BB0D21">
                <wp:simplePos x="0" y="0"/>
                <wp:positionH relativeFrom="column">
                  <wp:posOffset>114300</wp:posOffset>
                </wp:positionH>
                <wp:positionV relativeFrom="paragraph">
                  <wp:posOffset>-344805</wp:posOffset>
                </wp:positionV>
                <wp:extent cx="5372100" cy="9804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headEnd/>
                          <a:tailEnd/>
                        </a:ln>
                      </wps:spPr>
                      <wps:txbx>
                        <w:txbxContent>
                          <w:p w14:paraId="01F5FAE5" w14:textId="77777777" w:rsidR="00E406B2" w:rsidRPr="00E17545" w:rsidRDefault="00E406B2" w:rsidP="00E406B2">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9ED8" id="_x0000_t202" coordsize="21600,21600" o:spt="202" path="m,l,21600r21600,l21600,xe">
                <v:stroke joinstyle="miter"/>
                <v:path gradientshapeok="t" o:connecttype="rect"/>
              </v:shapetype>
              <v:shape id="Text Box 2" o:spid="_x0000_s1026" type="#_x0000_t202" style="position:absolute;left:0;text-align:left;margin-left:9pt;margin-top:-27.15pt;width:423pt;height:7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">
                <v:textbox>
                  <w:txbxContent>
                    <w:p w14:paraId="01F5FAE5" w14:textId="77777777" w:rsidR="00E406B2" w:rsidRPr="00E17545" w:rsidRDefault="00E406B2" w:rsidP="00E406B2">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mc:Fallback>
        </mc:AlternateContent>
      </w:r>
    </w:p>
    <w:p w14:paraId="52585960" w14:textId="77777777" w:rsidR="00E406B2" w:rsidRPr="00492F48" w:rsidRDefault="00E406B2" w:rsidP="00E406B2">
      <w:pPr>
        <w:spacing w:line="520" w:lineRule="exact"/>
        <w:ind w:firstLineChars="200" w:firstLine="600"/>
        <w:rPr>
          <w:rFonts w:ascii="仿宋_GB2312" w:eastAsia="仿宋_GB2312" w:hAnsi="宋体"/>
          <w:sz w:val="30"/>
          <w:szCs w:val="30"/>
        </w:rPr>
      </w:pPr>
    </w:p>
    <w:p w14:paraId="2269917E" w14:textId="77777777" w:rsidR="00B602AD" w:rsidRDefault="00B602AD" w:rsidP="0029362B">
      <w:pPr>
        <w:spacing w:line="560" w:lineRule="exact"/>
        <w:ind w:firstLineChars="200" w:firstLine="560"/>
        <w:rPr>
          <w:rFonts w:ascii="宋体" w:hAnsi="宋体"/>
          <w:sz w:val="28"/>
          <w:szCs w:val="28"/>
        </w:rPr>
      </w:pPr>
    </w:p>
    <w:p w14:paraId="46FF4B8A" w14:textId="77777777" w:rsidR="00C82CD5" w:rsidRPr="005652CD" w:rsidRDefault="00C82CD5" w:rsidP="00985A38">
      <w:pPr>
        <w:spacing w:line="520" w:lineRule="exact"/>
        <w:ind w:firstLineChars="200" w:firstLine="562"/>
        <w:rPr>
          <w:rFonts w:ascii="宋体" w:hAnsi="宋体"/>
          <w:b/>
          <w:bCs/>
          <w:sz w:val="28"/>
          <w:szCs w:val="28"/>
        </w:rPr>
      </w:pPr>
      <w:r w:rsidRPr="005652CD">
        <w:rPr>
          <w:rFonts w:ascii="宋体" w:hAnsi="宋体" w:hint="eastAsia"/>
          <w:b/>
          <w:bCs/>
          <w:sz w:val="28"/>
          <w:szCs w:val="28"/>
        </w:rPr>
        <w:t>一、</w:t>
      </w:r>
      <w:r w:rsidR="00D72DFB" w:rsidRPr="005652CD">
        <w:rPr>
          <w:rFonts w:ascii="宋体" w:hAnsi="宋体" w:hint="eastAsia"/>
          <w:b/>
          <w:bCs/>
          <w:sz w:val="28"/>
          <w:szCs w:val="28"/>
        </w:rPr>
        <w:t>沃特岗矿业有限公司基本情况</w:t>
      </w:r>
    </w:p>
    <w:p w14:paraId="4B01D2E3" w14:textId="77777777" w:rsidR="00D72DFB" w:rsidRDefault="00D72DFB" w:rsidP="00985A38">
      <w:pPr>
        <w:spacing w:line="520" w:lineRule="exact"/>
        <w:ind w:firstLineChars="200" w:firstLine="560"/>
        <w:rPr>
          <w:rFonts w:ascii="宋体" w:hAnsi="宋体"/>
          <w:sz w:val="28"/>
          <w:szCs w:val="28"/>
        </w:rPr>
      </w:pPr>
      <w:r>
        <w:rPr>
          <w:rFonts w:ascii="宋体" w:hAnsi="宋体" w:hint="eastAsia"/>
          <w:sz w:val="28"/>
          <w:szCs w:val="28"/>
        </w:rPr>
        <w:t>沃特岗矿业有限公司（“沃特岗”）为兖州煤业股份有限公司（</w:t>
      </w:r>
      <w:r w:rsidR="00760816">
        <w:rPr>
          <w:rFonts w:ascii="宋体" w:hAnsi="宋体" w:hint="eastAsia"/>
          <w:sz w:val="28"/>
          <w:szCs w:val="28"/>
        </w:rPr>
        <w:t>“兖州煤业”或</w:t>
      </w:r>
      <w:r>
        <w:rPr>
          <w:rFonts w:ascii="宋体" w:hAnsi="宋体" w:hint="eastAsia"/>
          <w:sz w:val="28"/>
          <w:szCs w:val="28"/>
        </w:rPr>
        <w:t>“公司”）境外控股子公司兖州煤业澳大利亚有限公司（“</w:t>
      </w:r>
      <w:proofErr w:type="gramStart"/>
      <w:r w:rsidR="00840E6B">
        <w:rPr>
          <w:rFonts w:ascii="宋体" w:hAnsi="宋体" w:hint="eastAsia"/>
          <w:sz w:val="28"/>
          <w:szCs w:val="28"/>
        </w:rPr>
        <w:t>兖</w:t>
      </w:r>
      <w:proofErr w:type="gramEnd"/>
      <w:r w:rsidR="00840E6B">
        <w:rPr>
          <w:rFonts w:ascii="宋体" w:hAnsi="宋体" w:hint="eastAsia"/>
          <w:sz w:val="28"/>
          <w:szCs w:val="28"/>
        </w:rPr>
        <w:t>煤</w:t>
      </w:r>
      <w:r w:rsidRPr="0029362B">
        <w:rPr>
          <w:rFonts w:ascii="宋体" w:hAnsi="宋体" w:hint="eastAsia"/>
          <w:sz w:val="28"/>
          <w:szCs w:val="28"/>
        </w:rPr>
        <w:t>澳洲公司</w:t>
      </w:r>
      <w:r>
        <w:rPr>
          <w:rFonts w:ascii="宋体" w:hAnsi="宋体" w:hint="eastAsia"/>
          <w:sz w:val="28"/>
          <w:szCs w:val="28"/>
        </w:rPr>
        <w:t>”）于2</w:t>
      </w:r>
      <w:r>
        <w:rPr>
          <w:rFonts w:ascii="宋体" w:hAnsi="宋体"/>
          <w:sz w:val="28"/>
          <w:szCs w:val="28"/>
        </w:rPr>
        <w:t>015</w:t>
      </w:r>
      <w:r>
        <w:rPr>
          <w:rFonts w:ascii="宋体" w:hAnsi="宋体" w:hint="eastAsia"/>
          <w:sz w:val="28"/>
          <w:szCs w:val="28"/>
        </w:rPr>
        <w:t>年</w:t>
      </w:r>
      <w:r w:rsidRPr="00D72DFB">
        <w:rPr>
          <w:rFonts w:ascii="宋体" w:hAnsi="宋体" w:hint="eastAsia"/>
          <w:sz w:val="28"/>
          <w:szCs w:val="28"/>
        </w:rPr>
        <w:t>在境外实施资产证券化业务而</w:t>
      </w:r>
      <w:r>
        <w:rPr>
          <w:rFonts w:ascii="宋体" w:hAnsi="宋体" w:hint="eastAsia"/>
          <w:sz w:val="28"/>
          <w:szCs w:val="28"/>
        </w:rPr>
        <w:t>设立的全资子公司。</w:t>
      </w:r>
    </w:p>
    <w:p w14:paraId="20041B91" w14:textId="77777777" w:rsidR="0000613C" w:rsidRPr="005652CD" w:rsidRDefault="00804255" w:rsidP="00985A38">
      <w:pPr>
        <w:spacing w:line="520" w:lineRule="exact"/>
        <w:ind w:firstLineChars="200" w:firstLine="562"/>
        <w:rPr>
          <w:rFonts w:ascii="宋体" w:hAnsi="宋体"/>
          <w:b/>
          <w:bCs/>
          <w:sz w:val="28"/>
          <w:szCs w:val="28"/>
        </w:rPr>
      </w:pPr>
      <w:r w:rsidRPr="005652CD">
        <w:rPr>
          <w:rFonts w:ascii="宋体" w:hAnsi="宋体" w:hint="eastAsia"/>
          <w:b/>
          <w:bCs/>
          <w:sz w:val="28"/>
          <w:szCs w:val="28"/>
        </w:rPr>
        <w:t>二、</w:t>
      </w:r>
      <w:r w:rsidR="002B72A6" w:rsidRPr="005652CD">
        <w:rPr>
          <w:rFonts w:ascii="宋体" w:hAnsi="宋体" w:hint="eastAsia"/>
          <w:b/>
          <w:bCs/>
          <w:sz w:val="28"/>
          <w:szCs w:val="28"/>
        </w:rPr>
        <w:t>重新合并</w:t>
      </w:r>
      <w:r w:rsidR="0000613C" w:rsidRPr="005652CD">
        <w:rPr>
          <w:rFonts w:ascii="宋体" w:hAnsi="宋体" w:hint="eastAsia"/>
          <w:b/>
          <w:bCs/>
          <w:sz w:val="28"/>
          <w:szCs w:val="28"/>
        </w:rPr>
        <w:t>沃特岗</w:t>
      </w:r>
      <w:r w:rsidR="0089059D">
        <w:rPr>
          <w:rFonts w:ascii="宋体" w:hAnsi="宋体" w:hint="eastAsia"/>
          <w:b/>
          <w:bCs/>
          <w:sz w:val="28"/>
          <w:szCs w:val="28"/>
        </w:rPr>
        <w:t>财务报表</w:t>
      </w:r>
      <w:r w:rsidR="0000613C" w:rsidRPr="005652CD">
        <w:rPr>
          <w:rFonts w:ascii="宋体" w:hAnsi="宋体" w:hint="eastAsia"/>
          <w:b/>
          <w:bCs/>
          <w:sz w:val="28"/>
          <w:szCs w:val="28"/>
        </w:rPr>
        <w:t>的原因</w:t>
      </w:r>
    </w:p>
    <w:p w14:paraId="58A25FFE" w14:textId="77777777" w:rsidR="002B72A6" w:rsidRDefault="002B72A6" w:rsidP="00985A38">
      <w:pPr>
        <w:spacing w:line="520" w:lineRule="exact"/>
        <w:ind w:firstLineChars="200" w:firstLine="560"/>
        <w:rPr>
          <w:rFonts w:ascii="宋体" w:hAnsi="宋体"/>
          <w:sz w:val="28"/>
          <w:szCs w:val="28"/>
        </w:rPr>
      </w:pPr>
      <w:r>
        <w:rPr>
          <w:rFonts w:ascii="宋体" w:hAnsi="宋体" w:hint="eastAsia"/>
          <w:sz w:val="28"/>
          <w:szCs w:val="28"/>
        </w:rPr>
        <w:t>（</w:t>
      </w:r>
      <w:r w:rsidR="0080711B">
        <w:rPr>
          <w:rFonts w:ascii="宋体" w:hAnsi="宋体" w:hint="eastAsia"/>
          <w:sz w:val="28"/>
          <w:szCs w:val="28"/>
        </w:rPr>
        <w:t>一</w:t>
      </w:r>
      <w:r>
        <w:rPr>
          <w:rFonts w:ascii="宋体" w:hAnsi="宋体" w:hint="eastAsia"/>
          <w:sz w:val="28"/>
          <w:szCs w:val="28"/>
        </w:rPr>
        <w:t>）历史上</w:t>
      </w:r>
      <w:proofErr w:type="gramStart"/>
      <w:r w:rsidR="00840E6B">
        <w:rPr>
          <w:rFonts w:ascii="宋体" w:hAnsi="宋体" w:hint="eastAsia"/>
          <w:sz w:val="28"/>
          <w:szCs w:val="28"/>
        </w:rPr>
        <w:t>兖</w:t>
      </w:r>
      <w:proofErr w:type="gramEnd"/>
      <w:r w:rsidR="00840E6B">
        <w:rPr>
          <w:rFonts w:ascii="宋体" w:hAnsi="宋体" w:hint="eastAsia"/>
          <w:sz w:val="28"/>
          <w:szCs w:val="28"/>
        </w:rPr>
        <w:t>煤</w:t>
      </w:r>
      <w:r>
        <w:rPr>
          <w:rFonts w:ascii="宋体" w:hAnsi="宋体" w:hint="eastAsia"/>
          <w:sz w:val="28"/>
          <w:szCs w:val="28"/>
        </w:rPr>
        <w:t>澳洲公司终止合并沃特岗</w:t>
      </w:r>
      <w:r w:rsidR="00840E6B">
        <w:rPr>
          <w:rFonts w:ascii="宋体" w:hAnsi="宋体" w:hint="eastAsia"/>
          <w:sz w:val="28"/>
          <w:szCs w:val="28"/>
        </w:rPr>
        <w:t>财务报表</w:t>
      </w:r>
      <w:r>
        <w:rPr>
          <w:rFonts w:ascii="宋体" w:hAnsi="宋体" w:hint="eastAsia"/>
          <w:sz w:val="28"/>
          <w:szCs w:val="28"/>
        </w:rPr>
        <w:t>的原因</w:t>
      </w:r>
    </w:p>
    <w:p w14:paraId="1F375D75" w14:textId="350C1620" w:rsidR="00BB499F" w:rsidRDefault="002B72A6" w:rsidP="00985A38">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016</w:t>
      </w:r>
      <w:r>
        <w:rPr>
          <w:rFonts w:ascii="宋体" w:hAnsi="宋体" w:hint="eastAsia"/>
          <w:sz w:val="28"/>
          <w:szCs w:val="28"/>
        </w:rPr>
        <w:t>年，沃特岗</w:t>
      </w:r>
      <w:r w:rsidRPr="0029362B">
        <w:rPr>
          <w:rFonts w:ascii="宋体" w:hAnsi="宋体" w:hint="eastAsia"/>
          <w:sz w:val="28"/>
          <w:szCs w:val="28"/>
        </w:rPr>
        <w:t>发行</w:t>
      </w:r>
      <w:r>
        <w:rPr>
          <w:rFonts w:ascii="宋体" w:hAnsi="宋体" w:hint="eastAsia"/>
          <w:sz w:val="28"/>
          <w:szCs w:val="28"/>
        </w:rPr>
        <w:t>7</w:t>
      </w:r>
      <w:r>
        <w:rPr>
          <w:rFonts w:ascii="宋体" w:hAnsi="宋体"/>
          <w:sz w:val="28"/>
          <w:szCs w:val="28"/>
        </w:rPr>
        <w:t>.75</w:t>
      </w:r>
      <w:r>
        <w:rPr>
          <w:rFonts w:ascii="宋体" w:hAnsi="宋体" w:hint="eastAsia"/>
          <w:sz w:val="28"/>
          <w:szCs w:val="28"/>
        </w:rPr>
        <w:t>亿美元</w:t>
      </w:r>
      <w:r w:rsidR="0007684B">
        <w:rPr>
          <w:rFonts w:ascii="宋体" w:hAnsi="宋体" w:hint="eastAsia"/>
          <w:sz w:val="28"/>
          <w:szCs w:val="28"/>
        </w:rPr>
        <w:t>有抵押</w:t>
      </w:r>
      <w:r w:rsidRPr="0029362B">
        <w:rPr>
          <w:rFonts w:ascii="宋体" w:hAnsi="宋体" w:hint="eastAsia"/>
          <w:sz w:val="28"/>
          <w:szCs w:val="28"/>
        </w:rPr>
        <w:t>债券</w:t>
      </w:r>
      <w:r>
        <w:rPr>
          <w:rFonts w:ascii="宋体" w:hAnsi="宋体" w:hint="eastAsia"/>
          <w:sz w:val="28"/>
          <w:szCs w:val="28"/>
        </w:rPr>
        <w:t>（“沃特岗债券”）</w:t>
      </w:r>
      <w:r w:rsidRPr="0029362B">
        <w:rPr>
          <w:rFonts w:ascii="宋体" w:hAnsi="宋体" w:hint="eastAsia"/>
          <w:sz w:val="28"/>
          <w:szCs w:val="28"/>
        </w:rPr>
        <w:t>给三名外部债券持有人</w:t>
      </w:r>
      <w:r>
        <w:rPr>
          <w:rFonts w:ascii="宋体" w:hAnsi="宋体" w:hint="eastAsia"/>
          <w:sz w:val="28"/>
          <w:szCs w:val="28"/>
        </w:rPr>
        <w:t>（“债券持有人”）</w:t>
      </w:r>
      <w:r w:rsidR="00CA16F3">
        <w:rPr>
          <w:rFonts w:ascii="宋体" w:hAnsi="宋体" w:hint="eastAsia"/>
          <w:sz w:val="28"/>
          <w:szCs w:val="28"/>
        </w:rPr>
        <w:t>。根据《</w:t>
      </w:r>
      <w:r w:rsidR="00305EB3">
        <w:rPr>
          <w:rFonts w:ascii="宋体" w:hAnsi="宋体" w:hint="eastAsia"/>
          <w:sz w:val="28"/>
          <w:szCs w:val="28"/>
        </w:rPr>
        <w:t>债权认购协议</w:t>
      </w:r>
      <w:r w:rsidR="00CA16F3">
        <w:rPr>
          <w:rFonts w:ascii="宋体" w:hAnsi="宋体" w:hint="eastAsia"/>
          <w:sz w:val="28"/>
          <w:szCs w:val="28"/>
        </w:rPr>
        <w:t>》《</w:t>
      </w:r>
      <w:r w:rsidR="00305EB3">
        <w:rPr>
          <w:rFonts w:ascii="宋体" w:hAnsi="宋体" w:hint="eastAsia"/>
          <w:sz w:val="28"/>
          <w:szCs w:val="28"/>
        </w:rPr>
        <w:t>认沽期权协议</w:t>
      </w:r>
      <w:r w:rsidR="00CA16F3">
        <w:rPr>
          <w:rFonts w:ascii="宋体" w:hAnsi="宋体" w:hint="eastAsia"/>
          <w:sz w:val="28"/>
          <w:szCs w:val="28"/>
        </w:rPr>
        <w:t>》的相关约定，债券持有人有权</w:t>
      </w:r>
      <w:r w:rsidR="00BB499F">
        <w:rPr>
          <w:rFonts w:ascii="宋体" w:hAnsi="宋体" w:hint="eastAsia"/>
          <w:sz w:val="28"/>
          <w:szCs w:val="28"/>
        </w:rPr>
        <w:t>委任</w:t>
      </w:r>
      <w:r w:rsidR="00305EB3">
        <w:rPr>
          <w:rFonts w:ascii="宋体" w:hAnsi="宋体" w:hint="eastAsia"/>
          <w:sz w:val="28"/>
          <w:szCs w:val="28"/>
        </w:rPr>
        <w:t>2-</w:t>
      </w:r>
      <w:r w:rsidR="00305EB3">
        <w:rPr>
          <w:rFonts w:ascii="宋体" w:hAnsi="宋体"/>
          <w:sz w:val="28"/>
          <w:szCs w:val="28"/>
        </w:rPr>
        <w:t>4</w:t>
      </w:r>
      <w:r w:rsidR="00305EB3">
        <w:rPr>
          <w:rFonts w:ascii="宋体" w:hAnsi="宋体" w:hint="eastAsia"/>
          <w:sz w:val="28"/>
          <w:szCs w:val="28"/>
        </w:rPr>
        <w:t>名董事，</w:t>
      </w:r>
      <w:proofErr w:type="gramStart"/>
      <w:r w:rsidR="00305EB3">
        <w:rPr>
          <w:rFonts w:ascii="宋体" w:hAnsi="宋体" w:hint="eastAsia"/>
          <w:sz w:val="28"/>
          <w:szCs w:val="28"/>
        </w:rPr>
        <w:t>兖</w:t>
      </w:r>
      <w:proofErr w:type="gramEnd"/>
      <w:r w:rsidR="00305EB3">
        <w:rPr>
          <w:rFonts w:ascii="宋体" w:hAnsi="宋体" w:hint="eastAsia"/>
          <w:sz w:val="28"/>
          <w:szCs w:val="28"/>
        </w:rPr>
        <w:t>煤澳洲有权</w:t>
      </w:r>
      <w:r w:rsidR="00BB499F">
        <w:rPr>
          <w:rFonts w:ascii="宋体" w:hAnsi="宋体" w:hint="eastAsia"/>
          <w:sz w:val="28"/>
          <w:szCs w:val="28"/>
        </w:rPr>
        <w:t>委任</w:t>
      </w:r>
      <w:r w:rsidR="00305EB3">
        <w:rPr>
          <w:rFonts w:ascii="宋体" w:hAnsi="宋体" w:hint="eastAsia"/>
          <w:sz w:val="28"/>
          <w:szCs w:val="28"/>
        </w:rPr>
        <w:t>1名董事。如</w:t>
      </w:r>
      <w:proofErr w:type="gramStart"/>
      <w:r w:rsidR="00BB499F" w:rsidRPr="0000613C">
        <w:rPr>
          <w:rFonts w:ascii="宋体" w:hAnsi="宋体" w:hint="eastAsia"/>
          <w:sz w:val="28"/>
          <w:szCs w:val="28"/>
        </w:rPr>
        <w:t>兖</w:t>
      </w:r>
      <w:proofErr w:type="gramEnd"/>
      <w:r w:rsidR="00BB499F" w:rsidRPr="0000613C">
        <w:rPr>
          <w:rFonts w:ascii="宋体" w:hAnsi="宋体" w:hint="eastAsia"/>
          <w:sz w:val="28"/>
          <w:szCs w:val="28"/>
        </w:rPr>
        <w:t>矿集团</w:t>
      </w:r>
      <w:r w:rsidR="00BB499F">
        <w:rPr>
          <w:rFonts w:ascii="宋体" w:hAnsi="宋体" w:hint="eastAsia"/>
          <w:sz w:val="28"/>
          <w:szCs w:val="28"/>
        </w:rPr>
        <w:t>有限公司（“兖矿集团”）</w:t>
      </w:r>
      <w:r w:rsidR="00305EB3">
        <w:rPr>
          <w:rFonts w:ascii="宋体" w:hAnsi="宋体" w:hint="eastAsia"/>
          <w:sz w:val="28"/>
          <w:szCs w:val="28"/>
        </w:rPr>
        <w:t>因债券持有人行使认沽期权并完成交割成为沃特岗债券的唯一持有人，则其自动丧失作为债券持有</w:t>
      </w:r>
      <w:proofErr w:type="gramStart"/>
      <w:r w:rsidR="00305EB3">
        <w:rPr>
          <w:rFonts w:ascii="宋体" w:hAnsi="宋体" w:hint="eastAsia"/>
          <w:sz w:val="28"/>
          <w:szCs w:val="28"/>
        </w:rPr>
        <w:t>人上述</w:t>
      </w:r>
      <w:proofErr w:type="gramEnd"/>
      <w:r w:rsidR="00BB499F">
        <w:rPr>
          <w:rFonts w:ascii="宋体" w:hAnsi="宋体" w:hint="eastAsia"/>
          <w:sz w:val="28"/>
          <w:szCs w:val="28"/>
        </w:rPr>
        <w:t>委任</w:t>
      </w:r>
      <w:r w:rsidR="00305EB3">
        <w:rPr>
          <w:rFonts w:ascii="宋体" w:hAnsi="宋体" w:hint="eastAsia"/>
          <w:sz w:val="28"/>
          <w:szCs w:val="28"/>
        </w:rPr>
        <w:t>董事的权利。</w:t>
      </w:r>
    </w:p>
    <w:p w14:paraId="684976B3" w14:textId="00EEA334" w:rsidR="002B72A6" w:rsidRPr="0029362B" w:rsidRDefault="00BB499F" w:rsidP="00985A38">
      <w:pPr>
        <w:spacing w:line="520" w:lineRule="exact"/>
        <w:ind w:firstLineChars="200" w:firstLine="560"/>
        <w:rPr>
          <w:rFonts w:ascii="宋体" w:hAnsi="宋体"/>
          <w:sz w:val="28"/>
          <w:szCs w:val="28"/>
        </w:rPr>
      </w:pPr>
      <w:r>
        <w:rPr>
          <w:rFonts w:ascii="宋体" w:hAnsi="宋体" w:hint="eastAsia"/>
          <w:sz w:val="28"/>
          <w:szCs w:val="28"/>
        </w:rPr>
        <w:t>因此，根据前述安排，</w:t>
      </w:r>
      <w:r w:rsidR="002B72A6" w:rsidRPr="0000613C">
        <w:rPr>
          <w:rFonts w:ascii="宋体" w:hAnsi="宋体" w:hint="eastAsia"/>
          <w:sz w:val="28"/>
          <w:szCs w:val="28"/>
        </w:rPr>
        <w:t>债券持有人通过委任沃特岗大多数董事，获得对沃特岗董事会的控制权，</w:t>
      </w:r>
      <w:r w:rsidR="00184650" w:rsidRPr="0007684B">
        <w:rPr>
          <w:rFonts w:ascii="宋体" w:hAnsi="宋体" w:hint="eastAsia"/>
          <w:sz w:val="28"/>
          <w:szCs w:val="28"/>
        </w:rPr>
        <w:t>取得对沃特岗的主要运营及战略决策权，</w:t>
      </w:r>
      <w:r w:rsidR="002B72A6">
        <w:rPr>
          <w:rFonts w:ascii="宋体" w:hAnsi="宋体" w:hint="eastAsia"/>
          <w:sz w:val="28"/>
          <w:szCs w:val="28"/>
        </w:rPr>
        <w:t>而</w:t>
      </w:r>
      <w:proofErr w:type="gramStart"/>
      <w:r w:rsidR="00840E6B">
        <w:rPr>
          <w:rFonts w:ascii="宋体" w:hAnsi="宋体" w:hint="eastAsia"/>
          <w:sz w:val="28"/>
          <w:szCs w:val="28"/>
        </w:rPr>
        <w:t>兖</w:t>
      </w:r>
      <w:proofErr w:type="gramEnd"/>
      <w:r w:rsidR="00840E6B">
        <w:rPr>
          <w:rFonts w:ascii="宋体" w:hAnsi="宋体" w:hint="eastAsia"/>
          <w:sz w:val="28"/>
          <w:szCs w:val="28"/>
        </w:rPr>
        <w:t>煤</w:t>
      </w:r>
      <w:r w:rsidR="0053115F">
        <w:rPr>
          <w:rFonts w:ascii="宋体" w:hAnsi="宋体" w:hint="eastAsia"/>
          <w:sz w:val="28"/>
          <w:szCs w:val="28"/>
        </w:rPr>
        <w:t>澳洲公司</w:t>
      </w:r>
      <w:r w:rsidR="002B72A6" w:rsidRPr="0000613C">
        <w:rPr>
          <w:rFonts w:ascii="宋体" w:hAnsi="宋体" w:hint="eastAsia"/>
          <w:sz w:val="28"/>
          <w:szCs w:val="28"/>
        </w:rPr>
        <w:t>自</w:t>
      </w:r>
      <w:r w:rsidR="0053115F">
        <w:rPr>
          <w:rFonts w:ascii="宋体" w:hAnsi="宋体" w:hint="eastAsia"/>
          <w:sz w:val="28"/>
          <w:szCs w:val="28"/>
        </w:rPr>
        <w:t>前述</w:t>
      </w:r>
      <w:r w:rsidR="002B72A6" w:rsidRPr="0000613C">
        <w:rPr>
          <w:rFonts w:ascii="宋体" w:hAnsi="宋体" w:hint="eastAsia"/>
          <w:sz w:val="28"/>
          <w:szCs w:val="28"/>
        </w:rPr>
        <w:t>交易完成日起终止合并沃特岗</w:t>
      </w:r>
      <w:r w:rsidR="00840E6B">
        <w:rPr>
          <w:rFonts w:ascii="宋体" w:hAnsi="宋体" w:hint="eastAsia"/>
          <w:sz w:val="28"/>
          <w:szCs w:val="28"/>
        </w:rPr>
        <w:t>财务报表</w:t>
      </w:r>
      <w:r w:rsidR="002B72A6" w:rsidRPr="0000613C">
        <w:rPr>
          <w:rFonts w:ascii="宋体" w:hAnsi="宋体" w:hint="eastAsia"/>
          <w:sz w:val="28"/>
          <w:szCs w:val="28"/>
        </w:rPr>
        <w:t>。</w:t>
      </w:r>
      <w:proofErr w:type="gramStart"/>
      <w:r>
        <w:rPr>
          <w:rFonts w:ascii="宋体" w:hAnsi="宋体" w:hint="eastAsia"/>
          <w:sz w:val="28"/>
          <w:szCs w:val="28"/>
        </w:rPr>
        <w:lastRenderedPageBreak/>
        <w:t>兖</w:t>
      </w:r>
      <w:proofErr w:type="gramEnd"/>
      <w:r>
        <w:rPr>
          <w:rFonts w:ascii="宋体" w:hAnsi="宋体" w:hint="eastAsia"/>
          <w:sz w:val="28"/>
          <w:szCs w:val="28"/>
        </w:rPr>
        <w:t>矿集团</w:t>
      </w:r>
      <w:r w:rsidR="002B72A6" w:rsidRPr="0000613C">
        <w:rPr>
          <w:rFonts w:ascii="宋体" w:hAnsi="宋体" w:hint="eastAsia"/>
          <w:sz w:val="28"/>
          <w:szCs w:val="28"/>
        </w:rPr>
        <w:t>授予债券持有人在满足</w:t>
      </w:r>
      <w:r w:rsidR="0053115F">
        <w:rPr>
          <w:rFonts w:ascii="宋体" w:hAnsi="宋体" w:hint="eastAsia"/>
          <w:sz w:val="28"/>
          <w:szCs w:val="28"/>
        </w:rPr>
        <w:t>相关协议约定</w:t>
      </w:r>
      <w:r w:rsidR="002B72A6" w:rsidRPr="0000613C">
        <w:rPr>
          <w:rFonts w:ascii="宋体" w:hAnsi="宋体" w:hint="eastAsia"/>
          <w:sz w:val="28"/>
          <w:szCs w:val="28"/>
        </w:rPr>
        <w:t>条件下，要求</w:t>
      </w:r>
      <w:proofErr w:type="gramStart"/>
      <w:r w:rsidR="002B72A6" w:rsidRPr="0000613C">
        <w:rPr>
          <w:rFonts w:ascii="宋体" w:hAnsi="宋体" w:hint="eastAsia"/>
          <w:sz w:val="28"/>
          <w:szCs w:val="28"/>
        </w:rPr>
        <w:t>兖</w:t>
      </w:r>
      <w:proofErr w:type="gramEnd"/>
      <w:r w:rsidR="002B72A6" w:rsidRPr="0000613C">
        <w:rPr>
          <w:rFonts w:ascii="宋体" w:hAnsi="宋体" w:hint="eastAsia"/>
          <w:sz w:val="28"/>
          <w:szCs w:val="28"/>
        </w:rPr>
        <w:t>矿集团回购沃特岗债券</w:t>
      </w:r>
      <w:r w:rsidR="002B72A6">
        <w:rPr>
          <w:rFonts w:ascii="宋体" w:hAnsi="宋体" w:hint="eastAsia"/>
          <w:sz w:val="28"/>
          <w:szCs w:val="28"/>
        </w:rPr>
        <w:t>的认沽期权</w:t>
      </w:r>
      <w:r w:rsidR="002B72A6" w:rsidRPr="0000613C">
        <w:rPr>
          <w:rFonts w:ascii="宋体" w:hAnsi="宋体" w:hint="eastAsia"/>
          <w:sz w:val="28"/>
          <w:szCs w:val="28"/>
        </w:rPr>
        <w:t>。</w:t>
      </w:r>
    </w:p>
    <w:p w14:paraId="655BB2A7" w14:textId="77777777" w:rsidR="002B72A6" w:rsidRDefault="0080711B" w:rsidP="00985A38">
      <w:pPr>
        <w:spacing w:line="520" w:lineRule="exact"/>
        <w:ind w:firstLineChars="200" w:firstLine="560"/>
        <w:rPr>
          <w:rFonts w:ascii="宋体" w:hAnsi="宋体"/>
          <w:sz w:val="28"/>
          <w:szCs w:val="28"/>
        </w:rPr>
      </w:pPr>
      <w:r>
        <w:rPr>
          <w:rFonts w:ascii="宋体" w:hAnsi="宋体" w:hint="eastAsia"/>
          <w:sz w:val="28"/>
          <w:szCs w:val="28"/>
        </w:rPr>
        <w:t>（二）</w:t>
      </w:r>
      <w:r w:rsidR="002B72A6">
        <w:rPr>
          <w:rFonts w:ascii="宋体" w:hAnsi="宋体" w:hint="eastAsia"/>
          <w:sz w:val="28"/>
          <w:szCs w:val="28"/>
        </w:rPr>
        <w:t>本次</w:t>
      </w:r>
      <w:proofErr w:type="gramStart"/>
      <w:r w:rsidR="00840E6B">
        <w:rPr>
          <w:rFonts w:ascii="宋体" w:hAnsi="宋体" w:hint="eastAsia"/>
          <w:sz w:val="28"/>
          <w:szCs w:val="28"/>
        </w:rPr>
        <w:t>兖</w:t>
      </w:r>
      <w:proofErr w:type="gramEnd"/>
      <w:r w:rsidR="00840E6B">
        <w:rPr>
          <w:rFonts w:ascii="宋体" w:hAnsi="宋体" w:hint="eastAsia"/>
          <w:sz w:val="28"/>
          <w:szCs w:val="28"/>
        </w:rPr>
        <w:t>煤</w:t>
      </w:r>
      <w:r w:rsidR="002B72A6">
        <w:rPr>
          <w:rFonts w:ascii="宋体" w:hAnsi="宋体" w:hint="eastAsia"/>
          <w:sz w:val="28"/>
          <w:szCs w:val="28"/>
        </w:rPr>
        <w:t>澳洲公司重新合并沃特岗</w:t>
      </w:r>
      <w:r w:rsidR="00840E6B">
        <w:rPr>
          <w:rFonts w:ascii="宋体" w:hAnsi="宋体" w:hint="eastAsia"/>
          <w:sz w:val="28"/>
          <w:szCs w:val="28"/>
        </w:rPr>
        <w:t>财务报表</w:t>
      </w:r>
      <w:r w:rsidR="002B72A6">
        <w:rPr>
          <w:rFonts w:ascii="宋体" w:hAnsi="宋体" w:hint="eastAsia"/>
          <w:sz w:val="28"/>
          <w:szCs w:val="28"/>
        </w:rPr>
        <w:t>的原因</w:t>
      </w:r>
    </w:p>
    <w:p w14:paraId="09E193A7" w14:textId="77777777" w:rsidR="00532386" w:rsidRDefault="00532386" w:rsidP="00985A38">
      <w:pPr>
        <w:spacing w:line="520" w:lineRule="exact"/>
        <w:ind w:firstLineChars="200" w:firstLine="560"/>
        <w:rPr>
          <w:rFonts w:ascii="宋体" w:hAnsi="宋体"/>
          <w:sz w:val="28"/>
          <w:szCs w:val="28"/>
        </w:rPr>
      </w:pPr>
      <w:r w:rsidRPr="00532386">
        <w:rPr>
          <w:rFonts w:ascii="宋体" w:hAnsi="宋体" w:hint="eastAsia"/>
          <w:sz w:val="28"/>
          <w:szCs w:val="28"/>
        </w:rPr>
        <w:t>2019年1月4日，中银国际（债券持有人之一）通知沃特岗及</w:t>
      </w:r>
      <w:proofErr w:type="gramStart"/>
      <w:r w:rsidRPr="00532386">
        <w:rPr>
          <w:rFonts w:ascii="宋体" w:hAnsi="宋体" w:hint="eastAsia"/>
          <w:sz w:val="28"/>
          <w:szCs w:val="28"/>
        </w:rPr>
        <w:t>兖</w:t>
      </w:r>
      <w:proofErr w:type="gramEnd"/>
      <w:r w:rsidRPr="00532386">
        <w:rPr>
          <w:rFonts w:ascii="宋体" w:hAnsi="宋体" w:hint="eastAsia"/>
          <w:sz w:val="28"/>
          <w:szCs w:val="28"/>
        </w:rPr>
        <w:t>矿集团行使对2亿美元</w:t>
      </w:r>
      <w:r>
        <w:rPr>
          <w:rFonts w:ascii="宋体" w:hAnsi="宋体" w:hint="eastAsia"/>
          <w:sz w:val="28"/>
          <w:szCs w:val="28"/>
        </w:rPr>
        <w:t>沃特岗</w:t>
      </w:r>
      <w:r w:rsidRPr="00532386">
        <w:rPr>
          <w:rFonts w:ascii="宋体" w:hAnsi="宋体" w:hint="eastAsia"/>
          <w:sz w:val="28"/>
          <w:szCs w:val="28"/>
        </w:rPr>
        <w:t>债券的认沽期权。</w:t>
      </w:r>
      <w:proofErr w:type="gramStart"/>
      <w:r w:rsidRPr="00532386">
        <w:rPr>
          <w:rFonts w:ascii="宋体" w:hAnsi="宋体" w:hint="eastAsia"/>
          <w:sz w:val="28"/>
          <w:szCs w:val="28"/>
        </w:rPr>
        <w:t>兖</w:t>
      </w:r>
      <w:proofErr w:type="gramEnd"/>
      <w:r w:rsidRPr="00532386">
        <w:rPr>
          <w:rFonts w:ascii="宋体" w:hAnsi="宋体" w:hint="eastAsia"/>
          <w:sz w:val="28"/>
          <w:szCs w:val="28"/>
        </w:rPr>
        <w:t>矿集团于2019年4月1日购买了该债券，成为该债券的持有人。</w:t>
      </w:r>
      <w:r>
        <w:rPr>
          <w:rFonts w:ascii="宋体" w:hAnsi="宋体" w:hint="eastAsia"/>
          <w:sz w:val="28"/>
          <w:szCs w:val="28"/>
        </w:rPr>
        <w:t>有关详情请见公司2</w:t>
      </w:r>
      <w:r>
        <w:rPr>
          <w:rFonts w:ascii="宋体" w:hAnsi="宋体"/>
          <w:sz w:val="28"/>
          <w:szCs w:val="28"/>
        </w:rPr>
        <w:t>020</w:t>
      </w:r>
      <w:r>
        <w:rPr>
          <w:rFonts w:ascii="宋体" w:hAnsi="宋体" w:hint="eastAsia"/>
          <w:sz w:val="28"/>
          <w:szCs w:val="28"/>
        </w:rPr>
        <w:t>年半年度报告</w:t>
      </w:r>
      <w:r w:rsidR="00DB4054">
        <w:rPr>
          <w:rFonts w:ascii="宋体" w:hAnsi="宋体" w:hint="eastAsia"/>
          <w:sz w:val="28"/>
          <w:szCs w:val="28"/>
        </w:rPr>
        <w:t>附注第</w:t>
      </w:r>
      <w:r w:rsidR="00184650">
        <w:rPr>
          <w:rFonts w:ascii="宋体" w:hAnsi="宋体"/>
          <w:sz w:val="28"/>
          <w:szCs w:val="28"/>
        </w:rPr>
        <w:t>154</w:t>
      </w:r>
      <w:r w:rsidR="00DB4054">
        <w:rPr>
          <w:rFonts w:ascii="宋体" w:hAnsi="宋体" w:hint="eastAsia"/>
          <w:sz w:val="28"/>
          <w:szCs w:val="28"/>
        </w:rPr>
        <w:t>页“十六、7、沃特岗事项”</w:t>
      </w:r>
      <w:r>
        <w:rPr>
          <w:rFonts w:ascii="宋体" w:hAnsi="宋体" w:hint="eastAsia"/>
          <w:sz w:val="28"/>
          <w:szCs w:val="28"/>
        </w:rPr>
        <w:t>。</w:t>
      </w:r>
    </w:p>
    <w:p w14:paraId="5F28EA06" w14:textId="75484225" w:rsidR="00BB499F" w:rsidRDefault="00804255" w:rsidP="00985A38">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020</w:t>
      </w:r>
      <w:r>
        <w:rPr>
          <w:rFonts w:ascii="宋体" w:hAnsi="宋体" w:hint="eastAsia"/>
          <w:sz w:val="28"/>
          <w:szCs w:val="28"/>
        </w:rPr>
        <w:t>年1</w:t>
      </w:r>
      <w:r>
        <w:rPr>
          <w:rFonts w:ascii="宋体" w:hAnsi="宋体"/>
          <w:sz w:val="28"/>
          <w:szCs w:val="28"/>
        </w:rPr>
        <w:t>2</w:t>
      </w:r>
      <w:r>
        <w:rPr>
          <w:rFonts w:ascii="宋体" w:hAnsi="宋体" w:hint="eastAsia"/>
          <w:sz w:val="28"/>
          <w:szCs w:val="28"/>
        </w:rPr>
        <w:t>月</w:t>
      </w:r>
      <w:r w:rsidR="00250984">
        <w:rPr>
          <w:rFonts w:ascii="宋体" w:hAnsi="宋体" w:hint="eastAsia"/>
          <w:sz w:val="28"/>
          <w:szCs w:val="28"/>
        </w:rPr>
        <w:t>1</w:t>
      </w:r>
      <w:r w:rsidR="00250984">
        <w:rPr>
          <w:rFonts w:ascii="宋体" w:hAnsi="宋体"/>
          <w:sz w:val="28"/>
          <w:szCs w:val="28"/>
        </w:rPr>
        <w:t>6</w:t>
      </w:r>
      <w:r>
        <w:rPr>
          <w:rFonts w:ascii="宋体" w:hAnsi="宋体" w:hint="eastAsia"/>
          <w:sz w:val="28"/>
          <w:szCs w:val="28"/>
        </w:rPr>
        <w:t>日，</w:t>
      </w:r>
      <w:proofErr w:type="gramStart"/>
      <w:r>
        <w:rPr>
          <w:rFonts w:ascii="宋体" w:hAnsi="宋体" w:hint="eastAsia"/>
          <w:sz w:val="28"/>
          <w:szCs w:val="28"/>
        </w:rPr>
        <w:t>兖</w:t>
      </w:r>
      <w:proofErr w:type="gramEnd"/>
      <w:r>
        <w:rPr>
          <w:rFonts w:ascii="宋体" w:hAnsi="宋体" w:hint="eastAsia"/>
          <w:sz w:val="28"/>
          <w:szCs w:val="28"/>
        </w:rPr>
        <w:t>矿集团</w:t>
      </w:r>
      <w:r w:rsidR="009724E3">
        <w:rPr>
          <w:rFonts w:ascii="宋体" w:hAnsi="宋体" w:hint="eastAsia"/>
          <w:sz w:val="28"/>
          <w:szCs w:val="28"/>
        </w:rPr>
        <w:t>、</w:t>
      </w:r>
      <w:proofErr w:type="gramStart"/>
      <w:r w:rsidR="0027040E">
        <w:rPr>
          <w:rFonts w:ascii="宋体" w:hAnsi="宋体" w:hint="eastAsia"/>
          <w:sz w:val="28"/>
          <w:szCs w:val="28"/>
        </w:rPr>
        <w:t>兖</w:t>
      </w:r>
      <w:proofErr w:type="gramEnd"/>
      <w:r w:rsidR="0027040E">
        <w:rPr>
          <w:rFonts w:ascii="宋体" w:hAnsi="宋体" w:hint="eastAsia"/>
          <w:sz w:val="28"/>
          <w:szCs w:val="28"/>
        </w:rPr>
        <w:t>煤</w:t>
      </w:r>
      <w:r w:rsidR="00EF20A5">
        <w:rPr>
          <w:rFonts w:ascii="宋体" w:hAnsi="宋体" w:hint="eastAsia"/>
          <w:sz w:val="28"/>
          <w:szCs w:val="28"/>
        </w:rPr>
        <w:t>澳洲公司、</w:t>
      </w:r>
      <w:r>
        <w:rPr>
          <w:rFonts w:ascii="宋体" w:hAnsi="宋体" w:hint="eastAsia"/>
          <w:sz w:val="28"/>
          <w:szCs w:val="28"/>
        </w:rPr>
        <w:t>沃特岗、债券持有人等主体签署《债券认购协议补充协议》《认沽期权协议补充协议》等协议，约定</w:t>
      </w:r>
      <w:r w:rsidR="00532386">
        <w:rPr>
          <w:rFonts w:ascii="宋体" w:hAnsi="宋体" w:hint="eastAsia"/>
          <w:sz w:val="28"/>
          <w:szCs w:val="28"/>
        </w:rPr>
        <w:t>剩余两名</w:t>
      </w:r>
      <w:r>
        <w:rPr>
          <w:rFonts w:ascii="宋体" w:hAnsi="宋体" w:hint="eastAsia"/>
          <w:sz w:val="28"/>
          <w:szCs w:val="28"/>
        </w:rPr>
        <w:t>债券持有人</w:t>
      </w:r>
      <w:r w:rsidR="00926BB7">
        <w:rPr>
          <w:rFonts w:ascii="宋体" w:hAnsi="宋体" w:hint="eastAsia"/>
          <w:sz w:val="28"/>
          <w:szCs w:val="28"/>
        </w:rPr>
        <w:t>在上述协议签署后</w:t>
      </w:r>
      <w:r>
        <w:rPr>
          <w:rFonts w:ascii="宋体" w:hAnsi="宋体" w:hint="eastAsia"/>
          <w:sz w:val="28"/>
          <w:szCs w:val="28"/>
        </w:rPr>
        <w:t>行使认沽期权，</w:t>
      </w:r>
      <w:r w:rsidR="00926BB7">
        <w:rPr>
          <w:rFonts w:ascii="宋体" w:hAnsi="宋体" w:hint="eastAsia"/>
          <w:sz w:val="28"/>
          <w:szCs w:val="28"/>
        </w:rPr>
        <w:t>由</w:t>
      </w:r>
      <w:proofErr w:type="gramStart"/>
      <w:r w:rsidR="009724E3">
        <w:rPr>
          <w:rFonts w:ascii="宋体" w:hAnsi="宋体" w:hint="eastAsia"/>
          <w:sz w:val="28"/>
          <w:szCs w:val="28"/>
        </w:rPr>
        <w:t>兖</w:t>
      </w:r>
      <w:proofErr w:type="gramEnd"/>
      <w:r w:rsidR="009724E3">
        <w:rPr>
          <w:rFonts w:ascii="宋体" w:hAnsi="宋体" w:hint="eastAsia"/>
          <w:sz w:val="28"/>
          <w:szCs w:val="28"/>
        </w:rPr>
        <w:t>矿集团或其指定主体</w:t>
      </w:r>
      <w:r>
        <w:rPr>
          <w:rFonts w:ascii="宋体" w:hAnsi="宋体" w:hint="eastAsia"/>
          <w:sz w:val="28"/>
          <w:szCs w:val="28"/>
        </w:rPr>
        <w:t>回购其持有的</w:t>
      </w:r>
      <w:r w:rsidR="009169FC">
        <w:rPr>
          <w:rFonts w:ascii="宋体" w:hAnsi="宋体"/>
          <w:sz w:val="28"/>
          <w:szCs w:val="28"/>
        </w:rPr>
        <w:t>5.75</w:t>
      </w:r>
      <w:r w:rsidR="00532386">
        <w:rPr>
          <w:rFonts w:ascii="宋体" w:hAnsi="宋体" w:hint="eastAsia"/>
          <w:sz w:val="28"/>
          <w:szCs w:val="28"/>
        </w:rPr>
        <w:t>亿美</w:t>
      </w:r>
      <w:r w:rsidR="009169FC">
        <w:rPr>
          <w:rFonts w:ascii="宋体" w:hAnsi="宋体" w:hint="eastAsia"/>
          <w:sz w:val="28"/>
          <w:szCs w:val="28"/>
        </w:rPr>
        <w:t>元</w:t>
      </w:r>
      <w:r w:rsidR="00532386">
        <w:rPr>
          <w:rFonts w:ascii="宋体" w:hAnsi="宋体" w:hint="eastAsia"/>
          <w:sz w:val="28"/>
          <w:szCs w:val="28"/>
        </w:rPr>
        <w:t>沃特岗</w:t>
      </w:r>
      <w:r>
        <w:rPr>
          <w:rFonts w:ascii="宋体" w:hAnsi="宋体" w:hint="eastAsia"/>
          <w:sz w:val="28"/>
          <w:szCs w:val="28"/>
        </w:rPr>
        <w:t>债券</w:t>
      </w:r>
      <w:r w:rsidR="00BB499F">
        <w:rPr>
          <w:rFonts w:ascii="宋体" w:hAnsi="宋体" w:hint="eastAsia"/>
          <w:sz w:val="28"/>
          <w:szCs w:val="28"/>
        </w:rPr>
        <w:t>，进而成为沃特岗债券唯一持有人</w:t>
      </w:r>
      <w:r w:rsidR="00532386">
        <w:rPr>
          <w:rFonts w:ascii="宋体" w:hAnsi="宋体" w:hint="eastAsia"/>
          <w:sz w:val="28"/>
          <w:szCs w:val="28"/>
        </w:rPr>
        <w:t>。</w:t>
      </w:r>
      <w:r w:rsidR="00BB499F">
        <w:rPr>
          <w:rFonts w:ascii="宋体" w:hAnsi="宋体" w:hint="eastAsia"/>
          <w:sz w:val="28"/>
          <w:szCs w:val="28"/>
        </w:rPr>
        <w:t>根据《债券认购协议补充协议》《认沽期权协议补充协议》的约定，债券持有人提名的沃特岗董事将自债券持有人行使认沽期权之日起辞职，同时</w:t>
      </w:r>
      <w:proofErr w:type="gramStart"/>
      <w:r w:rsidR="00BB499F">
        <w:rPr>
          <w:rFonts w:ascii="宋体" w:hAnsi="宋体" w:hint="eastAsia"/>
          <w:sz w:val="28"/>
          <w:szCs w:val="28"/>
        </w:rPr>
        <w:t>兖</w:t>
      </w:r>
      <w:proofErr w:type="gramEnd"/>
      <w:r w:rsidR="00BB499F">
        <w:rPr>
          <w:rFonts w:ascii="宋体" w:hAnsi="宋体" w:hint="eastAsia"/>
          <w:sz w:val="28"/>
          <w:szCs w:val="28"/>
        </w:rPr>
        <w:t>煤澳洲重新取得委任1名或多名董事的权利。</w:t>
      </w:r>
    </w:p>
    <w:p w14:paraId="2DEA1F1F" w14:textId="701E7036" w:rsidR="00532386" w:rsidRDefault="00BB499F" w:rsidP="00985A38">
      <w:pPr>
        <w:spacing w:line="520" w:lineRule="exact"/>
        <w:ind w:firstLineChars="200" w:firstLine="560"/>
        <w:rPr>
          <w:rFonts w:ascii="宋体" w:hAnsi="宋体"/>
          <w:sz w:val="28"/>
          <w:szCs w:val="28"/>
        </w:rPr>
      </w:pPr>
      <w:r>
        <w:rPr>
          <w:rFonts w:ascii="宋体" w:hAnsi="宋体" w:hint="eastAsia"/>
          <w:sz w:val="28"/>
          <w:szCs w:val="28"/>
        </w:rPr>
        <w:t>因此，根据前述安排，</w:t>
      </w:r>
      <w:proofErr w:type="gramStart"/>
      <w:r>
        <w:rPr>
          <w:rFonts w:ascii="宋体" w:hAnsi="宋体" w:hint="eastAsia"/>
          <w:sz w:val="28"/>
          <w:szCs w:val="28"/>
        </w:rPr>
        <w:t>兖</w:t>
      </w:r>
      <w:proofErr w:type="gramEnd"/>
      <w:r>
        <w:rPr>
          <w:rFonts w:ascii="宋体" w:hAnsi="宋体" w:hint="eastAsia"/>
          <w:sz w:val="28"/>
          <w:szCs w:val="28"/>
        </w:rPr>
        <w:t>矿集团作为沃特岗债券唯一持有人无法</w:t>
      </w:r>
      <w:r w:rsidRPr="0000613C">
        <w:rPr>
          <w:rFonts w:ascii="宋体" w:hAnsi="宋体" w:hint="eastAsia"/>
          <w:sz w:val="28"/>
          <w:szCs w:val="28"/>
        </w:rPr>
        <w:t>委任</w:t>
      </w:r>
      <w:r>
        <w:rPr>
          <w:rFonts w:ascii="宋体" w:hAnsi="宋体" w:hint="eastAsia"/>
          <w:sz w:val="28"/>
          <w:szCs w:val="28"/>
        </w:rPr>
        <w:t>董事，</w:t>
      </w:r>
      <w:proofErr w:type="gramStart"/>
      <w:r>
        <w:rPr>
          <w:rFonts w:ascii="宋体" w:hAnsi="宋体" w:hint="eastAsia"/>
          <w:sz w:val="28"/>
          <w:szCs w:val="28"/>
        </w:rPr>
        <w:t>兖</w:t>
      </w:r>
      <w:proofErr w:type="gramEnd"/>
      <w:r>
        <w:rPr>
          <w:rFonts w:ascii="宋体" w:hAnsi="宋体" w:hint="eastAsia"/>
          <w:sz w:val="28"/>
          <w:szCs w:val="28"/>
        </w:rPr>
        <w:t>煤澳洲获得对沃特岗董事会的控制权，取得对沃特岗主要运营及战略决策权。</w:t>
      </w:r>
      <w:r w:rsidR="00804255">
        <w:rPr>
          <w:rFonts w:ascii="宋体" w:hAnsi="宋体" w:hint="eastAsia"/>
          <w:sz w:val="28"/>
          <w:szCs w:val="28"/>
        </w:rPr>
        <w:t>沃特岗</w:t>
      </w:r>
      <w:r w:rsidR="0053115F">
        <w:rPr>
          <w:rFonts w:ascii="宋体" w:hAnsi="宋体" w:hint="eastAsia"/>
          <w:sz w:val="28"/>
          <w:szCs w:val="28"/>
        </w:rPr>
        <w:t>自</w:t>
      </w:r>
      <w:r w:rsidR="00532386">
        <w:rPr>
          <w:rFonts w:ascii="宋体" w:hAnsi="宋体" w:hint="eastAsia"/>
          <w:sz w:val="28"/>
          <w:szCs w:val="28"/>
        </w:rPr>
        <w:t>2</w:t>
      </w:r>
      <w:r w:rsidR="00532386">
        <w:rPr>
          <w:rFonts w:ascii="宋体" w:hAnsi="宋体"/>
          <w:sz w:val="28"/>
          <w:szCs w:val="28"/>
        </w:rPr>
        <w:t>020</w:t>
      </w:r>
      <w:r w:rsidR="0053115F">
        <w:rPr>
          <w:rFonts w:ascii="宋体" w:hAnsi="宋体" w:hint="eastAsia"/>
          <w:sz w:val="28"/>
          <w:szCs w:val="28"/>
        </w:rPr>
        <w:t>年</w:t>
      </w:r>
      <w:r w:rsidR="00532386">
        <w:rPr>
          <w:rFonts w:ascii="宋体" w:hAnsi="宋体" w:hint="eastAsia"/>
          <w:sz w:val="28"/>
          <w:szCs w:val="28"/>
        </w:rPr>
        <w:t>1</w:t>
      </w:r>
      <w:r w:rsidR="00532386">
        <w:rPr>
          <w:rFonts w:ascii="宋体" w:hAnsi="宋体"/>
          <w:sz w:val="28"/>
          <w:szCs w:val="28"/>
        </w:rPr>
        <w:t>2</w:t>
      </w:r>
      <w:r w:rsidR="0053115F">
        <w:rPr>
          <w:rFonts w:ascii="宋体" w:hAnsi="宋体" w:hint="eastAsia"/>
          <w:sz w:val="28"/>
          <w:szCs w:val="28"/>
        </w:rPr>
        <w:t>月</w:t>
      </w:r>
      <w:r w:rsidR="00532386">
        <w:rPr>
          <w:rFonts w:ascii="宋体" w:hAnsi="宋体" w:hint="eastAsia"/>
          <w:sz w:val="28"/>
          <w:szCs w:val="28"/>
        </w:rPr>
        <w:t>1</w:t>
      </w:r>
      <w:r w:rsidR="00532386">
        <w:rPr>
          <w:rFonts w:ascii="宋体" w:hAnsi="宋体"/>
          <w:sz w:val="28"/>
          <w:szCs w:val="28"/>
        </w:rPr>
        <w:t>6</w:t>
      </w:r>
      <w:r w:rsidR="0053115F">
        <w:rPr>
          <w:rFonts w:ascii="宋体" w:hAnsi="宋体" w:hint="eastAsia"/>
          <w:sz w:val="28"/>
          <w:szCs w:val="28"/>
        </w:rPr>
        <w:t>日起</w:t>
      </w:r>
      <w:r w:rsidR="00804255">
        <w:rPr>
          <w:rFonts w:ascii="宋体" w:hAnsi="宋体" w:hint="eastAsia"/>
          <w:sz w:val="28"/>
          <w:szCs w:val="28"/>
        </w:rPr>
        <w:t>重新</w:t>
      </w:r>
      <w:r w:rsidR="009724E3">
        <w:rPr>
          <w:rFonts w:ascii="宋体" w:hAnsi="宋体" w:hint="eastAsia"/>
          <w:sz w:val="28"/>
          <w:szCs w:val="28"/>
        </w:rPr>
        <w:t>被</w:t>
      </w:r>
      <w:r w:rsidR="00804255">
        <w:rPr>
          <w:rFonts w:ascii="宋体" w:hAnsi="宋体" w:hint="eastAsia"/>
          <w:sz w:val="28"/>
          <w:szCs w:val="28"/>
        </w:rPr>
        <w:t>纳入</w:t>
      </w:r>
      <w:proofErr w:type="gramStart"/>
      <w:r w:rsidR="009169FC">
        <w:rPr>
          <w:rFonts w:ascii="宋体" w:hAnsi="宋体" w:hint="eastAsia"/>
          <w:sz w:val="28"/>
          <w:szCs w:val="28"/>
        </w:rPr>
        <w:t>兖</w:t>
      </w:r>
      <w:proofErr w:type="gramEnd"/>
      <w:r w:rsidR="009169FC">
        <w:rPr>
          <w:rFonts w:ascii="宋体" w:hAnsi="宋体" w:hint="eastAsia"/>
          <w:sz w:val="28"/>
          <w:szCs w:val="28"/>
        </w:rPr>
        <w:t>煤</w:t>
      </w:r>
      <w:r w:rsidR="009724E3">
        <w:rPr>
          <w:rFonts w:ascii="宋体" w:hAnsi="宋体" w:hint="eastAsia"/>
          <w:sz w:val="28"/>
          <w:szCs w:val="28"/>
        </w:rPr>
        <w:t>澳洲公司</w:t>
      </w:r>
      <w:r w:rsidR="0053115F">
        <w:rPr>
          <w:rFonts w:ascii="宋体" w:hAnsi="宋体" w:hint="eastAsia"/>
          <w:sz w:val="28"/>
          <w:szCs w:val="28"/>
        </w:rPr>
        <w:t>合并报表</w:t>
      </w:r>
      <w:r w:rsidR="009169FC">
        <w:rPr>
          <w:rFonts w:ascii="宋体" w:hAnsi="宋体" w:hint="eastAsia"/>
          <w:sz w:val="28"/>
          <w:szCs w:val="28"/>
        </w:rPr>
        <w:t>范围</w:t>
      </w:r>
      <w:r w:rsidR="00EC2105">
        <w:rPr>
          <w:rFonts w:ascii="宋体" w:hAnsi="宋体" w:hint="eastAsia"/>
          <w:sz w:val="28"/>
          <w:szCs w:val="28"/>
        </w:rPr>
        <w:t>，并由</w:t>
      </w:r>
      <w:proofErr w:type="gramStart"/>
      <w:r w:rsidR="00DB4054">
        <w:rPr>
          <w:rFonts w:ascii="宋体" w:hAnsi="宋体" w:hint="eastAsia"/>
          <w:sz w:val="28"/>
          <w:szCs w:val="28"/>
        </w:rPr>
        <w:t>兖</w:t>
      </w:r>
      <w:proofErr w:type="gramEnd"/>
      <w:r w:rsidR="00DB4054">
        <w:rPr>
          <w:rFonts w:ascii="宋体" w:hAnsi="宋体" w:hint="eastAsia"/>
          <w:sz w:val="28"/>
          <w:szCs w:val="28"/>
        </w:rPr>
        <w:t>煤</w:t>
      </w:r>
      <w:r w:rsidR="00EC2105">
        <w:rPr>
          <w:rFonts w:ascii="宋体" w:hAnsi="宋体" w:hint="eastAsia"/>
          <w:sz w:val="28"/>
          <w:szCs w:val="28"/>
        </w:rPr>
        <w:t>澳洲公司将其</w:t>
      </w:r>
      <w:r w:rsidR="0053115F">
        <w:rPr>
          <w:rFonts w:ascii="宋体" w:hAnsi="宋体" w:hint="eastAsia"/>
          <w:sz w:val="28"/>
          <w:szCs w:val="28"/>
        </w:rPr>
        <w:t>纳入</w:t>
      </w:r>
      <w:r w:rsidR="00804255">
        <w:rPr>
          <w:rFonts w:ascii="宋体" w:hAnsi="宋体" w:hint="eastAsia"/>
          <w:sz w:val="28"/>
          <w:szCs w:val="28"/>
        </w:rPr>
        <w:t>交叉担保</w:t>
      </w:r>
      <w:r w:rsidR="00532386">
        <w:rPr>
          <w:rFonts w:ascii="宋体" w:hAnsi="宋体" w:hint="eastAsia"/>
          <w:sz w:val="28"/>
          <w:szCs w:val="28"/>
        </w:rPr>
        <w:t>。</w:t>
      </w:r>
    </w:p>
    <w:p w14:paraId="09B8BD9C" w14:textId="0884661A" w:rsidR="00EF20A5" w:rsidRDefault="006A10DA" w:rsidP="00985A38">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020</w:t>
      </w:r>
      <w:r>
        <w:rPr>
          <w:rFonts w:ascii="宋体" w:hAnsi="宋体" w:hint="eastAsia"/>
          <w:sz w:val="28"/>
          <w:szCs w:val="28"/>
        </w:rPr>
        <w:t>年1</w:t>
      </w:r>
      <w:r>
        <w:rPr>
          <w:rFonts w:ascii="宋体" w:hAnsi="宋体"/>
          <w:sz w:val="28"/>
          <w:szCs w:val="28"/>
        </w:rPr>
        <w:t>2</w:t>
      </w:r>
      <w:r>
        <w:rPr>
          <w:rFonts w:ascii="宋体" w:hAnsi="宋体" w:hint="eastAsia"/>
          <w:sz w:val="28"/>
          <w:szCs w:val="28"/>
        </w:rPr>
        <w:t>月1</w:t>
      </w:r>
      <w:r>
        <w:rPr>
          <w:rFonts w:ascii="宋体" w:hAnsi="宋体"/>
          <w:sz w:val="28"/>
          <w:szCs w:val="28"/>
        </w:rPr>
        <w:t>6</w:t>
      </w:r>
      <w:r>
        <w:rPr>
          <w:rFonts w:ascii="宋体" w:hAnsi="宋体" w:hint="eastAsia"/>
          <w:sz w:val="28"/>
          <w:szCs w:val="28"/>
        </w:rPr>
        <w:t>日，</w:t>
      </w:r>
      <w:proofErr w:type="gramStart"/>
      <w:r w:rsidR="009724E3">
        <w:rPr>
          <w:rFonts w:ascii="宋体" w:hAnsi="宋体" w:hint="eastAsia"/>
          <w:sz w:val="28"/>
          <w:szCs w:val="28"/>
        </w:rPr>
        <w:t>兖</w:t>
      </w:r>
      <w:proofErr w:type="gramEnd"/>
      <w:r w:rsidR="009724E3">
        <w:rPr>
          <w:rFonts w:ascii="宋体" w:hAnsi="宋体" w:hint="eastAsia"/>
          <w:sz w:val="28"/>
          <w:szCs w:val="28"/>
        </w:rPr>
        <w:t>矿集团</w:t>
      </w:r>
      <w:r>
        <w:rPr>
          <w:rFonts w:ascii="宋体" w:hAnsi="宋体" w:hint="eastAsia"/>
          <w:sz w:val="28"/>
          <w:szCs w:val="28"/>
        </w:rPr>
        <w:t>与</w:t>
      </w:r>
      <w:proofErr w:type="gramStart"/>
      <w:r w:rsidR="009169FC">
        <w:rPr>
          <w:rFonts w:ascii="宋体" w:hAnsi="宋体" w:hint="eastAsia"/>
          <w:sz w:val="28"/>
          <w:szCs w:val="28"/>
        </w:rPr>
        <w:t>兖</w:t>
      </w:r>
      <w:proofErr w:type="gramEnd"/>
      <w:r w:rsidR="009169FC">
        <w:rPr>
          <w:rFonts w:ascii="宋体" w:hAnsi="宋体" w:hint="eastAsia"/>
          <w:sz w:val="28"/>
          <w:szCs w:val="28"/>
        </w:rPr>
        <w:t>煤</w:t>
      </w:r>
      <w:r>
        <w:rPr>
          <w:rFonts w:ascii="宋体" w:hAnsi="宋体" w:hint="eastAsia"/>
          <w:sz w:val="28"/>
          <w:szCs w:val="28"/>
        </w:rPr>
        <w:t>澳洲公司签署《</w:t>
      </w:r>
      <w:r w:rsidR="00DB4054">
        <w:rPr>
          <w:rFonts w:ascii="宋体" w:hAnsi="宋体" w:hint="eastAsia"/>
          <w:sz w:val="28"/>
          <w:szCs w:val="28"/>
        </w:rPr>
        <w:t>再融资</w:t>
      </w:r>
      <w:r>
        <w:rPr>
          <w:rFonts w:ascii="宋体" w:hAnsi="宋体" w:hint="eastAsia"/>
          <w:sz w:val="28"/>
          <w:szCs w:val="28"/>
        </w:rPr>
        <w:t>协议》，约定</w:t>
      </w:r>
      <w:proofErr w:type="gramStart"/>
      <w:r w:rsidR="0080711B">
        <w:rPr>
          <w:rFonts w:ascii="宋体" w:hAnsi="宋体" w:hint="eastAsia"/>
          <w:sz w:val="28"/>
          <w:szCs w:val="28"/>
        </w:rPr>
        <w:t>兖</w:t>
      </w:r>
      <w:proofErr w:type="gramEnd"/>
      <w:r w:rsidR="0080711B">
        <w:rPr>
          <w:rFonts w:ascii="宋体" w:hAnsi="宋体" w:hint="eastAsia"/>
          <w:sz w:val="28"/>
          <w:szCs w:val="28"/>
        </w:rPr>
        <w:t>矿集团</w:t>
      </w:r>
      <w:r w:rsidR="009724E3">
        <w:rPr>
          <w:rFonts w:ascii="宋体" w:hAnsi="宋体" w:hint="eastAsia"/>
          <w:sz w:val="28"/>
          <w:szCs w:val="28"/>
        </w:rPr>
        <w:t>向</w:t>
      </w:r>
      <w:proofErr w:type="gramStart"/>
      <w:r w:rsidR="00DB4054">
        <w:rPr>
          <w:rFonts w:ascii="宋体" w:hAnsi="宋体" w:hint="eastAsia"/>
          <w:sz w:val="28"/>
          <w:szCs w:val="28"/>
        </w:rPr>
        <w:t>兖</w:t>
      </w:r>
      <w:proofErr w:type="gramEnd"/>
      <w:r w:rsidR="00DB4054">
        <w:rPr>
          <w:rFonts w:ascii="宋体" w:hAnsi="宋体" w:hint="eastAsia"/>
          <w:sz w:val="28"/>
          <w:szCs w:val="28"/>
        </w:rPr>
        <w:t>煤</w:t>
      </w:r>
      <w:r w:rsidR="009724E3">
        <w:rPr>
          <w:rFonts w:ascii="宋体" w:hAnsi="宋体" w:hint="eastAsia"/>
          <w:sz w:val="28"/>
          <w:szCs w:val="28"/>
        </w:rPr>
        <w:t>澳洲公司提供7</w:t>
      </w:r>
      <w:r w:rsidR="009724E3">
        <w:rPr>
          <w:rFonts w:ascii="宋体" w:hAnsi="宋体"/>
          <w:sz w:val="28"/>
          <w:szCs w:val="28"/>
        </w:rPr>
        <w:t>.75</w:t>
      </w:r>
      <w:r w:rsidR="009724E3">
        <w:rPr>
          <w:rFonts w:ascii="宋体" w:hAnsi="宋体" w:hint="eastAsia"/>
          <w:sz w:val="28"/>
          <w:szCs w:val="28"/>
        </w:rPr>
        <w:t>亿美元</w:t>
      </w:r>
      <w:r>
        <w:rPr>
          <w:rFonts w:ascii="宋体" w:hAnsi="宋体" w:hint="eastAsia"/>
          <w:sz w:val="28"/>
          <w:szCs w:val="28"/>
        </w:rPr>
        <w:t>财务资助</w:t>
      </w:r>
      <w:r w:rsidR="00EC2105">
        <w:rPr>
          <w:rFonts w:ascii="宋体" w:hAnsi="宋体" w:hint="eastAsia"/>
          <w:sz w:val="28"/>
          <w:szCs w:val="28"/>
        </w:rPr>
        <w:t>，</w:t>
      </w:r>
      <w:r w:rsidR="007B6A39">
        <w:rPr>
          <w:rFonts w:ascii="宋体" w:hAnsi="宋体" w:hint="eastAsia"/>
          <w:sz w:val="28"/>
          <w:szCs w:val="28"/>
        </w:rPr>
        <w:t>期限为六年，</w:t>
      </w:r>
      <w:r w:rsidRPr="006A10DA">
        <w:rPr>
          <w:rFonts w:ascii="宋体" w:hAnsi="宋体" w:hint="eastAsia"/>
          <w:sz w:val="28"/>
          <w:szCs w:val="28"/>
        </w:rPr>
        <w:t>财务资助利率水平前36个月为4.65%（即</w:t>
      </w:r>
      <w:r>
        <w:rPr>
          <w:rFonts w:ascii="宋体" w:hAnsi="宋体" w:hint="eastAsia"/>
          <w:sz w:val="28"/>
          <w:szCs w:val="28"/>
        </w:rPr>
        <w:t>借款协议</w:t>
      </w:r>
      <w:r w:rsidRPr="006A10DA">
        <w:rPr>
          <w:rFonts w:ascii="宋体" w:hAnsi="宋体" w:hint="eastAsia"/>
          <w:sz w:val="28"/>
          <w:szCs w:val="28"/>
        </w:rPr>
        <w:t>签订</w:t>
      </w:r>
      <w:r>
        <w:rPr>
          <w:rFonts w:ascii="宋体" w:hAnsi="宋体" w:hint="eastAsia"/>
          <w:sz w:val="28"/>
          <w:szCs w:val="28"/>
        </w:rPr>
        <w:t>时</w:t>
      </w:r>
      <w:r w:rsidRPr="006A10DA">
        <w:rPr>
          <w:rFonts w:ascii="宋体" w:hAnsi="宋体" w:hint="eastAsia"/>
          <w:sz w:val="28"/>
          <w:szCs w:val="28"/>
        </w:rPr>
        <w:t>同期全国银行间同业拆借中心公布的五年</w:t>
      </w:r>
      <w:proofErr w:type="gramStart"/>
      <w:r w:rsidRPr="006A10DA">
        <w:rPr>
          <w:rFonts w:ascii="宋体" w:hAnsi="宋体" w:hint="eastAsia"/>
          <w:sz w:val="28"/>
          <w:szCs w:val="28"/>
        </w:rPr>
        <w:t>期贷款市场</w:t>
      </w:r>
      <w:proofErr w:type="gramEnd"/>
      <w:r w:rsidRPr="006A10DA">
        <w:rPr>
          <w:rFonts w:ascii="宋体" w:hAnsi="宋体" w:hint="eastAsia"/>
          <w:sz w:val="28"/>
          <w:szCs w:val="28"/>
        </w:rPr>
        <w:t>报价利率，以下简称五年期LPR）、后36个月利率水平为届时同期五年期LPR</w:t>
      </w:r>
      <w:r w:rsidR="009236F3">
        <w:rPr>
          <w:rFonts w:ascii="宋体" w:hAnsi="宋体" w:hint="eastAsia"/>
          <w:sz w:val="28"/>
          <w:szCs w:val="28"/>
        </w:rPr>
        <w:t>。</w:t>
      </w:r>
      <w:r w:rsidR="00EF20A5">
        <w:rPr>
          <w:rFonts w:ascii="宋体" w:hAnsi="宋体" w:hint="eastAsia"/>
          <w:sz w:val="28"/>
          <w:szCs w:val="28"/>
        </w:rPr>
        <w:t>该等</w:t>
      </w:r>
      <w:r w:rsidR="00EF20A5" w:rsidRPr="00EF20A5">
        <w:rPr>
          <w:rFonts w:ascii="宋体" w:hAnsi="宋体" w:hint="eastAsia"/>
          <w:sz w:val="28"/>
          <w:szCs w:val="28"/>
        </w:rPr>
        <w:t>财务资助利率</w:t>
      </w:r>
      <w:r w:rsidR="00EF20A5" w:rsidRPr="00EF20A5">
        <w:rPr>
          <w:rFonts w:ascii="宋体" w:hAnsi="宋体" w:hint="eastAsia"/>
          <w:sz w:val="28"/>
          <w:szCs w:val="28"/>
        </w:rPr>
        <w:lastRenderedPageBreak/>
        <w:t>水平不高于中国人民银行规定的同期贷款基准利率（即五年期LP</w:t>
      </w:r>
      <w:r w:rsidR="00DB4054">
        <w:rPr>
          <w:rFonts w:ascii="宋体" w:hAnsi="宋体"/>
          <w:sz w:val="28"/>
          <w:szCs w:val="28"/>
        </w:rPr>
        <w:t>R</w:t>
      </w:r>
      <w:r w:rsidR="00EF20A5" w:rsidRPr="00EF20A5">
        <w:rPr>
          <w:rFonts w:ascii="宋体" w:hAnsi="宋体" w:hint="eastAsia"/>
          <w:sz w:val="28"/>
          <w:szCs w:val="28"/>
        </w:rPr>
        <w:t>）且公司及公司子公司对本次财务资助无相应抵押或担保，根据《上海证券交易所上市公司关联交易实施指引》第五十六条规定，可豁免按照关联交易的方式进行审议和披露。</w:t>
      </w:r>
    </w:p>
    <w:p w14:paraId="17247652" w14:textId="410990B0" w:rsidR="009236F3" w:rsidRDefault="00482E5E" w:rsidP="00985A38">
      <w:pPr>
        <w:spacing w:line="520" w:lineRule="exact"/>
        <w:ind w:firstLineChars="200" w:firstLine="560"/>
        <w:rPr>
          <w:rFonts w:ascii="宋体" w:hAnsi="宋体"/>
          <w:sz w:val="28"/>
          <w:szCs w:val="28"/>
        </w:rPr>
      </w:pPr>
      <w:r>
        <w:rPr>
          <w:rFonts w:ascii="宋体" w:hAnsi="宋体" w:hint="eastAsia"/>
          <w:sz w:val="28"/>
          <w:szCs w:val="28"/>
        </w:rPr>
        <w:t>根据《再融资协议》</w:t>
      </w:r>
      <w:r w:rsidR="002E3DA7">
        <w:rPr>
          <w:rFonts w:ascii="宋体" w:hAnsi="宋体" w:hint="eastAsia"/>
          <w:sz w:val="28"/>
          <w:szCs w:val="28"/>
        </w:rPr>
        <w:t>及相关协议</w:t>
      </w:r>
      <w:r>
        <w:rPr>
          <w:rFonts w:ascii="宋体" w:hAnsi="宋体" w:hint="eastAsia"/>
          <w:sz w:val="28"/>
          <w:szCs w:val="28"/>
        </w:rPr>
        <w:t>的约定，</w:t>
      </w:r>
      <w:proofErr w:type="gramStart"/>
      <w:r>
        <w:rPr>
          <w:rFonts w:ascii="宋体" w:hAnsi="宋体" w:hint="eastAsia"/>
          <w:sz w:val="28"/>
          <w:szCs w:val="28"/>
        </w:rPr>
        <w:t>兖</w:t>
      </w:r>
      <w:proofErr w:type="gramEnd"/>
      <w:r>
        <w:rPr>
          <w:rFonts w:ascii="宋体" w:hAnsi="宋体" w:hint="eastAsia"/>
          <w:sz w:val="28"/>
          <w:szCs w:val="28"/>
        </w:rPr>
        <w:t>煤澳洲在取得前述财务资助后将把该等资金提供给</w:t>
      </w:r>
      <w:r w:rsidR="009236F3">
        <w:rPr>
          <w:rFonts w:ascii="宋体" w:hAnsi="宋体" w:hint="eastAsia"/>
          <w:sz w:val="28"/>
          <w:szCs w:val="28"/>
        </w:rPr>
        <w:t>沃特岗</w:t>
      </w:r>
      <w:r>
        <w:rPr>
          <w:rFonts w:ascii="宋体" w:hAnsi="宋体" w:hint="eastAsia"/>
          <w:sz w:val="28"/>
          <w:szCs w:val="28"/>
        </w:rPr>
        <w:t>专项用于</w:t>
      </w:r>
      <w:r w:rsidR="009236F3">
        <w:rPr>
          <w:rFonts w:ascii="宋体" w:hAnsi="宋体" w:hint="eastAsia"/>
          <w:sz w:val="28"/>
          <w:szCs w:val="28"/>
        </w:rPr>
        <w:t>沃特岗</w:t>
      </w:r>
      <w:r>
        <w:rPr>
          <w:rFonts w:ascii="宋体" w:hAnsi="宋体" w:hint="eastAsia"/>
          <w:sz w:val="28"/>
          <w:szCs w:val="28"/>
        </w:rPr>
        <w:t>赎回</w:t>
      </w:r>
      <w:proofErr w:type="gramStart"/>
      <w:r w:rsidR="009236F3">
        <w:rPr>
          <w:rFonts w:ascii="宋体" w:hAnsi="宋体" w:hint="eastAsia"/>
          <w:sz w:val="28"/>
          <w:szCs w:val="28"/>
        </w:rPr>
        <w:t>兖</w:t>
      </w:r>
      <w:proofErr w:type="gramEnd"/>
      <w:r w:rsidR="009236F3">
        <w:rPr>
          <w:rFonts w:ascii="宋体" w:hAnsi="宋体" w:hint="eastAsia"/>
          <w:sz w:val="28"/>
          <w:szCs w:val="28"/>
        </w:rPr>
        <w:t>矿集团或其指定主体持有的</w:t>
      </w:r>
      <w:r w:rsidR="009236F3">
        <w:rPr>
          <w:rFonts w:ascii="宋体" w:hAnsi="宋体"/>
          <w:sz w:val="28"/>
          <w:szCs w:val="28"/>
        </w:rPr>
        <w:t>7.75</w:t>
      </w:r>
      <w:r w:rsidR="009236F3">
        <w:rPr>
          <w:rFonts w:ascii="宋体" w:hAnsi="宋体" w:hint="eastAsia"/>
          <w:sz w:val="28"/>
          <w:szCs w:val="28"/>
        </w:rPr>
        <w:t>亿美元沃特岗债券。</w:t>
      </w:r>
    </w:p>
    <w:p w14:paraId="0F4EB8E1" w14:textId="77777777" w:rsidR="009724E3" w:rsidRPr="005652CD" w:rsidRDefault="009724E3" w:rsidP="00985A38">
      <w:pPr>
        <w:spacing w:line="520" w:lineRule="exact"/>
        <w:ind w:firstLineChars="200" w:firstLine="562"/>
        <w:rPr>
          <w:rFonts w:ascii="宋体" w:hAnsi="宋体"/>
          <w:b/>
          <w:bCs/>
          <w:sz w:val="28"/>
          <w:szCs w:val="28"/>
        </w:rPr>
      </w:pPr>
      <w:r w:rsidRPr="005652CD">
        <w:rPr>
          <w:rFonts w:ascii="宋体" w:hAnsi="宋体" w:hint="eastAsia"/>
          <w:b/>
          <w:bCs/>
          <w:sz w:val="28"/>
          <w:szCs w:val="28"/>
        </w:rPr>
        <w:t>三、本次</w:t>
      </w:r>
      <w:r w:rsidR="002B72A6" w:rsidRPr="005652CD">
        <w:rPr>
          <w:rFonts w:ascii="宋体" w:hAnsi="宋体" w:hint="eastAsia"/>
          <w:b/>
          <w:bCs/>
          <w:sz w:val="28"/>
          <w:szCs w:val="28"/>
        </w:rPr>
        <w:t>重新</w:t>
      </w:r>
      <w:r w:rsidRPr="005652CD">
        <w:rPr>
          <w:rFonts w:ascii="宋体" w:hAnsi="宋体" w:hint="eastAsia"/>
          <w:b/>
          <w:bCs/>
          <w:sz w:val="28"/>
          <w:szCs w:val="28"/>
        </w:rPr>
        <w:t>合并</w:t>
      </w:r>
      <w:r w:rsidR="002B72A6" w:rsidRPr="005652CD">
        <w:rPr>
          <w:rFonts w:ascii="宋体" w:hAnsi="宋体" w:hint="eastAsia"/>
          <w:b/>
          <w:bCs/>
          <w:sz w:val="28"/>
          <w:szCs w:val="28"/>
        </w:rPr>
        <w:t>沃特岗</w:t>
      </w:r>
      <w:r w:rsidR="00DB6891">
        <w:rPr>
          <w:rFonts w:ascii="宋体" w:hAnsi="宋体" w:hint="eastAsia"/>
          <w:b/>
          <w:bCs/>
          <w:sz w:val="28"/>
          <w:szCs w:val="28"/>
        </w:rPr>
        <w:t>财务报表</w:t>
      </w:r>
      <w:r w:rsidR="002B72A6" w:rsidRPr="005652CD">
        <w:rPr>
          <w:rFonts w:ascii="宋体" w:hAnsi="宋体" w:hint="eastAsia"/>
          <w:b/>
          <w:bCs/>
          <w:sz w:val="28"/>
          <w:szCs w:val="28"/>
        </w:rPr>
        <w:t>对</w:t>
      </w:r>
      <w:r w:rsidRPr="005652CD">
        <w:rPr>
          <w:rFonts w:ascii="宋体" w:hAnsi="宋体" w:hint="eastAsia"/>
          <w:b/>
          <w:bCs/>
          <w:sz w:val="28"/>
          <w:szCs w:val="28"/>
        </w:rPr>
        <w:t>公司的影响</w:t>
      </w:r>
    </w:p>
    <w:p w14:paraId="5A1753D9" w14:textId="79D85AD9" w:rsidR="006D241D" w:rsidRDefault="007760ED" w:rsidP="00985A38">
      <w:pPr>
        <w:spacing w:line="520" w:lineRule="exact"/>
        <w:ind w:firstLineChars="200" w:firstLine="560"/>
        <w:rPr>
          <w:rFonts w:ascii="宋体" w:hAnsi="宋体"/>
          <w:sz w:val="28"/>
          <w:szCs w:val="28"/>
        </w:rPr>
      </w:pPr>
      <w:r>
        <w:rPr>
          <w:rFonts w:ascii="宋体" w:hAnsi="宋体" w:hint="eastAsia"/>
          <w:sz w:val="28"/>
          <w:szCs w:val="28"/>
        </w:rPr>
        <w:t>根据澳大利亚会计准则，重新合并沃特岗</w:t>
      </w:r>
      <w:r w:rsidR="00FE703C">
        <w:rPr>
          <w:rFonts w:ascii="宋体" w:hAnsi="宋体" w:hint="eastAsia"/>
          <w:sz w:val="28"/>
          <w:szCs w:val="28"/>
        </w:rPr>
        <w:t>将</w:t>
      </w:r>
      <w:r>
        <w:rPr>
          <w:rFonts w:ascii="宋体" w:hAnsi="宋体" w:hint="eastAsia"/>
          <w:sz w:val="28"/>
          <w:szCs w:val="28"/>
        </w:rPr>
        <w:t>作为收购进行会计处理，按其公允价值入账</w:t>
      </w:r>
      <w:r w:rsidR="00FE703C">
        <w:rPr>
          <w:rFonts w:ascii="宋体" w:hAnsi="宋体" w:hint="eastAsia"/>
          <w:sz w:val="28"/>
          <w:szCs w:val="28"/>
        </w:rPr>
        <w:t>。</w:t>
      </w:r>
      <w:r>
        <w:rPr>
          <w:rFonts w:ascii="宋体" w:hAnsi="宋体" w:hint="eastAsia"/>
          <w:sz w:val="28"/>
          <w:szCs w:val="28"/>
        </w:rPr>
        <w:t>因</w:t>
      </w:r>
      <w:r w:rsidR="00DA3B88">
        <w:rPr>
          <w:rFonts w:ascii="宋体" w:hAnsi="宋体" w:hint="eastAsia"/>
          <w:sz w:val="28"/>
          <w:szCs w:val="28"/>
        </w:rPr>
        <w:t>沃特岗</w:t>
      </w:r>
      <w:proofErr w:type="gramStart"/>
      <w:r w:rsidR="00DA3B88">
        <w:rPr>
          <w:rFonts w:ascii="宋体" w:hAnsi="宋体" w:hint="eastAsia"/>
          <w:sz w:val="28"/>
          <w:szCs w:val="28"/>
        </w:rPr>
        <w:t>所属澳思达</w:t>
      </w:r>
      <w:proofErr w:type="gramEnd"/>
      <w:r w:rsidR="00DA3B88">
        <w:rPr>
          <w:rFonts w:ascii="宋体" w:hAnsi="宋体" w:hint="eastAsia"/>
          <w:sz w:val="28"/>
          <w:szCs w:val="28"/>
        </w:rPr>
        <w:t>和唐纳森煤矿处于养护状态，</w:t>
      </w:r>
      <w:proofErr w:type="gramStart"/>
      <w:r w:rsidR="00DA3B88">
        <w:rPr>
          <w:rFonts w:ascii="宋体" w:hAnsi="宋体" w:hint="eastAsia"/>
          <w:sz w:val="28"/>
          <w:szCs w:val="28"/>
        </w:rPr>
        <w:t>仅艾诗顿</w:t>
      </w:r>
      <w:proofErr w:type="gramEnd"/>
      <w:r w:rsidR="00DA3B88">
        <w:rPr>
          <w:rFonts w:ascii="宋体" w:hAnsi="宋体" w:hint="eastAsia"/>
          <w:sz w:val="28"/>
          <w:szCs w:val="28"/>
        </w:rPr>
        <w:t>煤矿在产，</w:t>
      </w:r>
      <w:r w:rsidR="0030302B">
        <w:rPr>
          <w:rFonts w:ascii="宋体" w:hAnsi="宋体" w:hint="eastAsia"/>
          <w:sz w:val="28"/>
          <w:szCs w:val="28"/>
        </w:rPr>
        <w:t>2</w:t>
      </w:r>
      <w:r w:rsidR="0030302B">
        <w:rPr>
          <w:rFonts w:ascii="宋体" w:hAnsi="宋体"/>
          <w:sz w:val="28"/>
          <w:szCs w:val="28"/>
        </w:rPr>
        <w:t>019</w:t>
      </w:r>
      <w:r w:rsidR="0030302B">
        <w:rPr>
          <w:rFonts w:ascii="宋体" w:hAnsi="宋体" w:hint="eastAsia"/>
          <w:sz w:val="28"/>
          <w:szCs w:val="28"/>
        </w:rPr>
        <w:t>年和2</w:t>
      </w:r>
      <w:r w:rsidR="0030302B">
        <w:rPr>
          <w:rFonts w:ascii="宋体" w:hAnsi="宋体"/>
          <w:sz w:val="28"/>
          <w:szCs w:val="28"/>
        </w:rPr>
        <w:t>020</w:t>
      </w:r>
      <w:r w:rsidR="0030302B">
        <w:rPr>
          <w:rFonts w:ascii="宋体" w:hAnsi="宋体" w:hint="eastAsia"/>
          <w:sz w:val="28"/>
          <w:szCs w:val="28"/>
        </w:rPr>
        <w:t>年上半年，沃特岗分别</w:t>
      </w:r>
      <w:r w:rsidR="00916498">
        <w:rPr>
          <w:rFonts w:ascii="宋体" w:hAnsi="宋体" w:hint="eastAsia"/>
          <w:sz w:val="28"/>
          <w:szCs w:val="28"/>
        </w:rPr>
        <w:t>实现营业收入</w:t>
      </w:r>
      <w:r w:rsidR="002453F0">
        <w:rPr>
          <w:rFonts w:ascii="宋体" w:hAnsi="宋体" w:hint="eastAsia"/>
          <w:sz w:val="28"/>
          <w:szCs w:val="28"/>
        </w:rPr>
        <w:t>2</w:t>
      </w:r>
      <w:r w:rsidR="002453F0">
        <w:rPr>
          <w:rFonts w:ascii="宋体" w:hAnsi="宋体"/>
          <w:sz w:val="28"/>
          <w:szCs w:val="28"/>
        </w:rPr>
        <w:t>.77</w:t>
      </w:r>
      <w:r w:rsidR="002453F0">
        <w:rPr>
          <w:rFonts w:ascii="宋体" w:hAnsi="宋体" w:hint="eastAsia"/>
          <w:sz w:val="28"/>
          <w:szCs w:val="28"/>
        </w:rPr>
        <w:t>亿澳元</w:t>
      </w:r>
      <w:r w:rsidR="00916498">
        <w:rPr>
          <w:rFonts w:ascii="宋体" w:hAnsi="宋体" w:hint="eastAsia"/>
          <w:sz w:val="28"/>
          <w:szCs w:val="28"/>
        </w:rPr>
        <w:t>和</w:t>
      </w:r>
      <w:r w:rsidR="002453F0">
        <w:rPr>
          <w:rFonts w:ascii="宋体" w:hAnsi="宋体" w:hint="eastAsia"/>
          <w:sz w:val="28"/>
          <w:szCs w:val="28"/>
        </w:rPr>
        <w:t>1</w:t>
      </w:r>
      <w:r w:rsidR="002453F0">
        <w:rPr>
          <w:rFonts w:ascii="宋体" w:hAnsi="宋体"/>
          <w:sz w:val="28"/>
          <w:szCs w:val="28"/>
        </w:rPr>
        <w:t>.50</w:t>
      </w:r>
      <w:r w:rsidR="002453F0">
        <w:rPr>
          <w:rFonts w:ascii="宋体" w:hAnsi="宋体" w:hint="eastAsia"/>
          <w:sz w:val="28"/>
          <w:szCs w:val="28"/>
        </w:rPr>
        <w:t>亿澳元</w:t>
      </w:r>
      <w:r w:rsidR="00916498">
        <w:rPr>
          <w:rFonts w:ascii="宋体" w:hAnsi="宋体" w:hint="eastAsia"/>
          <w:sz w:val="28"/>
          <w:szCs w:val="28"/>
        </w:rPr>
        <w:t>，</w:t>
      </w:r>
      <w:r w:rsidR="0030302B">
        <w:rPr>
          <w:rFonts w:ascii="宋体" w:hAnsi="宋体" w:hint="eastAsia"/>
          <w:sz w:val="28"/>
          <w:szCs w:val="28"/>
        </w:rPr>
        <w:t>亏损</w:t>
      </w:r>
      <w:r w:rsidR="002453F0">
        <w:rPr>
          <w:rFonts w:ascii="宋体" w:hAnsi="宋体" w:hint="eastAsia"/>
          <w:sz w:val="28"/>
          <w:szCs w:val="28"/>
        </w:rPr>
        <w:t>1</w:t>
      </w:r>
      <w:r w:rsidR="002453F0">
        <w:rPr>
          <w:rFonts w:ascii="宋体" w:hAnsi="宋体"/>
          <w:sz w:val="28"/>
          <w:szCs w:val="28"/>
        </w:rPr>
        <w:t>.12</w:t>
      </w:r>
      <w:r w:rsidR="002453F0">
        <w:rPr>
          <w:rFonts w:ascii="宋体" w:hAnsi="宋体" w:hint="eastAsia"/>
          <w:sz w:val="28"/>
          <w:szCs w:val="28"/>
        </w:rPr>
        <w:t>亿澳元</w:t>
      </w:r>
      <w:r w:rsidR="0030302B">
        <w:rPr>
          <w:rFonts w:ascii="宋体" w:hAnsi="宋体" w:hint="eastAsia"/>
          <w:sz w:val="28"/>
          <w:szCs w:val="28"/>
        </w:rPr>
        <w:t>和</w:t>
      </w:r>
      <w:r w:rsidR="002453F0">
        <w:rPr>
          <w:rFonts w:ascii="宋体" w:hAnsi="宋体" w:hint="eastAsia"/>
          <w:sz w:val="28"/>
          <w:szCs w:val="28"/>
        </w:rPr>
        <w:t>1</w:t>
      </w:r>
      <w:r w:rsidR="002453F0">
        <w:rPr>
          <w:rFonts w:ascii="宋体" w:hAnsi="宋体"/>
          <w:sz w:val="28"/>
          <w:szCs w:val="28"/>
        </w:rPr>
        <w:t>.54</w:t>
      </w:r>
      <w:r w:rsidR="002453F0">
        <w:rPr>
          <w:rFonts w:ascii="宋体" w:hAnsi="宋体" w:hint="eastAsia"/>
          <w:sz w:val="28"/>
          <w:szCs w:val="28"/>
        </w:rPr>
        <w:t>亿澳元</w:t>
      </w:r>
      <w:r w:rsidR="0030302B">
        <w:rPr>
          <w:rFonts w:ascii="宋体" w:hAnsi="宋体" w:hint="eastAsia"/>
          <w:sz w:val="28"/>
          <w:szCs w:val="28"/>
        </w:rPr>
        <w:t>。因</w:t>
      </w:r>
      <w:r>
        <w:rPr>
          <w:rFonts w:ascii="宋体" w:hAnsi="宋体" w:hint="eastAsia"/>
          <w:sz w:val="28"/>
          <w:szCs w:val="28"/>
        </w:rPr>
        <w:t>负债价值预计高于资产估值，</w:t>
      </w:r>
      <w:r w:rsidR="00F16FFF">
        <w:rPr>
          <w:rFonts w:ascii="宋体" w:hAnsi="宋体" w:hint="eastAsia"/>
          <w:sz w:val="28"/>
          <w:szCs w:val="28"/>
        </w:rPr>
        <w:t>重新合并沃特岗财务报表</w:t>
      </w:r>
      <w:r>
        <w:rPr>
          <w:rFonts w:ascii="宋体" w:hAnsi="宋体" w:hint="eastAsia"/>
          <w:sz w:val="28"/>
          <w:szCs w:val="28"/>
        </w:rPr>
        <w:t>后</w:t>
      </w:r>
      <w:r w:rsidR="00F16FFF">
        <w:rPr>
          <w:rFonts w:ascii="宋体" w:hAnsi="宋体" w:hint="eastAsia"/>
          <w:sz w:val="28"/>
          <w:szCs w:val="28"/>
        </w:rPr>
        <w:t>，将导致</w:t>
      </w:r>
      <w:proofErr w:type="gramStart"/>
      <w:r w:rsidR="00F16FFF">
        <w:rPr>
          <w:rFonts w:ascii="宋体" w:hAnsi="宋体" w:hint="eastAsia"/>
          <w:sz w:val="28"/>
          <w:szCs w:val="28"/>
        </w:rPr>
        <w:t>兖</w:t>
      </w:r>
      <w:proofErr w:type="gramEnd"/>
      <w:r w:rsidR="00F16FFF">
        <w:rPr>
          <w:rFonts w:ascii="宋体" w:hAnsi="宋体" w:hint="eastAsia"/>
          <w:sz w:val="28"/>
          <w:szCs w:val="28"/>
        </w:rPr>
        <w:t>煤澳洲公司</w:t>
      </w:r>
      <w:r w:rsidR="00B0407A">
        <w:rPr>
          <w:rFonts w:ascii="宋体" w:hAnsi="宋体" w:hint="eastAsia"/>
          <w:sz w:val="28"/>
          <w:szCs w:val="28"/>
        </w:rPr>
        <w:t>2</w:t>
      </w:r>
      <w:r w:rsidR="00B0407A">
        <w:rPr>
          <w:rFonts w:ascii="宋体" w:hAnsi="宋体"/>
          <w:sz w:val="28"/>
          <w:szCs w:val="28"/>
        </w:rPr>
        <w:t>020</w:t>
      </w:r>
      <w:r w:rsidR="00B0407A">
        <w:rPr>
          <w:rFonts w:ascii="宋体" w:hAnsi="宋体" w:hint="eastAsia"/>
          <w:sz w:val="28"/>
          <w:szCs w:val="28"/>
        </w:rPr>
        <w:t>年度</w:t>
      </w:r>
      <w:r w:rsidR="00F16FFF">
        <w:rPr>
          <w:rFonts w:ascii="宋体" w:hAnsi="宋体" w:hint="eastAsia"/>
          <w:sz w:val="28"/>
          <w:szCs w:val="28"/>
        </w:rPr>
        <w:t>确认一次性非现金损失约1</w:t>
      </w:r>
      <w:r w:rsidR="00F16FFF">
        <w:rPr>
          <w:rFonts w:ascii="宋体" w:hAnsi="宋体"/>
          <w:sz w:val="28"/>
          <w:szCs w:val="28"/>
        </w:rPr>
        <w:t>3</w:t>
      </w:r>
      <w:r w:rsidR="00F16FFF">
        <w:rPr>
          <w:rFonts w:ascii="宋体" w:hAnsi="宋体" w:hint="eastAsia"/>
          <w:sz w:val="28"/>
          <w:szCs w:val="28"/>
        </w:rPr>
        <w:t>-</w:t>
      </w:r>
      <w:r w:rsidR="00F16FFF">
        <w:rPr>
          <w:rFonts w:ascii="宋体" w:hAnsi="宋体"/>
          <w:sz w:val="28"/>
          <w:szCs w:val="28"/>
        </w:rPr>
        <w:t>15</w:t>
      </w:r>
      <w:r w:rsidR="00F16FFF">
        <w:rPr>
          <w:rFonts w:ascii="宋体" w:hAnsi="宋体" w:hint="eastAsia"/>
          <w:sz w:val="28"/>
          <w:szCs w:val="28"/>
        </w:rPr>
        <w:t>亿澳元。</w:t>
      </w:r>
    </w:p>
    <w:p w14:paraId="3BEB026E" w14:textId="6567C4D9" w:rsidR="00343DEC" w:rsidRDefault="00343DEC" w:rsidP="00985A38">
      <w:pPr>
        <w:spacing w:line="520" w:lineRule="exact"/>
        <w:ind w:firstLineChars="200" w:firstLine="560"/>
        <w:rPr>
          <w:rFonts w:ascii="宋体" w:hAnsi="宋体"/>
          <w:sz w:val="28"/>
          <w:szCs w:val="28"/>
        </w:rPr>
      </w:pPr>
      <w:r w:rsidRPr="00343DEC">
        <w:rPr>
          <w:rFonts w:ascii="宋体" w:hAnsi="宋体" w:hint="eastAsia"/>
          <w:sz w:val="28"/>
          <w:szCs w:val="28"/>
        </w:rPr>
        <w:t>公司目前生产经营正常。公司持有</w:t>
      </w:r>
      <w:proofErr w:type="gramStart"/>
      <w:r w:rsidRPr="00343DEC">
        <w:rPr>
          <w:rFonts w:ascii="宋体" w:hAnsi="宋体" w:hint="eastAsia"/>
          <w:sz w:val="28"/>
          <w:szCs w:val="28"/>
        </w:rPr>
        <w:t>兖</w:t>
      </w:r>
      <w:proofErr w:type="gramEnd"/>
      <w:r w:rsidRPr="00343DEC">
        <w:rPr>
          <w:rFonts w:ascii="宋体" w:hAnsi="宋体" w:hint="eastAsia"/>
          <w:sz w:val="28"/>
          <w:szCs w:val="28"/>
        </w:rPr>
        <w:t>煤澳洲公司62.26%股权；</w:t>
      </w:r>
      <w:proofErr w:type="gramStart"/>
      <w:r w:rsidRPr="00343DEC">
        <w:rPr>
          <w:rFonts w:ascii="宋体" w:hAnsi="宋体" w:hint="eastAsia"/>
          <w:sz w:val="28"/>
          <w:szCs w:val="28"/>
        </w:rPr>
        <w:t>兖</w:t>
      </w:r>
      <w:proofErr w:type="gramEnd"/>
      <w:r w:rsidRPr="00343DEC">
        <w:rPr>
          <w:rFonts w:ascii="宋体" w:hAnsi="宋体" w:hint="eastAsia"/>
          <w:sz w:val="28"/>
          <w:szCs w:val="28"/>
        </w:rPr>
        <w:t>煤澳洲公司法定所得税率是30%；公司因同</w:t>
      </w:r>
      <w:proofErr w:type="gramStart"/>
      <w:r w:rsidRPr="00343DEC">
        <w:rPr>
          <w:rFonts w:ascii="宋体" w:hAnsi="宋体" w:hint="eastAsia"/>
          <w:sz w:val="28"/>
          <w:szCs w:val="28"/>
        </w:rPr>
        <w:t>一控制</w:t>
      </w:r>
      <w:proofErr w:type="gramEnd"/>
      <w:r w:rsidRPr="00343DEC">
        <w:rPr>
          <w:rFonts w:ascii="宋体" w:hAnsi="宋体" w:hint="eastAsia"/>
          <w:sz w:val="28"/>
          <w:szCs w:val="28"/>
        </w:rPr>
        <w:t>下企业合并而新增合并陕西未来能源化工有限公司、</w:t>
      </w:r>
      <w:proofErr w:type="gramStart"/>
      <w:r w:rsidRPr="00343DEC">
        <w:rPr>
          <w:rFonts w:ascii="宋体" w:hAnsi="宋体" w:hint="eastAsia"/>
          <w:sz w:val="28"/>
          <w:szCs w:val="28"/>
        </w:rPr>
        <w:t>兖</w:t>
      </w:r>
      <w:proofErr w:type="gramEnd"/>
      <w:r w:rsidRPr="00343DEC">
        <w:rPr>
          <w:rFonts w:ascii="宋体" w:hAnsi="宋体" w:hint="eastAsia"/>
          <w:sz w:val="28"/>
          <w:szCs w:val="28"/>
        </w:rPr>
        <w:t>矿鲁南化工有限公司等公司财务报表；按中国会计准则计算，公司2020年前三季度实现的归属于母公司股东净利润为人民币56.904亿元。请投资者综合考虑，审慎投资。</w:t>
      </w:r>
    </w:p>
    <w:p w14:paraId="73381384" w14:textId="77777777" w:rsidR="00E406B2" w:rsidRPr="00492F48" w:rsidRDefault="00E406B2" w:rsidP="00985A38">
      <w:pPr>
        <w:spacing w:line="520" w:lineRule="exact"/>
        <w:ind w:firstLineChars="200" w:firstLine="560"/>
        <w:rPr>
          <w:rFonts w:ascii="宋体"/>
          <w:sz w:val="28"/>
          <w:szCs w:val="28"/>
        </w:rPr>
      </w:pPr>
    </w:p>
    <w:p w14:paraId="49519827" w14:textId="77777777" w:rsidR="00E406B2" w:rsidRPr="00492F48" w:rsidRDefault="00E406B2" w:rsidP="00985A38">
      <w:pPr>
        <w:spacing w:line="520" w:lineRule="exact"/>
        <w:jc w:val="right"/>
        <w:rPr>
          <w:rFonts w:ascii="宋体" w:hAnsi="宋体"/>
          <w:sz w:val="28"/>
          <w:szCs w:val="28"/>
        </w:rPr>
      </w:pPr>
      <w:r w:rsidRPr="00492F48">
        <w:rPr>
          <w:rFonts w:ascii="宋体" w:hAnsi="宋体" w:hint="eastAsia"/>
          <w:sz w:val="28"/>
          <w:szCs w:val="28"/>
        </w:rPr>
        <w:t>兖州煤业股份有限公司董事会</w:t>
      </w:r>
    </w:p>
    <w:p w14:paraId="5A46EAE8" w14:textId="77777777" w:rsidR="00FE09EE" w:rsidRDefault="00E406B2" w:rsidP="00985A38">
      <w:pPr>
        <w:spacing w:line="520" w:lineRule="exact"/>
        <w:ind w:firstLineChars="2000" w:firstLine="5600"/>
      </w:pPr>
      <w:r w:rsidRPr="00E01135">
        <w:rPr>
          <w:rFonts w:ascii="宋体" w:hAnsi="宋体" w:hint="eastAsia"/>
          <w:sz w:val="28"/>
          <w:szCs w:val="28"/>
        </w:rPr>
        <w:t>2020年</w:t>
      </w:r>
      <w:r w:rsidR="00D72DFB">
        <w:rPr>
          <w:rFonts w:ascii="宋体" w:hAnsi="宋体"/>
          <w:sz w:val="28"/>
          <w:szCs w:val="28"/>
        </w:rPr>
        <w:t>12</w:t>
      </w:r>
      <w:r w:rsidRPr="00E01135">
        <w:rPr>
          <w:rFonts w:ascii="宋体" w:hAnsi="宋体" w:hint="eastAsia"/>
          <w:sz w:val="28"/>
          <w:szCs w:val="28"/>
        </w:rPr>
        <w:t>月</w:t>
      </w:r>
      <w:r w:rsidR="00184650">
        <w:rPr>
          <w:rFonts w:ascii="宋体" w:hAnsi="宋体" w:hint="eastAsia"/>
          <w:sz w:val="28"/>
          <w:szCs w:val="28"/>
        </w:rPr>
        <w:t>1</w:t>
      </w:r>
      <w:r w:rsidR="00184650">
        <w:rPr>
          <w:rFonts w:ascii="宋体" w:hAnsi="宋体"/>
          <w:sz w:val="28"/>
          <w:szCs w:val="28"/>
        </w:rPr>
        <w:t>6</w:t>
      </w:r>
      <w:r w:rsidRPr="00E01135">
        <w:rPr>
          <w:rFonts w:ascii="宋体" w:hAnsi="宋体" w:hint="eastAsia"/>
          <w:sz w:val="28"/>
          <w:szCs w:val="28"/>
        </w:rPr>
        <w:t>日</w:t>
      </w:r>
    </w:p>
    <w:sectPr w:rsidR="00FE09EE" w:rsidSect="00847763">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B9E1B" w14:textId="77777777" w:rsidR="00DA404A" w:rsidRDefault="00DA404A" w:rsidP="00E406B2">
      <w:r>
        <w:separator/>
      </w:r>
    </w:p>
  </w:endnote>
  <w:endnote w:type="continuationSeparator" w:id="0">
    <w:p w14:paraId="4BB0B1CF" w14:textId="77777777" w:rsidR="00DA404A" w:rsidRDefault="00DA404A" w:rsidP="00E4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8168251"/>
      <w:docPartObj>
        <w:docPartGallery w:val="Page Numbers (Bottom of Page)"/>
        <w:docPartUnique/>
      </w:docPartObj>
    </w:sdtPr>
    <w:sdtEndPr/>
    <w:sdtContent>
      <w:p w14:paraId="34811BA8" w14:textId="77777777" w:rsidR="009C17B2" w:rsidRDefault="003D34DA">
        <w:pPr>
          <w:pStyle w:val="a5"/>
          <w:jc w:val="center"/>
        </w:pPr>
        <w:r>
          <w:fldChar w:fldCharType="begin"/>
        </w:r>
        <w:r w:rsidR="009C17B2">
          <w:instrText xml:space="preserve"> PAGE   \* MERGEFORMAT </w:instrText>
        </w:r>
        <w:r>
          <w:fldChar w:fldCharType="separate"/>
        </w:r>
        <w:r w:rsidR="00C92A6C" w:rsidRPr="00C92A6C">
          <w:rPr>
            <w:noProof/>
            <w:lang w:val="zh-CN"/>
          </w:rPr>
          <w:t>3</w:t>
        </w:r>
        <w:r>
          <w:fldChar w:fldCharType="end"/>
        </w:r>
      </w:p>
    </w:sdtContent>
  </w:sdt>
  <w:p w14:paraId="580ED98A" w14:textId="77777777" w:rsidR="009C17B2" w:rsidRDefault="009C17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5DD76" w14:textId="77777777" w:rsidR="00DA404A" w:rsidRDefault="00DA404A" w:rsidP="00E406B2">
      <w:r>
        <w:separator/>
      </w:r>
    </w:p>
  </w:footnote>
  <w:footnote w:type="continuationSeparator" w:id="0">
    <w:p w14:paraId="53D65BC8" w14:textId="77777777" w:rsidR="00DA404A" w:rsidRDefault="00DA404A" w:rsidP="00E40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5"/>
    <w:rsid w:val="00003D00"/>
    <w:rsid w:val="0000613C"/>
    <w:rsid w:val="00010DEA"/>
    <w:rsid w:val="0004211B"/>
    <w:rsid w:val="00062EED"/>
    <w:rsid w:val="00072925"/>
    <w:rsid w:val="0007684B"/>
    <w:rsid w:val="0008285B"/>
    <w:rsid w:val="00154E1B"/>
    <w:rsid w:val="00184650"/>
    <w:rsid w:val="001916DB"/>
    <w:rsid w:val="0021086C"/>
    <w:rsid w:val="00241606"/>
    <w:rsid w:val="002419E4"/>
    <w:rsid w:val="002453F0"/>
    <w:rsid w:val="0024591D"/>
    <w:rsid w:val="00250984"/>
    <w:rsid w:val="002512D9"/>
    <w:rsid w:val="0027040E"/>
    <w:rsid w:val="00270F9E"/>
    <w:rsid w:val="00282F10"/>
    <w:rsid w:val="0028603A"/>
    <w:rsid w:val="0029362B"/>
    <w:rsid w:val="002A3EEE"/>
    <w:rsid w:val="002A6C35"/>
    <w:rsid w:val="002B72A6"/>
    <w:rsid w:val="002D21CD"/>
    <w:rsid w:val="002E3DA7"/>
    <w:rsid w:val="002F7315"/>
    <w:rsid w:val="0030302B"/>
    <w:rsid w:val="00305EB3"/>
    <w:rsid w:val="00330496"/>
    <w:rsid w:val="00343DEC"/>
    <w:rsid w:val="003514DC"/>
    <w:rsid w:val="003C4D27"/>
    <w:rsid w:val="003D34DA"/>
    <w:rsid w:val="003E7668"/>
    <w:rsid w:val="00402DDE"/>
    <w:rsid w:val="00407950"/>
    <w:rsid w:val="00426ABA"/>
    <w:rsid w:val="00441009"/>
    <w:rsid w:val="00482E5E"/>
    <w:rsid w:val="004B4616"/>
    <w:rsid w:val="004F2AE3"/>
    <w:rsid w:val="004F4AA6"/>
    <w:rsid w:val="004F78D5"/>
    <w:rsid w:val="0053115F"/>
    <w:rsid w:val="00532386"/>
    <w:rsid w:val="005652CD"/>
    <w:rsid w:val="005838D4"/>
    <w:rsid w:val="006A10DA"/>
    <w:rsid w:val="006A1889"/>
    <w:rsid w:val="006A7C8C"/>
    <w:rsid w:val="006D241D"/>
    <w:rsid w:val="007023B5"/>
    <w:rsid w:val="00730C7C"/>
    <w:rsid w:val="00741B2A"/>
    <w:rsid w:val="00760816"/>
    <w:rsid w:val="00761944"/>
    <w:rsid w:val="007760ED"/>
    <w:rsid w:val="0078310C"/>
    <w:rsid w:val="007A6DC1"/>
    <w:rsid w:val="007B6A39"/>
    <w:rsid w:val="007C3E9A"/>
    <w:rsid w:val="007D6047"/>
    <w:rsid w:val="00804255"/>
    <w:rsid w:val="0080711B"/>
    <w:rsid w:val="00810A0B"/>
    <w:rsid w:val="008142D6"/>
    <w:rsid w:val="008216EC"/>
    <w:rsid w:val="008221D8"/>
    <w:rsid w:val="00840E6B"/>
    <w:rsid w:val="00847763"/>
    <w:rsid w:val="00887E2F"/>
    <w:rsid w:val="0089059D"/>
    <w:rsid w:val="008B2773"/>
    <w:rsid w:val="008D5B40"/>
    <w:rsid w:val="008D6890"/>
    <w:rsid w:val="008E6F79"/>
    <w:rsid w:val="008F37F5"/>
    <w:rsid w:val="00916498"/>
    <w:rsid w:val="009169FC"/>
    <w:rsid w:val="009236F3"/>
    <w:rsid w:val="00926BB7"/>
    <w:rsid w:val="009339E7"/>
    <w:rsid w:val="009724E3"/>
    <w:rsid w:val="00975F1C"/>
    <w:rsid w:val="00985A38"/>
    <w:rsid w:val="009A6609"/>
    <w:rsid w:val="009C17B2"/>
    <w:rsid w:val="009C59C5"/>
    <w:rsid w:val="00A16548"/>
    <w:rsid w:val="00A355A2"/>
    <w:rsid w:val="00A37995"/>
    <w:rsid w:val="00AA6452"/>
    <w:rsid w:val="00AB00D2"/>
    <w:rsid w:val="00AB2389"/>
    <w:rsid w:val="00AD1F3A"/>
    <w:rsid w:val="00B0407A"/>
    <w:rsid w:val="00B602AD"/>
    <w:rsid w:val="00B71F95"/>
    <w:rsid w:val="00B847B7"/>
    <w:rsid w:val="00BA4209"/>
    <w:rsid w:val="00BB27DF"/>
    <w:rsid w:val="00BB499F"/>
    <w:rsid w:val="00BD1087"/>
    <w:rsid w:val="00C32020"/>
    <w:rsid w:val="00C50D1D"/>
    <w:rsid w:val="00C54523"/>
    <w:rsid w:val="00C66C2F"/>
    <w:rsid w:val="00C82CD5"/>
    <w:rsid w:val="00C92A6C"/>
    <w:rsid w:val="00CA16F3"/>
    <w:rsid w:val="00CC65E9"/>
    <w:rsid w:val="00CF5E3A"/>
    <w:rsid w:val="00D0408B"/>
    <w:rsid w:val="00D12453"/>
    <w:rsid w:val="00D1478F"/>
    <w:rsid w:val="00D30089"/>
    <w:rsid w:val="00D33C2A"/>
    <w:rsid w:val="00D474A7"/>
    <w:rsid w:val="00D72DFB"/>
    <w:rsid w:val="00D92625"/>
    <w:rsid w:val="00DA3B88"/>
    <w:rsid w:val="00DA404A"/>
    <w:rsid w:val="00DB4054"/>
    <w:rsid w:val="00DB6891"/>
    <w:rsid w:val="00DD7B53"/>
    <w:rsid w:val="00E02129"/>
    <w:rsid w:val="00E12939"/>
    <w:rsid w:val="00E406B2"/>
    <w:rsid w:val="00EC2105"/>
    <w:rsid w:val="00ED5113"/>
    <w:rsid w:val="00EF20A5"/>
    <w:rsid w:val="00F05D0A"/>
    <w:rsid w:val="00F16FFF"/>
    <w:rsid w:val="00F73DB5"/>
    <w:rsid w:val="00F77645"/>
    <w:rsid w:val="00FB4A44"/>
    <w:rsid w:val="00FB7906"/>
    <w:rsid w:val="00FC7821"/>
    <w:rsid w:val="00FE09EE"/>
    <w:rsid w:val="00FE54DC"/>
    <w:rsid w:val="00FE703C"/>
    <w:rsid w:val="00FF2754"/>
    <w:rsid w:val="00FF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66B6F"/>
  <w15:docId w15:val="{0A410EC9-A3CC-47B4-A522-99A58939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楷体_GB2312" w:hAnsi="Arial"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6B2"/>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B2"/>
    <w:pPr>
      <w:widowControl/>
      <w:pBdr>
        <w:bottom w:val="single" w:sz="6" w:space="1" w:color="auto"/>
      </w:pBdr>
      <w:tabs>
        <w:tab w:val="center" w:pos="4153"/>
        <w:tab w:val="right" w:pos="8306"/>
      </w:tabs>
      <w:snapToGrid w:val="0"/>
      <w:spacing w:after="160"/>
      <w:jc w:val="center"/>
    </w:pPr>
    <w:rPr>
      <w:rFonts w:ascii="Arial" w:eastAsia="楷体_GB2312" w:hAnsi="Arial" w:cstheme="minorBidi"/>
      <w:kern w:val="0"/>
      <w:sz w:val="18"/>
      <w:szCs w:val="18"/>
    </w:rPr>
  </w:style>
  <w:style w:type="character" w:customStyle="1" w:styleId="a4">
    <w:name w:val="页眉 字符"/>
    <w:basedOn w:val="a0"/>
    <w:link w:val="a3"/>
    <w:uiPriority w:val="99"/>
    <w:rsid w:val="00E406B2"/>
    <w:rPr>
      <w:sz w:val="18"/>
      <w:szCs w:val="18"/>
    </w:rPr>
  </w:style>
  <w:style w:type="paragraph" w:styleId="a5">
    <w:name w:val="footer"/>
    <w:basedOn w:val="a"/>
    <w:link w:val="a6"/>
    <w:uiPriority w:val="99"/>
    <w:unhideWhenUsed/>
    <w:rsid w:val="00E406B2"/>
    <w:pPr>
      <w:widowControl/>
      <w:tabs>
        <w:tab w:val="center" w:pos="4153"/>
        <w:tab w:val="right" w:pos="8306"/>
      </w:tabs>
      <w:snapToGrid w:val="0"/>
      <w:spacing w:after="160"/>
      <w:jc w:val="left"/>
    </w:pPr>
    <w:rPr>
      <w:rFonts w:ascii="Arial" w:eastAsia="楷体_GB2312" w:hAnsi="Arial" w:cstheme="minorBidi"/>
      <w:kern w:val="0"/>
      <w:sz w:val="18"/>
      <w:szCs w:val="18"/>
    </w:rPr>
  </w:style>
  <w:style w:type="character" w:customStyle="1" w:styleId="a6">
    <w:name w:val="页脚 字符"/>
    <w:basedOn w:val="a0"/>
    <w:link w:val="a5"/>
    <w:uiPriority w:val="99"/>
    <w:rsid w:val="00E406B2"/>
    <w:rPr>
      <w:sz w:val="18"/>
      <w:szCs w:val="18"/>
    </w:rPr>
  </w:style>
  <w:style w:type="paragraph" w:styleId="a7">
    <w:name w:val="Balloon Text"/>
    <w:basedOn w:val="a"/>
    <w:link w:val="a8"/>
    <w:uiPriority w:val="99"/>
    <w:semiHidden/>
    <w:unhideWhenUsed/>
    <w:rsid w:val="00741B2A"/>
    <w:rPr>
      <w:sz w:val="18"/>
      <w:szCs w:val="18"/>
    </w:rPr>
  </w:style>
  <w:style w:type="character" w:customStyle="1" w:styleId="a8">
    <w:name w:val="批注框文本 字符"/>
    <w:basedOn w:val="a0"/>
    <w:link w:val="a7"/>
    <w:uiPriority w:val="99"/>
    <w:semiHidden/>
    <w:rsid w:val="00741B2A"/>
    <w:rPr>
      <w:rFonts w:ascii="Times New Roman" w:eastAsia="宋体" w:hAnsi="Times New Roman" w:cs="Times New Roman"/>
      <w:kern w:val="2"/>
      <w:sz w:val="18"/>
      <w:szCs w:val="18"/>
    </w:rPr>
  </w:style>
  <w:style w:type="character" w:styleId="a9">
    <w:name w:val="annotation reference"/>
    <w:basedOn w:val="a0"/>
    <w:uiPriority w:val="99"/>
    <w:semiHidden/>
    <w:unhideWhenUsed/>
    <w:rsid w:val="0080711B"/>
    <w:rPr>
      <w:sz w:val="21"/>
      <w:szCs w:val="21"/>
    </w:rPr>
  </w:style>
  <w:style w:type="paragraph" w:styleId="aa">
    <w:name w:val="annotation text"/>
    <w:basedOn w:val="a"/>
    <w:link w:val="ab"/>
    <w:uiPriority w:val="99"/>
    <w:semiHidden/>
    <w:unhideWhenUsed/>
    <w:rsid w:val="0080711B"/>
    <w:pPr>
      <w:jc w:val="left"/>
    </w:pPr>
  </w:style>
  <w:style w:type="character" w:customStyle="1" w:styleId="ab">
    <w:name w:val="批注文字 字符"/>
    <w:basedOn w:val="a0"/>
    <w:link w:val="aa"/>
    <w:uiPriority w:val="99"/>
    <w:semiHidden/>
    <w:rsid w:val="0080711B"/>
    <w:rPr>
      <w:rFonts w:ascii="Times New Roman" w:eastAsia="宋体" w:hAnsi="Times New Roman" w:cs="Times New Roman"/>
      <w:kern w:val="2"/>
      <w:sz w:val="21"/>
      <w:szCs w:val="24"/>
    </w:rPr>
  </w:style>
  <w:style w:type="paragraph" w:styleId="ac">
    <w:name w:val="annotation subject"/>
    <w:basedOn w:val="aa"/>
    <w:next w:val="aa"/>
    <w:link w:val="ad"/>
    <w:uiPriority w:val="99"/>
    <w:semiHidden/>
    <w:unhideWhenUsed/>
    <w:rsid w:val="0080711B"/>
    <w:rPr>
      <w:b/>
      <w:bCs/>
    </w:rPr>
  </w:style>
  <w:style w:type="character" w:customStyle="1" w:styleId="ad">
    <w:name w:val="批注主题 字符"/>
    <w:basedOn w:val="ab"/>
    <w:link w:val="ac"/>
    <w:uiPriority w:val="99"/>
    <w:semiHidden/>
    <w:rsid w:val="0080711B"/>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286</Words>
  <Characters>1523</Characters>
  <Application>Microsoft Office Word</Application>
  <DocSecurity>0</DocSecurity>
  <Lines>31</Lines>
  <Paragraphs>9</Paragraphs>
  <ScaleCrop>false</ScaleCrop>
  <Company>KWM</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金 建德</cp:lastModifiedBy>
  <cp:revision>11</cp:revision>
  <dcterms:created xsi:type="dcterms:W3CDTF">2020-12-16T11:17:00Z</dcterms:created>
  <dcterms:modified xsi:type="dcterms:W3CDTF">2020-12-16T12:45:00Z</dcterms:modified>
</cp:coreProperties>
</file>