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90979" w14:textId="5C8371C9" w:rsidR="00D131EA" w:rsidRPr="001B6D2D" w:rsidRDefault="000654EE">
      <w:pPr>
        <w:spacing w:line="360" w:lineRule="auto"/>
        <w:rPr>
          <w:rFonts w:ascii="黑体" w:eastAsia="黑体" w:hAnsi="黑体"/>
          <w:bCs/>
          <w:color w:val="000000"/>
          <w:szCs w:val="20"/>
        </w:rPr>
      </w:pPr>
      <w:r w:rsidRPr="001B6D2D">
        <w:rPr>
          <w:rFonts w:ascii="黑体" w:eastAsia="黑体" w:hAnsi="黑体" w:hint="eastAsia"/>
          <w:bCs/>
          <w:color w:val="000000"/>
          <w:szCs w:val="20"/>
        </w:rPr>
        <w:t>股票代码：600188</w:t>
      </w:r>
      <w:r w:rsidRPr="001B6D2D">
        <w:rPr>
          <w:rFonts w:ascii="黑体" w:eastAsia="黑体" w:hAnsi="黑体" w:hint="eastAsia"/>
          <w:bCs/>
          <w:color w:val="000000"/>
          <w:szCs w:val="20"/>
        </w:rPr>
        <w:tab/>
      </w:r>
      <w:r w:rsidRPr="001B6D2D">
        <w:rPr>
          <w:rFonts w:ascii="黑体" w:eastAsia="黑体" w:hAnsi="黑体" w:hint="eastAsia"/>
          <w:bCs/>
          <w:color w:val="000000"/>
          <w:szCs w:val="20"/>
        </w:rPr>
        <w:tab/>
      </w:r>
      <w:r w:rsidRPr="001B6D2D">
        <w:rPr>
          <w:rFonts w:ascii="黑体" w:eastAsia="黑体" w:hAnsi="黑体" w:hint="eastAsia"/>
          <w:bCs/>
          <w:color w:val="000000"/>
          <w:szCs w:val="20"/>
        </w:rPr>
        <w:tab/>
      </w:r>
      <w:r w:rsidRPr="001B6D2D">
        <w:rPr>
          <w:rFonts w:eastAsia="黑体" w:cs="Calibri"/>
          <w:bCs/>
          <w:color w:val="000000"/>
          <w:szCs w:val="20"/>
        </w:rPr>
        <w:t> </w:t>
      </w:r>
      <w:r w:rsidRPr="001B6D2D">
        <w:rPr>
          <w:rFonts w:ascii="黑体" w:eastAsia="黑体" w:hAnsi="黑体" w:hint="eastAsia"/>
          <w:bCs/>
          <w:color w:val="000000"/>
          <w:szCs w:val="20"/>
        </w:rPr>
        <w:t>股票简称：兖州煤业</w:t>
      </w:r>
      <w:r w:rsidRPr="001B6D2D">
        <w:rPr>
          <w:rFonts w:ascii="黑体" w:eastAsia="黑体" w:hAnsi="黑体" w:hint="eastAsia"/>
          <w:bCs/>
          <w:color w:val="000000"/>
          <w:szCs w:val="20"/>
        </w:rPr>
        <w:tab/>
      </w:r>
      <w:r w:rsidRPr="001B6D2D">
        <w:rPr>
          <w:rFonts w:ascii="黑体" w:eastAsia="黑体" w:hAnsi="黑体" w:hint="eastAsia"/>
          <w:bCs/>
          <w:color w:val="000000"/>
          <w:szCs w:val="20"/>
        </w:rPr>
        <w:tab/>
      </w:r>
      <w:r w:rsidRPr="001B6D2D">
        <w:rPr>
          <w:rFonts w:ascii="黑体" w:eastAsia="黑体" w:hAnsi="黑体" w:hint="eastAsia"/>
          <w:bCs/>
          <w:color w:val="000000"/>
          <w:szCs w:val="20"/>
        </w:rPr>
        <w:tab/>
        <w:t>公告编号：临20</w:t>
      </w:r>
      <w:r w:rsidR="008152A9" w:rsidRPr="001B6D2D">
        <w:rPr>
          <w:rFonts w:ascii="黑体" w:eastAsia="黑体" w:hAnsi="黑体"/>
          <w:bCs/>
          <w:color w:val="000000"/>
          <w:szCs w:val="20"/>
        </w:rPr>
        <w:t>20</w:t>
      </w:r>
      <w:r w:rsidRPr="001B6D2D">
        <w:rPr>
          <w:rFonts w:ascii="黑体" w:eastAsia="黑体" w:hAnsi="黑体" w:hint="eastAsia"/>
          <w:bCs/>
          <w:color w:val="000000"/>
          <w:szCs w:val="20"/>
        </w:rPr>
        <w:t>-</w:t>
      </w:r>
      <w:r w:rsidR="00345829">
        <w:rPr>
          <w:rFonts w:ascii="黑体" w:eastAsia="黑体" w:hAnsi="黑体" w:hint="eastAsia"/>
          <w:bCs/>
          <w:color w:val="000000"/>
          <w:szCs w:val="20"/>
        </w:rPr>
        <w:t>0</w:t>
      </w:r>
      <w:r w:rsidR="00345829">
        <w:rPr>
          <w:rFonts w:ascii="黑体" w:eastAsia="黑体" w:hAnsi="黑体"/>
          <w:bCs/>
          <w:color w:val="000000"/>
          <w:szCs w:val="20"/>
        </w:rPr>
        <w:t>66</w:t>
      </w:r>
    </w:p>
    <w:p w14:paraId="7EFD23F2" w14:textId="77777777" w:rsidR="00D131EA" w:rsidRDefault="00D131EA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14:paraId="5058F592" w14:textId="77777777" w:rsidR="00D131EA" w:rsidRPr="001B6D2D" w:rsidRDefault="000654EE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1B6D2D">
        <w:rPr>
          <w:rFonts w:ascii="黑体" w:eastAsia="黑体" w:hAnsi="Times New Roman" w:hint="eastAsia"/>
          <w:b/>
          <w:color w:val="FF0000"/>
          <w:sz w:val="36"/>
          <w:szCs w:val="36"/>
        </w:rPr>
        <w:t>兖州煤业股份有限公司</w:t>
      </w:r>
    </w:p>
    <w:p w14:paraId="7FD1C936" w14:textId="77777777" w:rsidR="00D131EA" w:rsidRPr="001B6D2D" w:rsidRDefault="000654EE" w:rsidP="0036137C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1B6D2D">
        <w:rPr>
          <w:rFonts w:ascii="黑体" w:eastAsia="黑体" w:hAnsi="Times New Roman" w:hint="eastAsia"/>
          <w:b/>
          <w:color w:val="FF0000"/>
          <w:sz w:val="36"/>
          <w:szCs w:val="36"/>
        </w:rPr>
        <w:t>关于</w:t>
      </w:r>
      <w:r w:rsidR="0036137C" w:rsidRPr="001B6D2D">
        <w:rPr>
          <w:rFonts w:ascii="黑体" w:eastAsia="黑体" w:hAnsi="Times New Roman" w:hint="eastAsia"/>
          <w:b/>
          <w:color w:val="FF0000"/>
          <w:sz w:val="36"/>
          <w:szCs w:val="36"/>
        </w:rPr>
        <w:t>提高公司</w:t>
      </w:r>
      <w:r w:rsidR="004519CF" w:rsidRPr="001B6D2D">
        <w:rPr>
          <w:rFonts w:ascii="黑体" w:eastAsia="黑体" w:hAnsi="Times New Roman" w:hint="eastAsia"/>
          <w:b/>
          <w:color w:val="FF0000"/>
          <w:sz w:val="36"/>
          <w:szCs w:val="36"/>
        </w:rPr>
        <w:t>2020-2024年度</w:t>
      </w:r>
      <w:r w:rsidR="0036137C" w:rsidRPr="001B6D2D">
        <w:rPr>
          <w:rFonts w:ascii="黑体" w:eastAsia="黑体" w:hAnsi="Times New Roman" w:hint="eastAsia"/>
          <w:b/>
          <w:color w:val="FF0000"/>
          <w:sz w:val="36"/>
          <w:szCs w:val="36"/>
        </w:rPr>
        <w:t>现金分红比例</w:t>
      </w:r>
      <w:r w:rsidRPr="001B6D2D">
        <w:rPr>
          <w:rFonts w:ascii="黑体" w:eastAsia="黑体" w:hAnsi="Times New Roman" w:hint="eastAsia"/>
          <w:b/>
          <w:color w:val="FF0000"/>
          <w:sz w:val="36"/>
          <w:szCs w:val="36"/>
        </w:rPr>
        <w:t>的公告</w:t>
      </w:r>
    </w:p>
    <w:p w14:paraId="2E212164" w14:textId="77777777" w:rsidR="00D131EA" w:rsidRDefault="00D131EA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480ACE12" w14:textId="77777777" w:rsidR="00D131EA" w:rsidRDefault="00065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1907316" w14:textId="77777777" w:rsidR="00EA0956" w:rsidRDefault="00EA0956" w:rsidP="003926AB">
      <w:pPr>
        <w:pStyle w:val="1"/>
        <w:ind w:firstLine="536"/>
        <w:rPr>
          <w:sz w:val="28"/>
          <w:szCs w:val="28"/>
        </w:rPr>
      </w:pPr>
    </w:p>
    <w:p w14:paraId="7D9BF811" w14:textId="77777777" w:rsidR="00FF7C77" w:rsidRPr="00F70ABC" w:rsidRDefault="00FF7C77" w:rsidP="00EA0956">
      <w:pPr>
        <w:pStyle w:val="1"/>
        <w:spacing w:line="520" w:lineRule="exact"/>
        <w:ind w:firstLine="536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F70ABC">
        <w:rPr>
          <w:sz w:val="28"/>
          <w:szCs w:val="28"/>
        </w:rPr>
        <w:t>重要内容提示：</w:t>
      </w:r>
      <w:r w:rsidRPr="00F70ABC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 xml:space="preserve"> </w:t>
      </w:r>
    </w:p>
    <w:p w14:paraId="6388A5A6" w14:textId="3290B565" w:rsidR="00FF7C77" w:rsidRPr="00F70ABC" w:rsidRDefault="00FF7C77" w:rsidP="00EA0956">
      <w:pPr>
        <w:spacing w:line="520" w:lineRule="exact"/>
        <w:ind w:firstLineChars="200" w:firstLine="536"/>
        <w:rPr>
          <w:rFonts w:ascii="宋体" w:hAnsi="宋体" w:cstheme="minorBidi"/>
          <w:spacing w:val="-6"/>
          <w:sz w:val="28"/>
          <w:szCs w:val="28"/>
        </w:rPr>
      </w:pPr>
      <w:r w:rsidRPr="00F70ABC">
        <w:rPr>
          <w:rFonts w:ascii="宋体" w:hAnsi="宋体" w:cstheme="minorBidi" w:hint="eastAsia"/>
          <w:spacing w:val="-6"/>
          <w:sz w:val="28"/>
          <w:szCs w:val="28"/>
        </w:rPr>
        <w:t>兖州煤业股份有限公司（“本公司”、“公司”）拟提高</w:t>
      </w:r>
      <w:r w:rsidR="004519CF">
        <w:rPr>
          <w:rFonts w:ascii="宋体" w:hAnsi="宋体" w:cstheme="minorBidi" w:hint="eastAsia"/>
          <w:spacing w:val="-6"/>
          <w:sz w:val="28"/>
          <w:szCs w:val="28"/>
        </w:rPr>
        <w:t>2020-2024年度</w:t>
      </w:r>
      <w:r w:rsidRPr="00F70ABC">
        <w:rPr>
          <w:rFonts w:ascii="宋体" w:hAnsi="宋体" w:cstheme="minorBidi" w:hint="eastAsia"/>
          <w:spacing w:val="-6"/>
          <w:sz w:val="28"/>
          <w:szCs w:val="28"/>
        </w:rPr>
        <w:t>现金分红比例。</w:t>
      </w:r>
      <w:r w:rsidRPr="00BA641F">
        <w:rPr>
          <w:rFonts w:ascii="宋体" w:hAnsi="宋体" w:cstheme="minorBidi" w:hint="eastAsia"/>
          <w:spacing w:val="-6"/>
          <w:sz w:val="28"/>
          <w:szCs w:val="28"/>
        </w:rPr>
        <w:t>在符合《公司章程》规定的情形下</w:t>
      </w:r>
      <w:r w:rsidRPr="00F70ABC">
        <w:rPr>
          <w:rFonts w:ascii="宋体" w:hAnsi="宋体" w:cstheme="minorBidi" w:hint="eastAsia"/>
          <w:spacing w:val="-6"/>
          <w:sz w:val="28"/>
          <w:szCs w:val="28"/>
        </w:rPr>
        <w:t>，</w:t>
      </w:r>
      <w:r w:rsidR="003926AB" w:rsidRPr="00F70ABC">
        <w:rPr>
          <w:rFonts w:ascii="宋体" w:hAnsi="宋体" w:cstheme="minorBidi" w:hint="eastAsia"/>
          <w:spacing w:val="-6"/>
          <w:sz w:val="28"/>
          <w:szCs w:val="28"/>
        </w:rPr>
        <w:t>2020-2024年</w:t>
      </w:r>
      <w:r w:rsidR="00BA641F" w:rsidRPr="00BA641F">
        <w:rPr>
          <w:rFonts w:ascii="宋体" w:hAnsi="宋体" w:cstheme="minorBidi" w:hint="eastAsia"/>
          <w:spacing w:val="-6"/>
          <w:sz w:val="28"/>
          <w:szCs w:val="28"/>
        </w:rPr>
        <w:t>各会计年度分配的现金股利总额，应占公司该年度扣除法定储备后净利润的约百分之</w:t>
      </w:r>
      <w:r w:rsidR="00017D84">
        <w:rPr>
          <w:rFonts w:ascii="宋体" w:hAnsi="宋体" w:cstheme="minorBidi" w:hint="eastAsia"/>
          <w:spacing w:val="-6"/>
          <w:sz w:val="28"/>
          <w:szCs w:val="28"/>
        </w:rPr>
        <w:t>五十</w:t>
      </w:r>
      <w:r w:rsidR="00667904">
        <w:rPr>
          <w:rFonts w:ascii="宋体" w:hAnsi="宋体" w:cstheme="minorBidi" w:hint="eastAsia"/>
          <w:spacing w:val="-6"/>
          <w:sz w:val="28"/>
          <w:szCs w:val="28"/>
        </w:rPr>
        <w:t>，</w:t>
      </w:r>
      <w:r w:rsidR="00BA641F" w:rsidRPr="00BA641F">
        <w:rPr>
          <w:rFonts w:ascii="宋体" w:hAnsi="宋体" w:cstheme="minorBidi" w:hint="eastAsia"/>
          <w:spacing w:val="-6"/>
          <w:sz w:val="28"/>
          <w:szCs w:val="28"/>
        </w:rPr>
        <w:t>且每股现金股利不低于人民币</w:t>
      </w:r>
      <w:r w:rsidR="00017D84">
        <w:rPr>
          <w:rFonts w:ascii="宋体" w:hAnsi="宋体" w:cstheme="minorBidi" w:hint="eastAsia"/>
          <w:spacing w:val="-6"/>
          <w:sz w:val="28"/>
          <w:szCs w:val="28"/>
        </w:rPr>
        <w:t>0</w:t>
      </w:r>
      <w:r w:rsidR="00017D84">
        <w:rPr>
          <w:rFonts w:ascii="宋体" w:hAnsi="宋体" w:cstheme="minorBidi"/>
          <w:spacing w:val="-6"/>
          <w:sz w:val="28"/>
          <w:szCs w:val="28"/>
        </w:rPr>
        <w:t>.5</w:t>
      </w:r>
      <w:r w:rsidR="00BA641F" w:rsidRPr="00BA641F">
        <w:rPr>
          <w:rFonts w:ascii="宋体" w:hAnsi="宋体" w:cstheme="minorBidi" w:hint="eastAsia"/>
          <w:spacing w:val="-6"/>
          <w:sz w:val="28"/>
          <w:szCs w:val="28"/>
        </w:rPr>
        <w:t>元。</w:t>
      </w:r>
    </w:p>
    <w:p w14:paraId="0C47CCB7" w14:textId="77777777" w:rsidR="00DF6D0B" w:rsidRPr="00F70ABC" w:rsidRDefault="00DF6D0B" w:rsidP="00EA0956">
      <w:pPr>
        <w:widowControl/>
        <w:spacing w:line="520" w:lineRule="exact"/>
        <w:ind w:left="1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3985422D" w14:textId="77777777" w:rsidR="00FF7C77" w:rsidRPr="00F70ABC" w:rsidRDefault="00BA641F" w:rsidP="00EA0956">
      <w:pPr>
        <w:spacing w:line="520" w:lineRule="exact"/>
        <w:ind w:firstLineChars="200" w:firstLine="536"/>
        <w:rPr>
          <w:rFonts w:ascii="宋体" w:hAnsi="宋体" w:cstheme="minorBidi"/>
          <w:spacing w:val="-6"/>
          <w:sz w:val="28"/>
          <w:szCs w:val="28"/>
        </w:rPr>
      </w:pPr>
      <w:r w:rsidRPr="00BA641F">
        <w:rPr>
          <w:rFonts w:ascii="宋体" w:hAnsi="宋体" w:cstheme="minorBidi" w:hint="eastAsia"/>
          <w:spacing w:val="-6"/>
          <w:sz w:val="28"/>
          <w:szCs w:val="28"/>
        </w:rPr>
        <w:t>为提高股东回报,与投资者共享发展成果，根据《公司法》、《证券法》、中国证监会《关于进一步落实上市公司现金分红有关事项的通知》（证监发</w:t>
      </w:r>
      <w:r w:rsidR="000A2A5A" w:rsidRPr="00BA641F">
        <w:rPr>
          <w:rFonts w:ascii="宋体" w:hAnsi="宋体" w:cstheme="minorBidi" w:hint="eastAsia"/>
          <w:spacing w:val="-6"/>
          <w:sz w:val="28"/>
          <w:szCs w:val="28"/>
        </w:rPr>
        <w:t>〔</w:t>
      </w:r>
      <w:r w:rsidRPr="00BA641F">
        <w:rPr>
          <w:rFonts w:ascii="宋体" w:hAnsi="宋体" w:cstheme="minorBidi" w:hint="eastAsia"/>
          <w:spacing w:val="-6"/>
          <w:sz w:val="28"/>
          <w:szCs w:val="28"/>
        </w:rPr>
        <w:t>2012</w:t>
      </w:r>
      <w:r w:rsidR="000A2A5A" w:rsidRPr="00BA641F">
        <w:rPr>
          <w:rFonts w:ascii="宋体" w:hAnsi="宋体" w:cstheme="minorBidi" w:hint="eastAsia"/>
          <w:spacing w:val="-6"/>
          <w:sz w:val="28"/>
          <w:szCs w:val="28"/>
        </w:rPr>
        <w:t>〕</w:t>
      </w:r>
      <w:r w:rsidRPr="00BA641F">
        <w:rPr>
          <w:rFonts w:ascii="宋体" w:hAnsi="宋体" w:cstheme="minorBidi" w:hint="eastAsia"/>
          <w:spacing w:val="-6"/>
          <w:sz w:val="28"/>
          <w:szCs w:val="28"/>
        </w:rPr>
        <w:t>37号）、《上市公司监管指引第3号—上市公司现金分红》（证监会公告</w:t>
      </w:r>
      <w:r w:rsidR="000A2A5A" w:rsidRPr="00BA641F">
        <w:rPr>
          <w:rFonts w:ascii="宋体" w:hAnsi="宋体" w:cstheme="minorBidi" w:hint="eastAsia"/>
          <w:spacing w:val="-6"/>
          <w:sz w:val="28"/>
          <w:szCs w:val="28"/>
        </w:rPr>
        <w:t>〔</w:t>
      </w:r>
      <w:r w:rsidRPr="00BA641F">
        <w:rPr>
          <w:rFonts w:ascii="宋体" w:hAnsi="宋体" w:cstheme="minorBidi" w:hint="eastAsia"/>
          <w:spacing w:val="-6"/>
          <w:sz w:val="28"/>
          <w:szCs w:val="28"/>
        </w:rPr>
        <w:t>2013</w:t>
      </w:r>
      <w:r w:rsidR="000A2A5A" w:rsidRPr="00BA641F">
        <w:rPr>
          <w:rFonts w:ascii="宋体" w:hAnsi="宋体" w:cstheme="minorBidi" w:hint="eastAsia"/>
          <w:spacing w:val="-6"/>
          <w:sz w:val="28"/>
          <w:szCs w:val="28"/>
        </w:rPr>
        <w:t>〕</w:t>
      </w:r>
      <w:r w:rsidRPr="00BA641F">
        <w:rPr>
          <w:rFonts w:ascii="宋体" w:hAnsi="宋体" w:cstheme="minorBidi" w:hint="eastAsia"/>
          <w:spacing w:val="-6"/>
          <w:sz w:val="28"/>
          <w:szCs w:val="28"/>
        </w:rPr>
        <w:t>43号）、《上海证券交易所上市公司现金分红指引》（</w:t>
      </w:r>
      <w:proofErr w:type="gramStart"/>
      <w:r w:rsidRPr="00BA641F">
        <w:rPr>
          <w:rFonts w:ascii="宋体" w:hAnsi="宋体" w:cstheme="minorBidi" w:hint="eastAsia"/>
          <w:spacing w:val="-6"/>
          <w:sz w:val="28"/>
          <w:szCs w:val="28"/>
        </w:rPr>
        <w:t>上证公字</w:t>
      </w:r>
      <w:proofErr w:type="gramEnd"/>
      <w:r w:rsidRPr="00BA641F">
        <w:rPr>
          <w:rFonts w:ascii="宋体" w:hAnsi="宋体" w:cstheme="minorBidi" w:hint="eastAsia"/>
          <w:spacing w:val="-6"/>
          <w:sz w:val="28"/>
          <w:szCs w:val="28"/>
        </w:rPr>
        <w:t>〔2013〕1号）等有关法律、法规、规范性文件，以及《公司章程》等相关规定</w:t>
      </w:r>
      <w:r w:rsidR="00FF7C77" w:rsidRPr="00F70ABC">
        <w:rPr>
          <w:rFonts w:ascii="宋体" w:hAnsi="宋体" w:cstheme="minorBidi"/>
          <w:spacing w:val="-6"/>
          <w:sz w:val="28"/>
          <w:szCs w:val="28"/>
        </w:rPr>
        <w:t>，本公司</w:t>
      </w:r>
      <w:r w:rsidRPr="00BA641F">
        <w:rPr>
          <w:rFonts w:ascii="宋体" w:hAnsi="宋体" w:cstheme="minorBidi" w:hint="eastAsia"/>
          <w:spacing w:val="-6"/>
          <w:sz w:val="28"/>
          <w:szCs w:val="28"/>
        </w:rPr>
        <w:t>拟提高公司</w:t>
      </w:r>
      <w:r w:rsidR="004519CF">
        <w:rPr>
          <w:rFonts w:ascii="宋体" w:hAnsi="宋体" w:cstheme="minorBidi" w:hint="eastAsia"/>
          <w:spacing w:val="-6"/>
          <w:sz w:val="28"/>
          <w:szCs w:val="28"/>
        </w:rPr>
        <w:t>2020-2024年度</w:t>
      </w:r>
      <w:r w:rsidRPr="00BA641F">
        <w:rPr>
          <w:rFonts w:ascii="宋体" w:hAnsi="宋体" w:cstheme="minorBidi" w:hint="eastAsia"/>
          <w:spacing w:val="-6"/>
          <w:sz w:val="28"/>
          <w:szCs w:val="28"/>
        </w:rPr>
        <w:t>现金分红比例</w:t>
      </w:r>
      <w:r w:rsidR="00722A1F">
        <w:rPr>
          <w:rFonts w:ascii="宋体" w:hAnsi="宋体" w:cstheme="minorBidi" w:hint="eastAsia"/>
          <w:spacing w:val="-6"/>
          <w:sz w:val="28"/>
          <w:szCs w:val="28"/>
        </w:rPr>
        <w:t>（“</w:t>
      </w:r>
      <w:r w:rsidR="00722A1F" w:rsidRPr="00722A1F">
        <w:rPr>
          <w:rFonts w:ascii="宋体" w:hAnsi="宋体" w:cstheme="minorBidi" w:hint="eastAsia"/>
          <w:spacing w:val="-6"/>
          <w:sz w:val="28"/>
          <w:szCs w:val="28"/>
        </w:rPr>
        <w:t>本次提高现金分红比例</w:t>
      </w:r>
      <w:r w:rsidR="00722A1F">
        <w:rPr>
          <w:rFonts w:ascii="宋体" w:hAnsi="宋体" w:cstheme="minorBidi" w:hint="eastAsia"/>
          <w:spacing w:val="-6"/>
          <w:sz w:val="28"/>
          <w:szCs w:val="28"/>
        </w:rPr>
        <w:t>”）</w:t>
      </w:r>
      <w:r w:rsidR="00FF7C77" w:rsidRPr="00F70ABC">
        <w:rPr>
          <w:rFonts w:ascii="宋体" w:hAnsi="宋体" w:cstheme="minorBidi"/>
          <w:spacing w:val="-6"/>
          <w:sz w:val="28"/>
          <w:szCs w:val="28"/>
        </w:rPr>
        <w:t>。</w:t>
      </w:r>
    </w:p>
    <w:p w14:paraId="48488CF1" w14:textId="77777777" w:rsidR="00FF7C77" w:rsidRPr="00F70ABC" w:rsidRDefault="00FF7C77" w:rsidP="00EA0956">
      <w:pPr>
        <w:pStyle w:val="1"/>
        <w:spacing w:line="520" w:lineRule="exact"/>
        <w:ind w:firstLine="536"/>
        <w:rPr>
          <w:sz w:val="28"/>
          <w:szCs w:val="28"/>
        </w:rPr>
      </w:pPr>
      <w:r w:rsidRPr="00F70ABC">
        <w:rPr>
          <w:sz w:val="28"/>
          <w:szCs w:val="28"/>
        </w:rPr>
        <w:t>一、</w:t>
      </w:r>
      <w:r w:rsidR="00B903B5" w:rsidRPr="00B903B5">
        <w:rPr>
          <w:rFonts w:hint="eastAsia"/>
          <w:sz w:val="28"/>
          <w:szCs w:val="28"/>
        </w:rPr>
        <w:t>现行现金分红比例规定</w:t>
      </w:r>
      <w:r w:rsidRPr="00F70ABC">
        <w:rPr>
          <w:sz w:val="28"/>
          <w:szCs w:val="28"/>
        </w:rPr>
        <w:t xml:space="preserve"> </w:t>
      </w:r>
    </w:p>
    <w:p w14:paraId="2253D62A" w14:textId="77777777" w:rsidR="00AA0093" w:rsidRPr="00F70ABC" w:rsidRDefault="00B903B5" w:rsidP="00EA0956">
      <w:pPr>
        <w:spacing w:line="520" w:lineRule="exact"/>
        <w:ind w:firstLineChars="200" w:firstLine="536"/>
        <w:rPr>
          <w:rFonts w:ascii="宋体" w:hAnsi="宋体" w:cstheme="minorBidi"/>
          <w:spacing w:val="-6"/>
          <w:sz w:val="28"/>
          <w:szCs w:val="28"/>
        </w:rPr>
      </w:pPr>
      <w:r w:rsidRPr="00B903B5">
        <w:rPr>
          <w:rFonts w:ascii="宋体" w:hAnsi="宋体" w:cstheme="minorBidi" w:hint="eastAsia"/>
          <w:spacing w:val="-6"/>
          <w:sz w:val="28"/>
          <w:szCs w:val="28"/>
        </w:rPr>
        <w:t>根据《公司章程》规定，公司在每个会计年度分配的现金股利总额，应占公司该年度扣除法定储备后净利润的约百分之三十五。</w:t>
      </w:r>
    </w:p>
    <w:p w14:paraId="054BD038" w14:textId="77777777" w:rsidR="00FF7C77" w:rsidRPr="00F70ABC" w:rsidRDefault="00FF7C77" w:rsidP="00EA0956">
      <w:pPr>
        <w:pStyle w:val="1"/>
        <w:spacing w:line="520" w:lineRule="exact"/>
        <w:ind w:firstLine="536"/>
        <w:rPr>
          <w:sz w:val="28"/>
          <w:szCs w:val="28"/>
        </w:rPr>
      </w:pPr>
      <w:r w:rsidRPr="00F70ABC">
        <w:rPr>
          <w:sz w:val="28"/>
          <w:szCs w:val="28"/>
        </w:rPr>
        <w:lastRenderedPageBreak/>
        <w:t>二、</w:t>
      </w:r>
      <w:r w:rsidR="004519CF">
        <w:rPr>
          <w:rFonts w:hint="eastAsia"/>
          <w:sz w:val="28"/>
          <w:szCs w:val="28"/>
        </w:rPr>
        <w:t>2020-2024年度</w:t>
      </w:r>
      <w:r w:rsidR="00722A1F" w:rsidRPr="00722A1F">
        <w:rPr>
          <w:rFonts w:hint="eastAsia"/>
          <w:sz w:val="28"/>
          <w:szCs w:val="28"/>
        </w:rPr>
        <w:t>现金分红比例</w:t>
      </w:r>
    </w:p>
    <w:p w14:paraId="487FA858" w14:textId="3EBA51AF" w:rsidR="00FF7C77" w:rsidRPr="00F70ABC" w:rsidRDefault="00442979" w:rsidP="00EA0956">
      <w:pPr>
        <w:spacing w:line="520" w:lineRule="exact"/>
        <w:ind w:firstLineChars="200" w:firstLine="536"/>
        <w:rPr>
          <w:rFonts w:ascii="宋体" w:hAnsi="宋体" w:cstheme="minorBidi"/>
          <w:spacing w:val="-6"/>
          <w:sz w:val="28"/>
          <w:szCs w:val="28"/>
        </w:rPr>
      </w:pPr>
      <w:r w:rsidRPr="00442979">
        <w:rPr>
          <w:rFonts w:ascii="宋体" w:hAnsi="宋体" w:cstheme="minorBidi" w:hint="eastAsia"/>
          <w:spacing w:val="-6"/>
          <w:sz w:val="28"/>
          <w:szCs w:val="28"/>
        </w:rPr>
        <w:t>为提高股东回报,与投资者共享发展成果，</w:t>
      </w:r>
      <w:r w:rsidR="00AB3CD1">
        <w:rPr>
          <w:rFonts w:ascii="宋体" w:hAnsi="宋体" w:cstheme="minorBidi" w:hint="eastAsia"/>
          <w:spacing w:val="-6"/>
          <w:sz w:val="28"/>
          <w:szCs w:val="28"/>
        </w:rPr>
        <w:t>公司</w:t>
      </w:r>
      <w:r w:rsidR="00AB3CD1" w:rsidRPr="00AB3CD1">
        <w:rPr>
          <w:rFonts w:ascii="宋体" w:hAnsi="宋体" w:cstheme="minorBidi" w:hint="eastAsia"/>
          <w:spacing w:val="-6"/>
          <w:sz w:val="28"/>
          <w:szCs w:val="28"/>
        </w:rPr>
        <w:t>着眼于</w:t>
      </w:r>
      <w:r w:rsidR="00AB3CD1">
        <w:rPr>
          <w:rFonts w:ascii="宋体" w:hAnsi="宋体" w:cstheme="minorBidi" w:hint="eastAsia"/>
          <w:spacing w:val="-6"/>
          <w:sz w:val="28"/>
          <w:szCs w:val="28"/>
        </w:rPr>
        <w:t>企业</w:t>
      </w:r>
      <w:r w:rsidR="00AB3CD1" w:rsidRPr="00AB3CD1">
        <w:rPr>
          <w:rFonts w:ascii="宋体" w:hAnsi="宋体" w:cstheme="minorBidi" w:hint="eastAsia"/>
          <w:spacing w:val="-6"/>
          <w:sz w:val="28"/>
          <w:szCs w:val="28"/>
        </w:rPr>
        <w:t>的长远和可持续发展，在综合</w:t>
      </w:r>
      <w:r w:rsidR="00AB3CD1">
        <w:rPr>
          <w:rFonts w:ascii="宋体" w:hAnsi="宋体" w:cstheme="minorBidi" w:hint="eastAsia"/>
          <w:spacing w:val="-6"/>
          <w:sz w:val="28"/>
          <w:szCs w:val="28"/>
        </w:rPr>
        <w:t>考虑</w:t>
      </w:r>
      <w:r w:rsidR="00AB3CD1" w:rsidRPr="00AB3CD1">
        <w:rPr>
          <w:rFonts w:ascii="宋体" w:hAnsi="宋体" w:cstheme="minorBidi" w:hint="eastAsia"/>
          <w:spacing w:val="-6"/>
          <w:sz w:val="28"/>
          <w:szCs w:val="28"/>
        </w:rPr>
        <w:t>公司实际经营情况、</w:t>
      </w:r>
      <w:r w:rsidR="00AB3CD1">
        <w:rPr>
          <w:rFonts w:ascii="宋体" w:hAnsi="宋体" w:cstheme="minorBidi" w:hint="eastAsia"/>
          <w:spacing w:val="-6"/>
          <w:sz w:val="28"/>
          <w:szCs w:val="28"/>
        </w:rPr>
        <w:t>发展战略、</w:t>
      </w:r>
      <w:r w:rsidR="00AB3CD1" w:rsidRPr="00AB3CD1">
        <w:rPr>
          <w:rFonts w:ascii="宋体" w:hAnsi="宋体" w:cstheme="minorBidi" w:hint="eastAsia"/>
          <w:spacing w:val="-6"/>
          <w:sz w:val="28"/>
          <w:szCs w:val="28"/>
        </w:rPr>
        <w:t>股东意愿、社会资金成本、外部融资环境等因素的基础上</w:t>
      </w:r>
      <w:r w:rsidR="00AB3CD1">
        <w:rPr>
          <w:rFonts w:ascii="宋体" w:hAnsi="宋体" w:cstheme="minorBidi" w:hint="eastAsia"/>
          <w:spacing w:val="-6"/>
          <w:sz w:val="28"/>
          <w:szCs w:val="28"/>
        </w:rPr>
        <w:t>，</w:t>
      </w:r>
      <w:r w:rsidR="00B903B5" w:rsidRPr="00B903B5">
        <w:rPr>
          <w:rFonts w:ascii="宋体" w:hAnsi="宋体" w:cstheme="minorBidi" w:hint="eastAsia"/>
          <w:spacing w:val="-6"/>
          <w:sz w:val="28"/>
          <w:szCs w:val="28"/>
        </w:rPr>
        <w:t>拟将公司</w:t>
      </w:r>
      <w:r w:rsidR="004519CF">
        <w:rPr>
          <w:rFonts w:ascii="宋体" w:hAnsi="宋体" w:cstheme="minorBidi" w:hint="eastAsia"/>
          <w:spacing w:val="-6"/>
          <w:sz w:val="28"/>
          <w:szCs w:val="28"/>
        </w:rPr>
        <w:t>2020-2024年度</w:t>
      </w:r>
      <w:r w:rsidR="00B903B5" w:rsidRPr="00B903B5">
        <w:rPr>
          <w:rFonts w:ascii="宋体" w:hAnsi="宋体" w:cstheme="minorBidi" w:hint="eastAsia"/>
          <w:spacing w:val="-6"/>
          <w:sz w:val="28"/>
          <w:szCs w:val="28"/>
        </w:rPr>
        <w:t>现金分红比例确定为：公司在各会计年度分配的现金股利总额，应占公司该年度扣除法定储备后净利润的约百分之</w:t>
      </w:r>
      <w:r w:rsidR="00017D84">
        <w:rPr>
          <w:rFonts w:ascii="宋体" w:hAnsi="宋体" w:cstheme="minorBidi" w:hint="eastAsia"/>
          <w:spacing w:val="-6"/>
          <w:sz w:val="28"/>
          <w:szCs w:val="28"/>
        </w:rPr>
        <w:t>五十</w:t>
      </w:r>
      <w:r w:rsidR="00F81D62">
        <w:rPr>
          <w:rFonts w:ascii="宋体" w:hAnsi="宋体" w:cstheme="minorBidi" w:hint="eastAsia"/>
          <w:spacing w:val="-6"/>
          <w:sz w:val="28"/>
          <w:szCs w:val="28"/>
        </w:rPr>
        <w:t>，</w:t>
      </w:r>
      <w:r w:rsidR="00B903B5" w:rsidRPr="00B903B5">
        <w:rPr>
          <w:rFonts w:ascii="宋体" w:hAnsi="宋体" w:cstheme="minorBidi" w:hint="eastAsia"/>
          <w:spacing w:val="-6"/>
          <w:sz w:val="28"/>
          <w:szCs w:val="28"/>
        </w:rPr>
        <w:t>且每股现金股利不低于人民币</w:t>
      </w:r>
      <w:r w:rsidR="00017D84">
        <w:rPr>
          <w:rFonts w:ascii="宋体" w:hAnsi="宋体" w:cstheme="minorBidi" w:hint="eastAsia"/>
          <w:spacing w:val="-6"/>
          <w:sz w:val="28"/>
          <w:szCs w:val="28"/>
        </w:rPr>
        <w:t>0</w:t>
      </w:r>
      <w:r w:rsidR="00017D84">
        <w:rPr>
          <w:rFonts w:ascii="宋体" w:hAnsi="宋体" w:cstheme="minorBidi"/>
          <w:spacing w:val="-6"/>
          <w:sz w:val="28"/>
          <w:szCs w:val="28"/>
        </w:rPr>
        <w:t>.5</w:t>
      </w:r>
      <w:r w:rsidR="00B903B5" w:rsidRPr="00B903B5">
        <w:rPr>
          <w:rFonts w:ascii="宋体" w:hAnsi="宋体" w:cstheme="minorBidi" w:hint="eastAsia"/>
          <w:spacing w:val="-6"/>
          <w:sz w:val="28"/>
          <w:szCs w:val="28"/>
        </w:rPr>
        <w:t>元。</w:t>
      </w:r>
    </w:p>
    <w:p w14:paraId="646A140E" w14:textId="77777777" w:rsidR="00FF7C77" w:rsidRPr="00F70ABC" w:rsidRDefault="00FF7C77" w:rsidP="00EA0956">
      <w:pPr>
        <w:pStyle w:val="1"/>
        <w:spacing w:line="520" w:lineRule="exact"/>
        <w:ind w:firstLine="536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F70ABC">
        <w:rPr>
          <w:sz w:val="28"/>
          <w:szCs w:val="28"/>
        </w:rPr>
        <w:t xml:space="preserve">三、本次提高现金分红比例对公司的影响 </w:t>
      </w:r>
    </w:p>
    <w:p w14:paraId="54903FFE" w14:textId="77777777" w:rsidR="00FF7C77" w:rsidRPr="00F70ABC" w:rsidRDefault="00FF7C77" w:rsidP="00EA0956">
      <w:pPr>
        <w:spacing w:line="520" w:lineRule="exact"/>
        <w:ind w:firstLineChars="200" w:firstLine="536"/>
        <w:rPr>
          <w:rFonts w:ascii="宋体" w:hAnsi="宋体" w:cstheme="minorBidi"/>
          <w:spacing w:val="-6"/>
          <w:sz w:val="28"/>
          <w:szCs w:val="28"/>
        </w:rPr>
      </w:pPr>
      <w:r w:rsidRPr="00F70ABC">
        <w:rPr>
          <w:rFonts w:ascii="宋体" w:hAnsi="宋体" w:cstheme="minorBidi"/>
          <w:spacing w:val="-6"/>
          <w:sz w:val="28"/>
          <w:szCs w:val="28"/>
        </w:rPr>
        <w:t>结合本公司实际情况和资本开支计划，</w:t>
      </w:r>
      <w:r w:rsidR="004519CF" w:rsidRPr="00722A1F">
        <w:rPr>
          <w:rFonts w:ascii="宋体" w:hAnsi="宋体" w:cstheme="minorBidi" w:hint="eastAsia"/>
          <w:spacing w:val="-6"/>
          <w:sz w:val="28"/>
          <w:szCs w:val="28"/>
        </w:rPr>
        <w:t>本次提高现金分红比例</w:t>
      </w:r>
      <w:r w:rsidRPr="00F70ABC">
        <w:rPr>
          <w:rFonts w:ascii="宋体" w:hAnsi="宋体" w:cstheme="minorBidi"/>
          <w:spacing w:val="-6"/>
          <w:sz w:val="28"/>
          <w:szCs w:val="28"/>
        </w:rPr>
        <w:t xml:space="preserve">将不会影响本公司的日常经营。 </w:t>
      </w:r>
    </w:p>
    <w:p w14:paraId="3CF3C41F" w14:textId="77777777" w:rsidR="00AA0093" w:rsidRPr="00AD56A9" w:rsidRDefault="00FF7C77" w:rsidP="00EA0956">
      <w:pPr>
        <w:pStyle w:val="1"/>
        <w:spacing w:line="520" w:lineRule="exact"/>
        <w:ind w:firstLine="536"/>
        <w:rPr>
          <w:sz w:val="28"/>
          <w:szCs w:val="28"/>
        </w:rPr>
      </w:pPr>
      <w:r w:rsidRPr="00F70ABC">
        <w:rPr>
          <w:sz w:val="28"/>
          <w:szCs w:val="28"/>
        </w:rPr>
        <w:t>四、本次</w:t>
      </w:r>
      <w:r w:rsidR="0036137C" w:rsidRPr="00F70ABC">
        <w:rPr>
          <w:rFonts w:hint="eastAsia"/>
          <w:sz w:val="28"/>
          <w:szCs w:val="28"/>
        </w:rPr>
        <w:t>提高现金分红比例</w:t>
      </w:r>
      <w:r w:rsidRPr="00F70ABC">
        <w:rPr>
          <w:sz w:val="28"/>
          <w:szCs w:val="28"/>
        </w:rPr>
        <w:t xml:space="preserve">履行的审议程序 </w:t>
      </w:r>
    </w:p>
    <w:p w14:paraId="6EB7B2B9" w14:textId="77777777" w:rsidR="00AD56A9" w:rsidRDefault="00722A1F" w:rsidP="00EA0956">
      <w:pPr>
        <w:spacing w:line="520" w:lineRule="exact"/>
        <w:ind w:firstLineChars="200" w:firstLine="536"/>
        <w:rPr>
          <w:rFonts w:ascii="宋体" w:hAnsi="宋体" w:cstheme="minorBidi"/>
          <w:spacing w:val="-6"/>
          <w:sz w:val="28"/>
          <w:szCs w:val="28"/>
        </w:rPr>
      </w:pPr>
      <w:r w:rsidRPr="00722A1F">
        <w:rPr>
          <w:rFonts w:ascii="宋体" w:hAnsi="宋体" w:cstheme="minorBidi" w:hint="eastAsia"/>
          <w:spacing w:val="-6"/>
          <w:sz w:val="28"/>
          <w:szCs w:val="28"/>
        </w:rPr>
        <w:t>本次提高现金分红比例</w:t>
      </w:r>
      <w:r w:rsidR="00353F32">
        <w:rPr>
          <w:rFonts w:ascii="宋体" w:hAnsi="宋体" w:cstheme="minorBidi" w:hint="eastAsia"/>
          <w:spacing w:val="-6"/>
          <w:sz w:val="28"/>
          <w:szCs w:val="28"/>
        </w:rPr>
        <w:t>已经</w:t>
      </w:r>
      <w:r w:rsidR="00DC4E39">
        <w:rPr>
          <w:rFonts w:ascii="宋体" w:hAnsi="宋体" w:cstheme="minorBidi" w:hint="eastAsia"/>
          <w:spacing w:val="-6"/>
          <w:sz w:val="28"/>
          <w:szCs w:val="28"/>
        </w:rPr>
        <w:t>公司</w:t>
      </w:r>
      <w:r w:rsidR="00AD56A9" w:rsidRPr="00AD56A9">
        <w:rPr>
          <w:rFonts w:ascii="宋体" w:hAnsi="宋体" w:cstheme="minorBidi" w:hint="eastAsia"/>
          <w:spacing w:val="-6"/>
          <w:sz w:val="28"/>
          <w:szCs w:val="28"/>
        </w:rPr>
        <w:t>第</w:t>
      </w:r>
      <w:r w:rsidR="00AD56A9">
        <w:rPr>
          <w:rFonts w:ascii="宋体" w:hAnsi="宋体" w:cstheme="minorBidi" w:hint="eastAsia"/>
          <w:spacing w:val="-6"/>
          <w:sz w:val="28"/>
          <w:szCs w:val="28"/>
        </w:rPr>
        <w:t>八</w:t>
      </w:r>
      <w:r w:rsidR="00AD56A9" w:rsidRPr="00AD56A9">
        <w:rPr>
          <w:rFonts w:ascii="宋体" w:hAnsi="宋体" w:cstheme="minorBidi" w:hint="eastAsia"/>
          <w:spacing w:val="-6"/>
          <w:sz w:val="28"/>
          <w:szCs w:val="28"/>
        </w:rPr>
        <w:t>届董事会</w:t>
      </w:r>
      <w:r w:rsidR="00AD56A9" w:rsidRPr="00722A1F">
        <w:rPr>
          <w:rFonts w:ascii="宋体" w:hAnsi="宋体" w:cstheme="minorBidi" w:hint="eastAsia"/>
          <w:spacing w:val="-6"/>
          <w:sz w:val="28"/>
          <w:szCs w:val="28"/>
        </w:rPr>
        <w:t>第六次</w:t>
      </w:r>
      <w:r w:rsidR="00AD56A9" w:rsidRPr="00AD56A9">
        <w:rPr>
          <w:rFonts w:ascii="宋体" w:hAnsi="宋体" w:cstheme="minorBidi" w:hint="eastAsia"/>
          <w:spacing w:val="-6"/>
          <w:sz w:val="28"/>
          <w:szCs w:val="28"/>
        </w:rPr>
        <w:t>会议</w:t>
      </w:r>
      <w:r w:rsidR="00677D22">
        <w:rPr>
          <w:rFonts w:ascii="宋体" w:hAnsi="宋体" w:cstheme="minorBidi" w:hint="eastAsia"/>
          <w:spacing w:val="-6"/>
          <w:sz w:val="28"/>
          <w:szCs w:val="28"/>
        </w:rPr>
        <w:t>和第八届监事会第三次会议</w:t>
      </w:r>
      <w:r w:rsidR="00353F32" w:rsidRPr="00353F32">
        <w:rPr>
          <w:rFonts w:ascii="宋体" w:hAnsi="宋体" w:cstheme="minorBidi" w:hint="eastAsia"/>
          <w:spacing w:val="-6"/>
          <w:sz w:val="28"/>
          <w:szCs w:val="28"/>
        </w:rPr>
        <w:t>审议</w:t>
      </w:r>
      <w:r w:rsidR="00F6353E">
        <w:rPr>
          <w:rFonts w:ascii="宋体" w:hAnsi="宋体" w:cstheme="minorBidi" w:hint="eastAsia"/>
          <w:spacing w:val="-6"/>
          <w:sz w:val="28"/>
          <w:szCs w:val="28"/>
        </w:rPr>
        <w:t>通过</w:t>
      </w:r>
      <w:r w:rsidR="00DC4E39">
        <w:rPr>
          <w:rFonts w:ascii="宋体" w:hAnsi="宋体" w:cstheme="minorBidi" w:hint="eastAsia"/>
          <w:spacing w:val="-6"/>
          <w:sz w:val="28"/>
          <w:szCs w:val="28"/>
        </w:rPr>
        <w:t>，</w:t>
      </w:r>
      <w:r w:rsidR="00561E04" w:rsidRPr="00561E04">
        <w:rPr>
          <w:rFonts w:ascii="宋体" w:hAnsi="宋体" w:cstheme="minorBidi" w:hint="eastAsia"/>
          <w:spacing w:val="-6"/>
          <w:sz w:val="28"/>
          <w:szCs w:val="28"/>
        </w:rPr>
        <w:t>独立董事发表了</w:t>
      </w:r>
      <w:r w:rsidR="00667904">
        <w:rPr>
          <w:rFonts w:ascii="宋体" w:hAnsi="宋体" w:cstheme="minorBidi" w:hint="eastAsia"/>
          <w:spacing w:val="-6"/>
          <w:sz w:val="28"/>
          <w:szCs w:val="28"/>
        </w:rPr>
        <w:t>同意的</w:t>
      </w:r>
      <w:r w:rsidR="00DC4E39">
        <w:rPr>
          <w:rFonts w:ascii="宋体" w:hAnsi="宋体" w:cstheme="minorBidi" w:hint="eastAsia"/>
          <w:spacing w:val="-6"/>
          <w:sz w:val="28"/>
          <w:szCs w:val="28"/>
        </w:rPr>
        <w:t>独立意见</w:t>
      </w:r>
      <w:r w:rsidR="00561E04" w:rsidRPr="00561E04">
        <w:rPr>
          <w:rFonts w:ascii="宋体" w:hAnsi="宋体" w:cstheme="minorBidi" w:hint="eastAsia"/>
          <w:spacing w:val="-6"/>
          <w:sz w:val="28"/>
          <w:szCs w:val="28"/>
        </w:rPr>
        <w:t>。</w:t>
      </w:r>
      <w:r w:rsidR="00DC4E39" w:rsidRPr="00F70ABC">
        <w:rPr>
          <w:sz w:val="28"/>
          <w:szCs w:val="28"/>
        </w:rPr>
        <w:t>本次</w:t>
      </w:r>
      <w:r w:rsidR="00DC4E39" w:rsidRPr="00F70ABC">
        <w:rPr>
          <w:rFonts w:hint="eastAsia"/>
          <w:sz w:val="28"/>
          <w:szCs w:val="28"/>
        </w:rPr>
        <w:t>提高现金分红比例</w:t>
      </w:r>
      <w:r w:rsidR="00DC4E39" w:rsidRPr="00DC4E39">
        <w:rPr>
          <w:rFonts w:ascii="宋体" w:hAnsi="宋体" w:cstheme="minorBidi" w:hint="eastAsia"/>
          <w:spacing w:val="-6"/>
          <w:sz w:val="28"/>
          <w:szCs w:val="28"/>
        </w:rPr>
        <w:t>尚需提交股东大会审议</w:t>
      </w:r>
      <w:r w:rsidR="00AD56A9">
        <w:rPr>
          <w:rFonts w:ascii="宋体" w:hAnsi="宋体" w:cstheme="minorBidi" w:hint="eastAsia"/>
          <w:spacing w:val="-6"/>
          <w:sz w:val="28"/>
          <w:szCs w:val="28"/>
        </w:rPr>
        <w:t>。</w:t>
      </w:r>
    </w:p>
    <w:p w14:paraId="18505EC4" w14:textId="77777777" w:rsidR="00AD56A9" w:rsidRPr="00AD56A9" w:rsidRDefault="00AD56A9" w:rsidP="00EA0956">
      <w:pPr>
        <w:spacing w:line="520" w:lineRule="exact"/>
        <w:ind w:firstLineChars="200" w:firstLine="536"/>
        <w:rPr>
          <w:rFonts w:ascii="宋体" w:hAnsi="宋体" w:cstheme="minorBidi"/>
          <w:spacing w:val="-6"/>
          <w:sz w:val="28"/>
          <w:szCs w:val="28"/>
        </w:rPr>
      </w:pPr>
    </w:p>
    <w:p w14:paraId="5E504CE8" w14:textId="77777777" w:rsidR="00D131EA" w:rsidRPr="00F70ABC" w:rsidRDefault="00FF7C77" w:rsidP="00EA0956">
      <w:pPr>
        <w:spacing w:line="520" w:lineRule="exact"/>
        <w:ind w:firstLineChars="200" w:firstLine="536"/>
        <w:rPr>
          <w:rFonts w:ascii="宋体" w:hAnsi="宋体" w:cstheme="minorBidi"/>
          <w:spacing w:val="-6"/>
          <w:sz w:val="28"/>
          <w:szCs w:val="28"/>
        </w:rPr>
      </w:pPr>
      <w:r w:rsidRPr="00F70ABC">
        <w:rPr>
          <w:rFonts w:ascii="宋体" w:hAnsi="宋体" w:cstheme="minorBidi"/>
          <w:spacing w:val="-6"/>
          <w:sz w:val="28"/>
          <w:szCs w:val="28"/>
        </w:rPr>
        <w:t>特此公告。</w:t>
      </w:r>
    </w:p>
    <w:p w14:paraId="49A359F7" w14:textId="77777777" w:rsidR="00D131EA" w:rsidRPr="00F70ABC" w:rsidRDefault="00D131EA" w:rsidP="00EA0956">
      <w:pPr>
        <w:widowControl/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1ABF31F9" w14:textId="77777777" w:rsidR="00AA0093" w:rsidRPr="00F70ABC" w:rsidRDefault="00AA0093" w:rsidP="00EA0956">
      <w:pPr>
        <w:spacing w:line="520" w:lineRule="exact"/>
        <w:ind w:firstLineChars="200" w:firstLine="536"/>
        <w:jc w:val="right"/>
        <w:rPr>
          <w:rFonts w:ascii="宋体" w:hAnsi="宋体" w:cstheme="minorBidi"/>
          <w:spacing w:val="-6"/>
          <w:sz w:val="28"/>
          <w:szCs w:val="28"/>
        </w:rPr>
      </w:pPr>
    </w:p>
    <w:p w14:paraId="33ECDDBF" w14:textId="77777777" w:rsidR="00D131EA" w:rsidRPr="00F70ABC" w:rsidRDefault="000654EE" w:rsidP="00EA0956">
      <w:pPr>
        <w:spacing w:line="520" w:lineRule="exact"/>
        <w:ind w:firstLineChars="200" w:firstLine="536"/>
        <w:jc w:val="right"/>
        <w:rPr>
          <w:rFonts w:ascii="宋体" w:hAnsi="宋体" w:cstheme="minorBidi"/>
          <w:spacing w:val="-6"/>
          <w:sz w:val="28"/>
          <w:szCs w:val="28"/>
        </w:rPr>
      </w:pPr>
      <w:r w:rsidRPr="00F70ABC">
        <w:rPr>
          <w:rFonts w:ascii="宋体" w:hAnsi="宋体" w:cstheme="minorBidi" w:hint="eastAsia"/>
          <w:spacing w:val="-6"/>
          <w:sz w:val="28"/>
          <w:szCs w:val="28"/>
        </w:rPr>
        <w:t>兖州煤业股份有限公司董事会</w:t>
      </w:r>
      <w:r w:rsidR="00576854" w:rsidRPr="00F70ABC">
        <w:rPr>
          <w:rFonts w:ascii="宋体" w:hAnsi="宋体" w:cstheme="minorBidi" w:hint="eastAsia"/>
          <w:spacing w:val="-6"/>
          <w:sz w:val="28"/>
          <w:szCs w:val="28"/>
        </w:rPr>
        <w:t xml:space="preserve"> </w:t>
      </w:r>
    </w:p>
    <w:p w14:paraId="2103BC62" w14:textId="77777777" w:rsidR="00D131EA" w:rsidRPr="00F70ABC" w:rsidRDefault="000654EE" w:rsidP="00EA0956">
      <w:pPr>
        <w:spacing w:line="520" w:lineRule="exact"/>
        <w:ind w:firstLineChars="200" w:firstLine="536"/>
        <w:jc w:val="right"/>
        <w:rPr>
          <w:rFonts w:ascii="宋体" w:hAnsi="宋体" w:cstheme="minorBidi"/>
          <w:spacing w:val="-6"/>
          <w:sz w:val="28"/>
          <w:szCs w:val="28"/>
        </w:rPr>
      </w:pPr>
      <w:r w:rsidRPr="00F70ABC">
        <w:rPr>
          <w:rFonts w:ascii="宋体" w:hAnsi="宋体" w:cstheme="minorBidi" w:hint="eastAsia"/>
          <w:spacing w:val="-6"/>
          <w:sz w:val="28"/>
          <w:szCs w:val="28"/>
        </w:rPr>
        <w:t>20</w:t>
      </w:r>
      <w:r w:rsidR="00DE6533" w:rsidRPr="00F70ABC">
        <w:rPr>
          <w:rFonts w:ascii="宋体" w:hAnsi="宋体" w:cstheme="minorBidi" w:hint="eastAsia"/>
          <w:spacing w:val="-6"/>
          <w:sz w:val="28"/>
          <w:szCs w:val="28"/>
        </w:rPr>
        <w:t>20</w:t>
      </w:r>
      <w:r w:rsidRPr="00F70ABC">
        <w:rPr>
          <w:rFonts w:ascii="宋体" w:hAnsi="宋体" w:cstheme="minorBidi" w:hint="eastAsia"/>
          <w:spacing w:val="-6"/>
          <w:sz w:val="28"/>
          <w:szCs w:val="28"/>
        </w:rPr>
        <w:t>年</w:t>
      </w:r>
      <w:r w:rsidR="00D417E8" w:rsidRPr="00F70ABC">
        <w:rPr>
          <w:rFonts w:ascii="宋体" w:hAnsi="宋体" w:cstheme="minorBidi" w:hint="eastAsia"/>
          <w:spacing w:val="-6"/>
          <w:sz w:val="28"/>
          <w:szCs w:val="28"/>
        </w:rPr>
        <w:t>10</w:t>
      </w:r>
      <w:r w:rsidRPr="00F70ABC">
        <w:rPr>
          <w:rFonts w:ascii="宋体" w:hAnsi="宋体" w:cstheme="minorBidi" w:hint="eastAsia"/>
          <w:spacing w:val="-6"/>
          <w:sz w:val="28"/>
          <w:szCs w:val="28"/>
        </w:rPr>
        <w:t>月</w:t>
      </w:r>
      <w:r w:rsidR="00B24DB8" w:rsidRPr="00F70ABC">
        <w:rPr>
          <w:rFonts w:ascii="宋体" w:hAnsi="宋体" w:cstheme="minorBidi" w:hint="eastAsia"/>
          <w:spacing w:val="-6"/>
          <w:sz w:val="28"/>
          <w:szCs w:val="28"/>
        </w:rPr>
        <w:t>2</w:t>
      </w:r>
      <w:r w:rsidR="00B24DB8" w:rsidRPr="00F70ABC">
        <w:rPr>
          <w:rFonts w:ascii="宋体" w:hAnsi="宋体" w:cstheme="minorBidi"/>
          <w:spacing w:val="-6"/>
          <w:sz w:val="28"/>
          <w:szCs w:val="28"/>
        </w:rPr>
        <w:t>3</w:t>
      </w:r>
      <w:r w:rsidRPr="00F70ABC">
        <w:rPr>
          <w:rFonts w:ascii="宋体" w:hAnsi="宋体" w:cstheme="minorBidi" w:hint="eastAsia"/>
          <w:spacing w:val="-6"/>
          <w:sz w:val="28"/>
          <w:szCs w:val="28"/>
        </w:rPr>
        <w:t>日</w:t>
      </w:r>
      <w:r w:rsidR="00AA0093" w:rsidRPr="00F70ABC">
        <w:rPr>
          <w:rFonts w:ascii="宋体" w:hAnsi="宋体" w:cstheme="minorBidi" w:hint="eastAsia"/>
          <w:spacing w:val="-6"/>
          <w:sz w:val="28"/>
          <w:szCs w:val="28"/>
        </w:rPr>
        <w:t xml:space="preserve"> </w:t>
      </w:r>
      <w:r w:rsidR="00576854" w:rsidRPr="00F70ABC">
        <w:rPr>
          <w:rFonts w:ascii="宋体" w:hAnsi="宋体" w:cstheme="minorBidi" w:hint="eastAsia"/>
          <w:spacing w:val="-6"/>
          <w:sz w:val="28"/>
          <w:szCs w:val="28"/>
        </w:rPr>
        <w:t xml:space="preserve"> </w:t>
      </w:r>
      <w:r w:rsidR="00AA0093" w:rsidRPr="00F70ABC">
        <w:rPr>
          <w:rFonts w:ascii="宋体" w:hAnsi="宋体" w:cstheme="minorBidi" w:hint="eastAsia"/>
          <w:spacing w:val="-6"/>
          <w:sz w:val="28"/>
          <w:szCs w:val="28"/>
        </w:rPr>
        <w:t xml:space="preserve">    </w:t>
      </w:r>
    </w:p>
    <w:sectPr w:rsidR="00D131EA" w:rsidRPr="00F70ABC" w:rsidSect="004D04F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1633D" w14:textId="77777777" w:rsidR="00187ED9" w:rsidRDefault="00187ED9">
      <w:r>
        <w:separator/>
      </w:r>
    </w:p>
  </w:endnote>
  <w:endnote w:type="continuationSeparator" w:id="0">
    <w:p w14:paraId="2BC5055E" w14:textId="77777777" w:rsidR="00187ED9" w:rsidRDefault="0018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354610"/>
    </w:sdtPr>
    <w:sdtEndPr/>
    <w:sdtContent>
      <w:p w14:paraId="1A18D3BB" w14:textId="77777777" w:rsidR="00D131EA" w:rsidRDefault="004D04F9">
        <w:pPr>
          <w:pStyle w:val="a9"/>
          <w:jc w:val="center"/>
        </w:pPr>
        <w:r>
          <w:rPr>
            <w:lang w:val="zh-CN"/>
          </w:rPr>
          <w:fldChar w:fldCharType="begin"/>
        </w:r>
        <w:r w:rsidR="000654EE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EA0956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57F6475" w14:textId="77777777" w:rsidR="00D131EA" w:rsidRDefault="00D131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5C117" w14:textId="77777777" w:rsidR="00187ED9" w:rsidRDefault="00187ED9">
      <w:r>
        <w:separator/>
      </w:r>
    </w:p>
  </w:footnote>
  <w:footnote w:type="continuationSeparator" w:id="0">
    <w:p w14:paraId="4357177F" w14:textId="77777777" w:rsidR="00187ED9" w:rsidRDefault="0018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3177F"/>
    <w:multiLevelType w:val="hybridMultilevel"/>
    <w:tmpl w:val="1090C9FA"/>
    <w:lvl w:ilvl="0" w:tplc="0DACD74A">
      <w:numFmt w:val="bullet"/>
      <w:lvlText w:val=""/>
      <w:lvlJc w:val="left"/>
      <w:pPr>
        <w:ind w:left="120" w:hanging="36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F7C8A40">
      <w:numFmt w:val="bullet"/>
      <w:lvlText w:val="•"/>
      <w:lvlJc w:val="left"/>
      <w:pPr>
        <w:ind w:left="962" w:hanging="368"/>
      </w:pPr>
      <w:rPr>
        <w:rFonts w:hint="default"/>
      </w:rPr>
    </w:lvl>
    <w:lvl w:ilvl="2" w:tplc="63E01D0C">
      <w:numFmt w:val="bullet"/>
      <w:lvlText w:val="•"/>
      <w:lvlJc w:val="left"/>
      <w:pPr>
        <w:ind w:left="1805" w:hanging="368"/>
      </w:pPr>
      <w:rPr>
        <w:rFonts w:hint="default"/>
      </w:rPr>
    </w:lvl>
    <w:lvl w:ilvl="3" w:tplc="CFC0ADAE">
      <w:numFmt w:val="bullet"/>
      <w:lvlText w:val="•"/>
      <w:lvlJc w:val="left"/>
      <w:pPr>
        <w:ind w:left="2647" w:hanging="368"/>
      </w:pPr>
      <w:rPr>
        <w:rFonts w:hint="default"/>
      </w:rPr>
    </w:lvl>
    <w:lvl w:ilvl="4" w:tplc="7F1CE8A8">
      <w:numFmt w:val="bullet"/>
      <w:lvlText w:val="•"/>
      <w:lvlJc w:val="left"/>
      <w:pPr>
        <w:ind w:left="3490" w:hanging="368"/>
      </w:pPr>
      <w:rPr>
        <w:rFonts w:hint="default"/>
      </w:rPr>
    </w:lvl>
    <w:lvl w:ilvl="5" w:tplc="0C28D278">
      <w:numFmt w:val="bullet"/>
      <w:lvlText w:val="•"/>
      <w:lvlJc w:val="left"/>
      <w:pPr>
        <w:ind w:left="4333" w:hanging="368"/>
      </w:pPr>
      <w:rPr>
        <w:rFonts w:hint="default"/>
      </w:rPr>
    </w:lvl>
    <w:lvl w:ilvl="6" w:tplc="BE820F58">
      <w:numFmt w:val="bullet"/>
      <w:lvlText w:val="•"/>
      <w:lvlJc w:val="left"/>
      <w:pPr>
        <w:ind w:left="5175" w:hanging="368"/>
      </w:pPr>
      <w:rPr>
        <w:rFonts w:hint="default"/>
      </w:rPr>
    </w:lvl>
    <w:lvl w:ilvl="7" w:tplc="02F49C28">
      <w:numFmt w:val="bullet"/>
      <w:lvlText w:val="•"/>
      <w:lvlJc w:val="left"/>
      <w:pPr>
        <w:ind w:left="6018" w:hanging="368"/>
      </w:pPr>
      <w:rPr>
        <w:rFonts w:hint="default"/>
      </w:rPr>
    </w:lvl>
    <w:lvl w:ilvl="8" w:tplc="4526128A">
      <w:numFmt w:val="bullet"/>
      <w:lvlText w:val="•"/>
      <w:lvlJc w:val="left"/>
      <w:pPr>
        <w:ind w:left="6861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42"/>
    <w:rsid w:val="0001493D"/>
    <w:rsid w:val="00017D84"/>
    <w:rsid w:val="00041D1E"/>
    <w:rsid w:val="00043100"/>
    <w:rsid w:val="0004710B"/>
    <w:rsid w:val="000654EE"/>
    <w:rsid w:val="00065B2E"/>
    <w:rsid w:val="000736A6"/>
    <w:rsid w:val="000A14C5"/>
    <w:rsid w:val="000A2A5A"/>
    <w:rsid w:val="000A59B8"/>
    <w:rsid w:val="000B03B4"/>
    <w:rsid w:val="000B06A3"/>
    <w:rsid w:val="000B6683"/>
    <w:rsid w:val="000D0045"/>
    <w:rsid w:val="000D2857"/>
    <w:rsid w:val="000F0BA9"/>
    <w:rsid w:val="001165A7"/>
    <w:rsid w:val="0012561D"/>
    <w:rsid w:val="00125FAA"/>
    <w:rsid w:val="00126891"/>
    <w:rsid w:val="00127605"/>
    <w:rsid w:val="00132E1A"/>
    <w:rsid w:val="001415E2"/>
    <w:rsid w:val="001448D2"/>
    <w:rsid w:val="001648C7"/>
    <w:rsid w:val="0017675F"/>
    <w:rsid w:val="00181546"/>
    <w:rsid w:val="001848FB"/>
    <w:rsid w:val="00187ED9"/>
    <w:rsid w:val="001A2B92"/>
    <w:rsid w:val="001A3C5C"/>
    <w:rsid w:val="001B3289"/>
    <w:rsid w:val="001B6D2D"/>
    <w:rsid w:val="001D4672"/>
    <w:rsid w:val="001E2A97"/>
    <w:rsid w:val="001F763E"/>
    <w:rsid w:val="00224692"/>
    <w:rsid w:val="00226C78"/>
    <w:rsid w:val="002315D3"/>
    <w:rsid w:val="00231E28"/>
    <w:rsid w:val="002338A5"/>
    <w:rsid w:val="0024542B"/>
    <w:rsid w:val="002461FB"/>
    <w:rsid w:val="00257BC7"/>
    <w:rsid w:val="00266574"/>
    <w:rsid w:val="00266C2D"/>
    <w:rsid w:val="00266F5E"/>
    <w:rsid w:val="002904D7"/>
    <w:rsid w:val="00291940"/>
    <w:rsid w:val="00293CA5"/>
    <w:rsid w:val="002B1631"/>
    <w:rsid w:val="002B4417"/>
    <w:rsid w:val="002D4B70"/>
    <w:rsid w:val="002D518D"/>
    <w:rsid w:val="002D6F58"/>
    <w:rsid w:val="002F1512"/>
    <w:rsid w:val="002F63A3"/>
    <w:rsid w:val="002F79CB"/>
    <w:rsid w:val="0031208A"/>
    <w:rsid w:val="00314A03"/>
    <w:rsid w:val="00320DFC"/>
    <w:rsid w:val="0032373F"/>
    <w:rsid w:val="00331093"/>
    <w:rsid w:val="0034244B"/>
    <w:rsid w:val="00345829"/>
    <w:rsid w:val="00351DD8"/>
    <w:rsid w:val="00353F32"/>
    <w:rsid w:val="003553DC"/>
    <w:rsid w:val="0036137C"/>
    <w:rsid w:val="00361AEB"/>
    <w:rsid w:val="003643ED"/>
    <w:rsid w:val="00364EB8"/>
    <w:rsid w:val="00372C68"/>
    <w:rsid w:val="00377BA9"/>
    <w:rsid w:val="003926AB"/>
    <w:rsid w:val="003A090B"/>
    <w:rsid w:val="003A7ECD"/>
    <w:rsid w:val="003B35CC"/>
    <w:rsid w:val="003C23A9"/>
    <w:rsid w:val="003C4DCE"/>
    <w:rsid w:val="003D3BFD"/>
    <w:rsid w:val="003E1517"/>
    <w:rsid w:val="003F1364"/>
    <w:rsid w:val="003F3073"/>
    <w:rsid w:val="003F4F97"/>
    <w:rsid w:val="004033F2"/>
    <w:rsid w:val="00417AE6"/>
    <w:rsid w:val="004243CC"/>
    <w:rsid w:val="00442979"/>
    <w:rsid w:val="004519CF"/>
    <w:rsid w:val="00470A48"/>
    <w:rsid w:val="00473CFF"/>
    <w:rsid w:val="00474CD2"/>
    <w:rsid w:val="0047584D"/>
    <w:rsid w:val="0049518B"/>
    <w:rsid w:val="004C12A3"/>
    <w:rsid w:val="004D04F9"/>
    <w:rsid w:val="004D62A6"/>
    <w:rsid w:val="004D7DAC"/>
    <w:rsid w:val="004E0CA4"/>
    <w:rsid w:val="004E2F8C"/>
    <w:rsid w:val="004F0831"/>
    <w:rsid w:val="004F0853"/>
    <w:rsid w:val="00516136"/>
    <w:rsid w:val="00531E95"/>
    <w:rsid w:val="00543CA6"/>
    <w:rsid w:val="005471AE"/>
    <w:rsid w:val="00561E04"/>
    <w:rsid w:val="00576854"/>
    <w:rsid w:val="00580CD9"/>
    <w:rsid w:val="00583274"/>
    <w:rsid w:val="0059599A"/>
    <w:rsid w:val="005A3A86"/>
    <w:rsid w:val="005A5136"/>
    <w:rsid w:val="005A5E6D"/>
    <w:rsid w:val="005C54B3"/>
    <w:rsid w:val="005C5706"/>
    <w:rsid w:val="005D61CF"/>
    <w:rsid w:val="005E3C93"/>
    <w:rsid w:val="005F4A4D"/>
    <w:rsid w:val="00602C56"/>
    <w:rsid w:val="006045E7"/>
    <w:rsid w:val="00606724"/>
    <w:rsid w:val="006173E7"/>
    <w:rsid w:val="006315CB"/>
    <w:rsid w:val="006354D9"/>
    <w:rsid w:val="00642100"/>
    <w:rsid w:val="00646292"/>
    <w:rsid w:val="00667904"/>
    <w:rsid w:val="00677D22"/>
    <w:rsid w:val="00685EA7"/>
    <w:rsid w:val="006956EB"/>
    <w:rsid w:val="00697EA2"/>
    <w:rsid w:val="006A277B"/>
    <w:rsid w:val="006B7B4C"/>
    <w:rsid w:val="006C14B7"/>
    <w:rsid w:val="006C2F81"/>
    <w:rsid w:val="006C3367"/>
    <w:rsid w:val="006C36D6"/>
    <w:rsid w:val="006D0178"/>
    <w:rsid w:val="00703B81"/>
    <w:rsid w:val="00703C5E"/>
    <w:rsid w:val="00710C47"/>
    <w:rsid w:val="00722A1F"/>
    <w:rsid w:val="00725820"/>
    <w:rsid w:val="00790BF8"/>
    <w:rsid w:val="00790C80"/>
    <w:rsid w:val="00793542"/>
    <w:rsid w:val="007966A9"/>
    <w:rsid w:val="007A1AA4"/>
    <w:rsid w:val="007A6D39"/>
    <w:rsid w:val="007B1AC2"/>
    <w:rsid w:val="007B6619"/>
    <w:rsid w:val="007D0947"/>
    <w:rsid w:val="007D2750"/>
    <w:rsid w:val="007E17B2"/>
    <w:rsid w:val="007E7A2D"/>
    <w:rsid w:val="007F7B07"/>
    <w:rsid w:val="008057A6"/>
    <w:rsid w:val="00805EE5"/>
    <w:rsid w:val="008152A9"/>
    <w:rsid w:val="00820856"/>
    <w:rsid w:val="008257F8"/>
    <w:rsid w:val="00825FD7"/>
    <w:rsid w:val="00831FF6"/>
    <w:rsid w:val="008369DF"/>
    <w:rsid w:val="008415F3"/>
    <w:rsid w:val="008529A6"/>
    <w:rsid w:val="00852D3E"/>
    <w:rsid w:val="0085485B"/>
    <w:rsid w:val="00867535"/>
    <w:rsid w:val="00882788"/>
    <w:rsid w:val="00893989"/>
    <w:rsid w:val="008A3979"/>
    <w:rsid w:val="008B25CA"/>
    <w:rsid w:val="008D4835"/>
    <w:rsid w:val="008E725A"/>
    <w:rsid w:val="008F251E"/>
    <w:rsid w:val="008F72E4"/>
    <w:rsid w:val="00903A7D"/>
    <w:rsid w:val="00903C35"/>
    <w:rsid w:val="00921044"/>
    <w:rsid w:val="00926E08"/>
    <w:rsid w:val="00927F1B"/>
    <w:rsid w:val="00932AA9"/>
    <w:rsid w:val="00937C57"/>
    <w:rsid w:val="00950165"/>
    <w:rsid w:val="00972620"/>
    <w:rsid w:val="00975F61"/>
    <w:rsid w:val="009A5736"/>
    <w:rsid w:val="009B47D2"/>
    <w:rsid w:val="009C33E8"/>
    <w:rsid w:val="009D5746"/>
    <w:rsid w:val="009E6B7C"/>
    <w:rsid w:val="00A17448"/>
    <w:rsid w:val="00A408C6"/>
    <w:rsid w:val="00A44619"/>
    <w:rsid w:val="00A45716"/>
    <w:rsid w:val="00A6584A"/>
    <w:rsid w:val="00A65EDB"/>
    <w:rsid w:val="00A77C6F"/>
    <w:rsid w:val="00A821F0"/>
    <w:rsid w:val="00A8378E"/>
    <w:rsid w:val="00A84529"/>
    <w:rsid w:val="00AA0093"/>
    <w:rsid w:val="00AA4227"/>
    <w:rsid w:val="00AA602C"/>
    <w:rsid w:val="00AB063D"/>
    <w:rsid w:val="00AB3CD1"/>
    <w:rsid w:val="00AD56A9"/>
    <w:rsid w:val="00B01B88"/>
    <w:rsid w:val="00B168C2"/>
    <w:rsid w:val="00B17701"/>
    <w:rsid w:val="00B24DB8"/>
    <w:rsid w:val="00B365D7"/>
    <w:rsid w:val="00B52141"/>
    <w:rsid w:val="00B8440C"/>
    <w:rsid w:val="00B903B5"/>
    <w:rsid w:val="00B94061"/>
    <w:rsid w:val="00B94F54"/>
    <w:rsid w:val="00BA641F"/>
    <w:rsid w:val="00BC21E7"/>
    <w:rsid w:val="00BE65BA"/>
    <w:rsid w:val="00C13310"/>
    <w:rsid w:val="00C23990"/>
    <w:rsid w:val="00C30C64"/>
    <w:rsid w:val="00C36E70"/>
    <w:rsid w:val="00C60C37"/>
    <w:rsid w:val="00C65698"/>
    <w:rsid w:val="00C80369"/>
    <w:rsid w:val="00C86B4B"/>
    <w:rsid w:val="00C91E1D"/>
    <w:rsid w:val="00C927DE"/>
    <w:rsid w:val="00C9430B"/>
    <w:rsid w:val="00CB10CA"/>
    <w:rsid w:val="00CB4EC3"/>
    <w:rsid w:val="00CC3756"/>
    <w:rsid w:val="00CE186D"/>
    <w:rsid w:val="00CE54C8"/>
    <w:rsid w:val="00CE6ED6"/>
    <w:rsid w:val="00CF6D88"/>
    <w:rsid w:val="00D00E62"/>
    <w:rsid w:val="00D0252F"/>
    <w:rsid w:val="00D02CDD"/>
    <w:rsid w:val="00D05154"/>
    <w:rsid w:val="00D131EA"/>
    <w:rsid w:val="00D15226"/>
    <w:rsid w:val="00D1577D"/>
    <w:rsid w:val="00D24931"/>
    <w:rsid w:val="00D25419"/>
    <w:rsid w:val="00D325C1"/>
    <w:rsid w:val="00D32F84"/>
    <w:rsid w:val="00D352E6"/>
    <w:rsid w:val="00D3645D"/>
    <w:rsid w:val="00D370A7"/>
    <w:rsid w:val="00D417E8"/>
    <w:rsid w:val="00D603E5"/>
    <w:rsid w:val="00D64357"/>
    <w:rsid w:val="00D65968"/>
    <w:rsid w:val="00D778BA"/>
    <w:rsid w:val="00DB3782"/>
    <w:rsid w:val="00DB5C35"/>
    <w:rsid w:val="00DC4CD8"/>
    <w:rsid w:val="00DC4E39"/>
    <w:rsid w:val="00DD33AC"/>
    <w:rsid w:val="00DE35AC"/>
    <w:rsid w:val="00DE6533"/>
    <w:rsid w:val="00DF066F"/>
    <w:rsid w:val="00DF6D0B"/>
    <w:rsid w:val="00E110CD"/>
    <w:rsid w:val="00E226F5"/>
    <w:rsid w:val="00E45B72"/>
    <w:rsid w:val="00E53EF8"/>
    <w:rsid w:val="00E55CB5"/>
    <w:rsid w:val="00E62185"/>
    <w:rsid w:val="00E6764A"/>
    <w:rsid w:val="00E849BA"/>
    <w:rsid w:val="00E90B68"/>
    <w:rsid w:val="00E95769"/>
    <w:rsid w:val="00E965C4"/>
    <w:rsid w:val="00EA019D"/>
    <w:rsid w:val="00EA0956"/>
    <w:rsid w:val="00EA183C"/>
    <w:rsid w:val="00EA4AD1"/>
    <w:rsid w:val="00EB2CC6"/>
    <w:rsid w:val="00EB3DE6"/>
    <w:rsid w:val="00EC6DC3"/>
    <w:rsid w:val="00EF06CE"/>
    <w:rsid w:val="00EF0782"/>
    <w:rsid w:val="00EF3A9F"/>
    <w:rsid w:val="00F03296"/>
    <w:rsid w:val="00F133EF"/>
    <w:rsid w:val="00F14006"/>
    <w:rsid w:val="00F2366D"/>
    <w:rsid w:val="00F444D2"/>
    <w:rsid w:val="00F50333"/>
    <w:rsid w:val="00F61193"/>
    <w:rsid w:val="00F6353E"/>
    <w:rsid w:val="00F63756"/>
    <w:rsid w:val="00F70ABC"/>
    <w:rsid w:val="00F71374"/>
    <w:rsid w:val="00F81D62"/>
    <w:rsid w:val="00F81ED3"/>
    <w:rsid w:val="00FA625A"/>
    <w:rsid w:val="00FB335B"/>
    <w:rsid w:val="00FC0F99"/>
    <w:rsid w:val="00FC1D13"/>
    <w:rsid w:val="00FC21B5"/>
    <w:rsid w:val="00FD3B10"/>
    <w:rsid w:val="00FD70DE"/>
    <w:rsid w:val="00FD767B"/>
    <w:rsid w:val="00FF7C77"/>
    <w:rsid w:val="016E2E49"/>
    <w:rsid w:val="3D027B65"/>
    <w:rsid w:val="4B3E43EF"/>
    <w:rsid w:val="5D181202"/>
    <w:rsid w:val="6ABC4C3D"/>
    <w:rsid w:val="7898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9B159"/>
  <w15:docId w15:val="{A9E0A6B7-0000-475C-93C4-4C95AB11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F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926AB"/>
    <w:pPr>
      <w:keepNext/>
      <w:keepLines/>
      <w:spacing w:line="560" w:lineRule="exact"/>
      <w:ind w:firstLineChars="200" w:firstLine="200"/>
      <w:jc w:val="left"/>
      <w:outlineLvl w:val="0"/>
    </w:pPr>
    <w:rPr>
      <w:rFonts w:ascii="黑体" w:eastAsia="黑体" w:hAnsiTheme="minorHAnsi" w:cstheme="minorBidi"/>
      <w:bCs/>
      <w:spacing w:val="-6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4D04F9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4D04F9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sid w:val="004D04F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4D0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4D0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D04F9"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rsid w:val="004D04F9"/>
    <w:rPr>
      <w:rFonts w:ascii="Calibri" w:eastAsia="宋体" w:hAnsi="Calibri" w:cs="Times New Roman"/>
    </w:rPr>
  </w:style>
  <w:style w:type="character" w:customStyle="1" w:styleId="a5">
    <w:name w:val="批注主题 字符"/>
    <w:basedOn w:val="a6"/>
    <w:link w:val="a3"/>
    <w:uiPriority w:val="99"/>
    <w:semiHidden/>
    <w:qFormat/>
    <w:rsid w:val="004D04F9"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4D04F9"/>
    <w:rPr>
      <w:rFonts w:ascii="Calibri" w:eastAsia="宋体" w:hAnsi="Calibri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4D04F9"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4D04F9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4D04F9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FF7C77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FF7C77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3926AB"/>
    <w:rPr>
      <w:rFonts w:ascii="黑体" w:eastAsia="黑体" w:hAnsiTheme="minorHAnsi" w:cstheme="minorBidi"/>
      <w:bCs/>
      <w:spacing w:val="-6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FE093-2320-4D2B-9302-FCFE4BBBBC91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FE144E02-CD11-430C-BDE6-E6109E55B831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440</Words>
  <Characters>534</Characters>
  <Application>Microsoft Office Word</Application>
  <DocSecurity>0</DocSecurity>
  <Lines>33</Lines>
  <Paragraphs>29</Paragraphs>
  <ScaleCrop>false</ScaleCrop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金 建德</cp:lastModifiedBy>
  <cp:revision>41</cp:revision>
  <cp:lastPrinted>2020-10-09T08:31:00Z</cp:lastPrinted>
  <dcterms:created xsi:type="dcterms:W3CDTF">2020-10-09T08:17:00Z</dcterms:created>
  <dcterms:modified xsi:type="dcterms:W3CDTF">2020-10-22T06:41:00Z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