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A8F" w:rsidRDefault="001F183B">
      <w:pPr>
        <w:spacing w:line="460" w:lineRule="exact"/>
        <w:jc w:val="center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股票代码：</w:t>
      </w:r>
      <w:r>
        <w:rPr>
          <w:rFonts w:ascii="黑体" w:eastAsia="黑体" w:hAnsi="黑体"/>
          <w:color w:val="000000"/>
        </w:rPr>
        <w:t xml:space="preserve">600188           </w:t>
      </w:r>
      <w:r>
        <w:rPr>
          <w:rFonts w:ascii="黑体" w:eastAsia="黑体" w:hAnsi="黑体" w:hint="eastAsia"/>
          <w:color w:val="000000"/>
        </w:rPr>
        <w:t>股票简称：兖州煤业       编号：临</w:t>
      </w:r>
      <w:r>
        <w:rPr>
          <w:rFonts w:ascii="黑体" w:eastAsia="黑体" w:hAnsi="黑体"/>
          <w:color w:val="000000"/>
        </w:rPr>
        <w:t>201</w:t>
      </w:r>
      <w:r>
        <w:rPr>
          <w:rFonts w:ascii="黑体" w:eastAsia="黑体" w:hAnsi="黑体" w:hint="eastAsia"/>
          <w:color w:val="000000"/>
        </w:rPr>
        <w:t>9</w:t>
      </w:r>
      <w:r>
        <w:rPr>
          <w:rFonts w:ascii="黑体" w:eastAsia="黑体" w:hAnsi="黑体"/>
          <w:color w:val="000000"/>
        </w:rPr>
        <w:t>-</w:t>
      </w:r>
      <w:r w:rsidR="0061714B">
        <w:rPr>
          <w:rFonts w:ascii="黑体" w:eastAsia="黑体" w:hAnsi="黑体" w:hint="eastAsia"/>
          <w:color w:val="000000"/>
        </w:rPr>
        <w:t>0</w:t>
      </w:r>
      <w:r w:rsidR="0061714B">
        <w:rPr>
          <w:rFonts w:ascii="黑体" w:eastAsia="黑体" w:hAnsi="黑体"/>
          <w:color w:val="000000"/>
        </w:rPr>
        <w:t>76</w:t>
      </w:r>
    </w:p>
    <w:p w:rsidR="00DF2A8F" w:rsidRDefault="00DF2A8F">
      <w:pPr>
        <w:spacing w:line="460" w:lineRule="exact"/>
        <w:jc w:val="center"/>
        <w:rPr>
          <w:rFonts w:eastAsia="黑体"/>
          <w:color w:val="000000"/>
        </w:rPr>
      </w:pPr>
    </w:p>
    <w:p w:rsidR="00DF2A8F" w:rsidRDefault="001F183B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兖州煤业股份有限公司</w:t>
      </w:r>
    </w:p>
    <w:p w:rsidR="00DF2A8F" w:rsidRDefault="001F183B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关于增加上海中期期货股份有限公司注册资本金</w:t>
      </w:r>
      <w:r w:rsidR="00507E57">
        <w:rPr>
          <w:rFonts w:ascii="黑体" w:eastAsia="黑体" w:hint="eastAsia"/>
          <w:b/>
          <w:bCs/>
          <w:color w:val="FF0000"/>
          <w:sz w:val="36"/>
          <w:szCs w:val="36"/>
        </w:rPr>
        <w:t>的</w:t>
      </w:r>
    </w:p>
    <w:p w:rsidR="00DF2A8F" w:rsidRDefault="001F183B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关联交易公告</w:t>
      </w:r>
      <w:r w:rsidR="004C2099">
        <w:rPr>
          <w:b/>
          <w:bCs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9pt;margin-top:26pt;width:423pt;height:77.2pt;z-index:1024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iKQIAAFA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">
            <v:textbox>
              <w:txbxContent>
                <w:p w:rsidR="00DF2A8F" w:rsidRDefault="001F183B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DF2A8F" w:rsidRDefault="00DF2A8F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:rsidR="00DF2A8F" w:rsidRDefault="00DF2A8F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:rsidR="00DF2A8F" w:rsidRDefault="00DF2A8F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:rsidR="00DF2A8F" w:rsidRDefault="00DF2A8F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:rsidR="00DF2A8F" w:rsidRDefault="001F183B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重要内容提示：</w:t>
      </w:r>
    </w:p>
    <w:p w:rsidR="00DF2A8F" w:rsidRDefault="001F183B">
      <w:pPr>
        <w:numPr>
          <w:ilvl w:val="3"/>
          <w:numId w:val="1"/>
        </w:numPr>
        <w:adjustRightInd w:val="0"/>
        <w:snapToGrid w:val="0"/>
        <w:spacing w:line="460" w:lineRule="exact"/>
        <w:ind w:left="851" w:hanging="284"/>
        <w:rPr>
          <w:rFonts w:ascii="宋体" w:hAnsi="宋体"/>
          <w:sz w:val="28"/>
          <w:szCs w:val="28"/>
        </w:rPr>
      </w:pPr>
      <w:r>
        <w:rPr>
          <w:rFonts w:hint="eastAsia"/>
          <w:b/>
          <w:bCs/>
          <w:color w:val="000000"/>
          <w:sz w:val="28"/>
        </w:rPr>
        <w:t>与同一关联人的交易情况</w:t>
      </w:r>
      <w:r>
        <w:rPr>
          <w:rFonts w:hint="eastAsia"/>
          <w:b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</w:rPr>
        <w:t>兖州煤业股份有限公司（“兖州煤</w:t>
      </w:r>
      <w:r>
        <w:rPr>
          <w:rFonts w:ascii="宋体" w:hAnsi="宋体" w:hint="eastAsia"/>
          <w:color w:val="000000"/>
          <w:sz w:val="28"/>
        </w:rPr>
        <w:t>业”</w:t>
      </w:r>
      <w:r w:rsidR="000705D7">
        <w:rPr>
          <w:rFonts w:ascii="宋体" w:hAnsi="宋体" w:hint="eastAsia"/>
          <w:color w:val="000000"/>
          <w:sz w:val="28"/>
        </w:rPr>
        <w:t>“本公司”</w:t>
      </w:r>
      <w:r>
        <w:rPr>
          <w:rFonts w:ascii="宋体" w:hAnsi="宋体" w:hint="eastAsia"/>
          <w:color w:val="000000"/>
          <w:sz w:val="28"/>
        </w:rPr>
        <w:t>“公司”）与</w:t>
      </w:r>
      <w:proofErr w:type="gramStart"/>
      <w:r>
        <w:rPr>
          <w:rFonts w:ascii="宋体" w:hAnsi="宋体" w:hint="eastAsia"/>
          <w:color w:val="000000"/>
          <w:sz w:val="28"/>
        </w:rPr>
        <w:t>兖</w:t>
      </w:r>
      <w:proofErr w:type="gramEnd"/>
      <w:r>
        <w:rPr>
          <w:rFonts w:ascii="宋体" w:hAnsi="宋体" w:hint="eastAsia"/>
          <w:color w:val="000000"/>
          <w:sz w:val="28"/>
        </w:rPr>
        <w:t>矿集团有限公司（“兖矿集团”）过去12个月内累计发生临时性关联交易3次</w:t>
      </w:r>
      <w:r w:rsidR="00805352" w:rsidRPr="00805352">
        <w:rPr>
          <w:rFonts w:ascii="宋体" w:hAnsi="宋体" w:hint="eastAsia"/>
          <w:color w:val="000000"/>
          <w:sz w:val="28"/>
        </w:rPr>
        <w:t>（不含</w:t>
      </w:r>
      <w:r w:rsidR="00843384">
        <w:rPr>
          <w:rFonts w:ascii="宋体" w:hAnsi="宋体" w:hint="eastAsia"/>
          <w:color w:val="000000"/>
          <w:sz w:val="28"/>
        </w:rPr>
        <w:t>本次董事会</w:t>
      </w:r>
      <w:r w:rsidR="00805352" w:rsidRPr="00805352">
        <w:rPr>
          <w:rFonts w:ascii="宋体" w:hAnsi="宋体" w:hint="eastAsia"/>
          <w:color w:val="000000"/>
          <w:sz w:val="28"/>
        </w:rPr>
        <w:t>审议的关联交易</w:t>
      </w:r>
      <w:r w:rsidR="008E0E04">
        <w:rPr>
          <w:rFonts w:ascii="宋体" w:hAnsi="宋体" w:hint="eastAsia"/>
          <w:color w:val="000000"/>
          <w:sz w:val="28"/>
        </w:rPr>
        <w:t>事项</w:t>
      </w:r>
      <w:r w:rsidR="00805352" w:rsidRPr="00805352">
        <w:rPr>
          <w:rFonts w:ascii="宋体" w:hAnsi="宋体" w:hint="eastAsia"/>
          <w:color w:val="000000"/>
          <w:sz w:val="28"/>
        </w:rPr>
        <w:t>）</w:t>
      </w:r>
      <w:r>
        <w:rPr>
          <w:rFonts w:ascii="宋体" w:hAnsi="宋体" w:hint="eastAsia"/>
          <w:color w:val="000000"/>
          <w:sz w:val="28"/>
        </w:rPr>
        <w:t>，涉及金额共计人民币161,037.09万元。</w:t>
      </w:r>
    </w:p>
    <w:p w:rsidR="00DF2A8F" w:rsidRDefault="001F183B">
      <w:pPr>
        <w:numPr>
          <w:ilvl w:val="3"/>
          <w:numId w:val="1"/>
        </w:numPr>
        <w:adjustRightInd w:val="0"/>
        <w:snapToGrid w:val="0"/>
        <w:spacing w:line="460" w:lineRule="exact"/>
        <w:ind w:left="851" w:hanging="284"/>
        <w:rPr>
          <w:rFonts w:ascii="宋体" w:hAnsi="宋体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本次增资已经公司第七届董事会第</w:t>
      </w:r>
      <w:r>
        <w:rPr>
          <w:rFonts w:ascii="宋体" w:hAnsi="宋体" w:hint="eastAsia"/>
          <w:b/>
          <w:bCs/>
          <w:sz w:val="28"/>
          <w:szCs w:val="28"/>
        </w:rPr>
        <w:t>二十九</w:t>
      </w:r>
      <w:r>
        <w:rPr>
          <w:rFonts w:hint="eastAsia"/>
          <w:b/>
          <w:bCs/>
          <w:sz w:val="28"/>
          <w:szCs w:val="28"/>
        </w:rPr>
        <w:t>次会议审议批准，无需提交公司股东大会讨论审议。</w:t>
      </w:r>
    </w:p>
    <w:p w:rsidR="00DF2A8F" w:rsidRDefault="00DF2A8F">
      <w:pPr>
        <w:adjustRightInd w:val="0"/>
        <w:snapToGrid w:val="0"/>
        <w:spacing w:line="460" w:lineRule="exact"/>
        <w:outlineLvl w:val="0"/>
        <w:rPr>
          <w:rFonts w:eastAsia="黑体"/>
          <w:color w:val="000000"/>
          <w:sz w:val="28"/>
          <w:szCs w:val="28"/>
        </w:rPr>
      </w:pPr>
    </w:p>
    <w:p w:rsidR="00DF2A8F" w:rsidRDefault="001F183B">
      <w:pPr>
        <w:adjustRightInd w:val="0"/>
        <w:snapToGrid w:val="0"/>
        <w:spacing w:line="520" w:lineRule="exact"/>
        <w:ind w:firstLineChars="200" w:firstLine="560"/>
        <w:outlineLvl w:val="0"/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t>一、</w:t>
      </w:r>
      <w:r>
        <w:rPr>
          <w:rFonts w:eastAsia="黑体" w:hint="eastAsia"/>
          <w:color w:val="000000"/>
          <w:sz w:val="28"/>
        </w:rPr>
        <w:t>关联</w:t>
      </w:r>
      <w:r>
        <w:rPr>
          <w:rFonts w:eastAsia="黑体"/>
          <w:color w:val="000000"/>
          <w:sz w:val="28"/>
        </w:rPr>
        <w:t>交易概述</w:t>
      </w:r>
    </w:p>
    <w:p w:rsidR="00DF2A8F" w:rsidRDefault="001F183B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color w:val="000000"/>
          <w:sz w:val="28"/>
        </w:rPr>
      </w:pPr>
      <w:bookmarkStart w:id="0" w:name="继续"/>
      <w:bookmarkEnd w:id="0"/>
      <w:r>
        <w:rPr>
          <w:rFonts w:ascii="宋体" w:hAnsi="宋体" w:hint="eastAsia"/>
          <w:color w:val="000000"/>
          <w:sz w:val="28"/>
        </w:rPr>
        <w:t>经公司2019年</w:t>
      </w:r>
      <w:r w:rsidR="0025614C" w:rsidRPr="00B1746D">
        <w:rPr>
          <w:rFonts w:ascii="宋体" w:hAnsi="宋体"/>
          <w:color w:val="000000"/>
          <w:sz w:val="28"/>
        </w:rPr>
        <w:t>12</w:t>
      </w:r>
      <w:r>
        <w:rPr>
          <w:rFonts w:ascii="宋体" w:hAnsi="宋体" w:hint="eastAsia"/>
          <w:color w:val="000000"/>
          <w:sz w:val="28"/>
        </w:rPr>
        <w:t>月</w:t>
      </w:r>
      <w:r w:rsidR="0025614C" w:rsidRPr="00B1746D">
        <w:rPr>
          <w:rFonts w:ascii="宋体" w:hAnsi="宋体"/>
          <w:color w:val="000000"/>
          <w:sz w:val="28"/>
        </w:rPr>
        <w:t>4</w:t>
      </w:r>
      <w:r>
        <w:rPr>
          <w:rFonts w:ascii="宋体" w:hAnsi="宋体" w:hint="eastAsia"/>
          <w:color w:val="000000"/>
          <w:sz w:val="28"/>
        </w:rPr>
        <w:t>日召开的第七届董事会第二十九次会议</w:t>
      </w:r>
      <w:r w:rsidR="00843384">
        <w:rPr>
          <w:rFonts w:ascii="宋体" w:hAnsi="宋体" w:hint="eastAsia"/>
          <w:color w:val="000000"/>
          <w:sz w:val="28"/>
        </w:rPr>
        <w:t>（“本次董事会”）</w:t>
      </w:r>
      <w:r>
        <w:rPr>
          <w:rFonts w:ascii="宋体" w:hAnsi="宋体" w:hint="eastAsia"/>
          <w:color w:val="000000"/>
          <w:sz w:val="28"/>
        </w:rPr>
        <w:t>讨论审议，批准兖州煤业与</w:t>
      </w:r>
      <w:proofErr w:type="gramStart"/>
      <w:r>
        <w:rPr>
          <w:rFonts w:ascii="宋体" w:hAnsi="宋体" w:hint="eastAsia"/>
          <w:color w:val="000000"/>
          <w:sz w:val="28"/>
        </w:rPr>
        <w:t>兖</w:t>
      </w:r>
      <w:proofErr w:type="gramEnd"/>
      <w:r>
        <w:rPr>
          <w:rFonts w:ascii="宋体" w:hAnsi="宋体" w:hint="eastAsia"/>
          <w:color w:val="000000"/>
          <w:sz w:val="28"/>
        </w:rPr>
        <w:t>矿集团、上海中期期货股份有限公司（“上海中期”）签署《上海中期期货股份有限公司增资协议》（“增资协议”）。兖州煤业与</w:t>
      </w:r>
      <w:proofErr w:type="gramStart"/>
      <w:r>
        <w:rPr>
          <w:rFonts w:ascii="宋体" w:hAnsi="宋体" w:hint="eastAsia"/>
          <w:color w:val="000000"/>
          <w:sz w:val="28"/>
        </w:rPr>
        <w:t>兖</w:t>
      </w:r>
      <w:proofErr w:type="gramEnd"/>
      <w:r>
        <w:rPr>
          <w:rFonts w:ascii="宋体" w:hAnsi="宋体" w:hint="eastAsia"/>
          <w:color w:val="000000"/>
          <w:sz w:val="28"/>
        </w:rPr>
        <w:t>矿集团按各自于本公告披露日的持股比例以现金方式向上海中期</w:t>
      </w:r>
      <w:r w:rsidR="00F2029D">
        <w:rPr>
          <w:rFonts w:ascii="宋体" w:hAnsi="宋体" w:hint="eastAsia"/>
          <w:color w:val="000000"/>
          <w:sz w:val="28"/>
        </w:rPr>
        <w:t>增资</w:t>
      </w:r>
      <w:r>
        <w:rPr>
          <w:rFonts w:ascii="宋体" w:hAnsi="宋体" w:hint="eastAsia"/>
          <w:color w:val="000000"/>
          <w:sz w:val="28"/>
        </w:rPr>
        <w:t>（“本次增资”）。兖州煤业与</w:t>
      </w:r>
      <w:proofErr w:type="gramStart"/>
      <w:r>
        <w:rPr>
          <w:rFonts w:ascii="宋体" w:hAnsi="宋体" w:hint="eastAsia"/>
          <w:color w:val="000000"/>
          <w:sz w:val="28"/>
        </w:rPr>
        <w:t>兖</w:t>
      </w:r>
      <w:proofErr w:type="gramEnd"/>
      <w:r>
        <w:rPr>
          <w:rFonts w:ascii="宋体" w:hAnsi="宋体" w:hint="eastAsia"/>
          <w:color w:val="000000"/>
          <w:sz w:val="28"/>
        </w:rPr>
        <w:t>矿集团一致同意，本次增资每股定价为上海中期最近一期经审计每股净资产，即人民币1.62元/股，兖州煤业与</w:t>
      </w:r>
      <w:proofErr w:type="gramStart"/>
      <w:r>
        <w:rPr>
          <w:rFonts w:ascii="宋体" w:hAnsi="宋体" w:hint="eastAsia"/>
          <w:color w:val="000000"/>
          <w:sz w:val="28"/>
        </w:rPr>
        <w:t>兖</w:t>
      </w:r>
      <w:proofErr w:type="gramEnd"/>
      <w:r>
        <w:rPr>
          <w:rFonts w:ascii="宋体" w:hAnsi="宋体" w:hint="eastAsia"/>
          <w:color w:val="000000"/>
          <w:sz w:val="28"/>
        </w:rPr>
        <w:t>矿集团分别缴纳交易对价人民币3.24亿元</w:t>
      </w:r>
      <w:r w:rsidR="00F2029D" w:rsidRPr="00D36232">
        <w:rPr>
          <w:rFonts w:ascii="宋体" w:hAnsi="宋体"/>
          <w:sz w:val="28"/>
        </w:rPr>
        <w:t>（其中人民币2.00亿元作为上海中期增加的注册资本金）</w:t>
      </w:r>
      <w:r>
        <w:rPr>
          <w:rFonts w:ascii="宋体" w:hAnsi="宋体" w:hint="eastAsia"/>
          <w:color w:val="000000"/>
          <w:sz w:val="28"/>
        </w:rPr>
        <w:t>和人民币6.48亿元</w:t>
      </w:r>
      <w:r w:rsidR="00F2029D" w:rsidRPr="00D36232">
        <w:rPr>
          <w:rFonts w:ascii="宋体" w:hAnsi="宋体"/>
          <w:sz w:val="28"/>
        </w:rPr>
        <w:t>（其中人民币4.00亿元作</w:t>
      </w:r>
      <w:r w:rsidR="00F2029D" w:rsidRPr="00D36232">
        <w:rPr>
          <w:rFonts w:ascii="宋体" w:hAnsi="宋体"/>
          <w:sz w:val="28"/>
        </w:rPr>
        <w:lastRenderedPageBreak/>
        <w:t>为上海中期增加的注册资本金）</w:t>
      </w:r>
      <w:r>
        <w:rPr>
          <w:rFonts w:ascii="宋体" w:hAnsi="宋体" w:hint="eastAsia"/>
          <w:color w:val="000000"/>
          <w:sz w:val="28"/>
        </w:rPr>
        <w:t>。本次增资为原股东同比例增资</w:t>
      </w:r>
      <w:bookmarkStart w:id="1" w:name="_GoBack"/>
      <w:bookmarkEnd w:id="1"/>
      <w:r>
        <w:rPr>
          <w:rFonts w:ascii="宋体" w:hAnsi="宋体" w:hint="eastAsia"/>
          <w:color w:val="000000"/>
          <w:sz w:val="28"/>
        </w:rPr>
        <w:t>，按照相关规定，无需经过评估定价。</w:t>
      </w:r>
    </w:p>
    <w:p w:rsidR="00DF2A8F" w:rsidRDefault="001F183B">
      <w:pPr>
        <w:adjustRightInd w:val="0"/>
        <w:snapToGrid w:val="0"/>
        <w:spacing w:line="520" w:lineRule="exact"/>
        <w:ind w:firstLineChars="200" w:firstLine="560"/>
        <w:rPr>
          <w:color w:val="000000"/>
          <w:sz w:val="28"/>
        </w:rPr>
      </w:pPr>
      <w:proofErr w:type="gramStart"/>
      <w:r>
        <w:rPr>
          <w:rFonts w:ascii="宋体" w:hAnsi="宋体" w:hint="eastAsia"/>
          <w:color w:val="000000"/>
          <w:sz w:val="28"/>
        </w:rPr>
        <w:t>兖</w:t>
      </w:r>
      <w:proofErr w:type="gramEnd"/>
      <w:r>
        <w:rPr>
          <w:rFonts w:ascii="宋体" w:hAnsi="宋体" w:hint="eastAsia"/>
          <w:color w:val="000000"/>
          <w:sz w:val="28"/>
        </w:rPr>
        <w:t>矿集团是</w:t>
      </w:r>
      <w:r w:rsidR="00FA7F65">
        <w:rPr>
          <w:rFonts w:ascii="宋体" w:hAnsi="宋体" w:hint="eastAsia"/>
          <w:color w:val="000000"/>
          <w:sz w:val="28"/>
        </w:rPr>
        <w:t>本</w:t>
      </w:r>
      <w:r>
        <w:rPr>
          <w:rFonts w:ascii="宋体" w:hAnsi="宋体" w:hint="eastAsia"/>
          <w:color w:val="000000"/>
          <w:sz w:val="28"/>
        </w:rPr>
        <w:t>公司控股股东，截至本公告披露日直接和间接持有本公司约53.79</w:t>
      </w:r>
      <w:r>
        <w:rPr>
          <w:rFonts w:ascii="宋体" w:hAnsi="宋体"/>
          <w:color w:val="000000"/>
          <w:sz w:val="28"/>
        </w:rPr>
        <w:t>%</w:t>
      </w:r>
      <w:r>
        <w:rPr>
          <w:rFonts w:ascii="宋体" w:hAnsi="宋体" w:hint="eastAsia"/>
          <w:color w:val="000000"/>
          <w:sz w:val="28"/>
        </w:rPr>
        <w:t>股份。</w:t>
      </w:r>
      <w:r w:rsidR="00FA7F65">
        <w:rPr>
          <w:rFonts w:ascii="宋体" w:hAnsi="宋体" w:hint="eastAsia"/>
          <w:color w:val="000000"/>
          <w:sz w:val="28"/>
        </w:rPr>
        <w:t>根</w:t>
      </w:r>
      <w:r>
        <w:rPr>
          <w:rFonts w:ascii="宋体" w:hAnsi="宋体" w:hint="eastAsia"/>
          <w:color w:val="000000"/>
          <w:sz w:val="28"/>
        </w:rPr>
        <w:t>据公司上市地有关规定，本次增资构成关联</w:t>
      </w:r>
      <w:r>
        <w:rPr>
          <w:color w:val="000000"/>
          <w:sz w:val="28"/>
        </w:rPr>
        <w:t>交易</w:t>
      </w:r>
      <w:r>
        <w:rPr>
          <w:rFonts w:hint="eastAsia"/>
          <w:color w:val="000000"/>
          <w:sz w:val="28"/>
        </w:rPr>
        <w:t>，</w:t>
      </w:r>
      <w:r>
        <w:rPr>
          <w:color w:val="000000"/>
          <w:sz w:val="28"/>
        </w:rPr>
        <w:t>但不构成重大资产重组。</w:t>
      </w:r>
    </w:p>
    <w:p w:rsidR="00DF2A8F" w:rsidRDefault="001F183B">
      <w:pPr>
        <w:adjustRightInd w:val="0"/>
        <w:snapToGrid w:val="0"/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</w:rPr>
      </w:pPr>
      <w:r>
        <w:rPr>
          <w:rFonts w:hint="eastAsia"/>
          <w:color w:val="000000"/>
          <w:sz w:val="28"/>
        </w:rPr>
        <w:t>过去</w:t>
      </w:r>
      <w:r>
        <w:rPr>
          <w:rFonts w:asciiTheme="minorEastAsia" w:eastAsiaTheme="minorEastAsia" w:hAnsiTheme="minorEastAsia" w:hint="eastAsia"/>
          <w:color w:val="000000"/>
          <w:sz w:val="28"/>
        </w:rPr>
        <w:t>12</w:t>
      </w:r>
      <w:r>
        <w:rPr>
          <w:rFonts w:hint="eastAsia"/>
          <w:color w:val="000000"/>
          <w:sz w:val="28"/>
        </w:rPr>
        <w:t>个月内，公司与</w:t>
      </w:r>
      <w:proofErr w:type="gramStart"/>
      <w:r>
        <w:rPr>
          <w:rFonts w:hint="eastAsia"/>
          <w:color w:val="000000"/>
          <w:sz w:val="28"/>
        </w:rPr>
        <w:t>兖</w:t>
      </w:r>
      <w:proofErr w:type="gramEnd"/>
      <w:r>
        <w:rPr>
          <w:rFonts w:hint="eastAsia"/>
          <w:color w:val="000000"/>
          <w:sz w:val="28"/>
        </w:rPr>
        <w:t>矿集团发生</w:t>
      </w:r>
      <w:r>
        <w:rPr>
          <w:color w:val="000000"/>
          <w:sz w:val="28"/>
        </w:rPr>
        <w:t>的</w:t>
      </w:r>
      <w:r>
        <w:rPr>
          <w:rFonts w:hint="eastAsia"/>
          <w:color w:val="000000"/>
          <w:sz w:val="28"/>
        </w:rPr>
        <w:t>临时</w:t>
      </w:r>
      <w:r w:rsidR="00FA7F65">
        <w:rPr>
          <w:rFonts w:hint="eastAsia"/>
          <w:color w:val="000000"/>
          <w:sz w:val="28"/>
        </w:rPr>
        <w:t>性</w:t>
      </w:r>
      <w:r>
        <w:rPr>
          <w:rFonts w:hint="eastAsia"/>
          <w:color w:val="000000"/>
          <w:sz w:val="28"/>
        </w:rPr>
        <w:t>关联交易金额累计人民币</w:t>
      </w:r>
      <w:r>
        <w:rPr>
          <w:rFonts w:ascii="宋体" w:hAnsi="宋体" w:hint="eastAsia"/>
          <w:color w:val="000000"/>
          <w:sz w:val="28"/>
        </w:rPr>
        <w:t>161,037.09</w:t>
      </w:r>
      <w:r>
        <w:rPr>
          <w:rFonts w:asciiTheme="minorEastAsia" w:eastAsiaTheme="minorEastAsia" w:hAnsiTheme="minorEastAsia" w:hint="eastAsia"/>
          <w:color w:val="000000"/>
          <w:sz w:val="28"/>
        </w:rPr>
        <w:t>万元</w:t>
      </w:r>
      <w:r w:rsidR="00213CE1">
        <w:rPr>
          <w:rFonts w:asciiTheme="minorEastAsia" w:eastAsiaTheme="minorEastAsia" w:hAnsiTheme="minorEastAsia" w:hint="eastAsia"/>
          <w:color w:val="000000"/>
          <w:sz w:val="28"/>
        </w:rPr>
        <w:t>（不含本次董事会审议的关联交易事项）</w:t>
      </w:r>
      <w:r>
        <w:rPr>
          <w:rFonts w:asciiTheme="minorEastAsia" w:eastAsiaTheme="minorEastAsia" w:hAnsiTheme="minorEastAsia" w:hint="eastAsia"/>
          <w:color w:val="000000"/>
          <w:sz w:val="28"/>
        </w:rPr>
        <w:t>，占公司2018年度经审计净资产的2.64%。</w:t>
      </w:r>
    </w:p>
    <w:p w:rsidR="00DF2A8F" w:rsidRDefault="001F183B">
      <w:pPr>
        <w:adjustRightInd w:val="0"/>
        <w:snapToGrid w:val="0"/>
        <w:spacing w:line="520" w:lineRule="exact"/>
        <w:ind w:firstLineChars="200" w:firstLine="560"/>
        <w:outlineLvl w:val="0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t>二</w:t>
      </w:r>
      <w:r>
        <w:rPr>
          <w:rFonts w:eastAsia="黑体"/>
          <w:color w:val="000000"/>
          <w:sz w:val="28"/>
        </w:rPr>
        <w:t>、</w:t>
      </w:r>
      <w:r>
        <w:rPr>
          <w:rFonts w:eastAsia="黑体" w:hint="eastAsia"/>
          <w:color w:val="000000"/>
          <w:sz w:val="28"/>
        </w:rPr>
        <w:t>关联方介绍</w:t>
      </w:r>
    </w:p>
    <w:p w:rsidR="00DF2A8F" w:rsidRDefault="001F183B">
      <w:pPr>
        <w:adjustRightInd w:val="0"/>
        <w:snapToGrid w:val="0"/>
        <w:spacing w:line="520" w:lineRule="exact"/>
        <w:ind w:firstLineChars="200" w:firstLine="560"/>
        <w:outlineLvl w:val="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本次交易的关联方为</w:t>
      </w:r>
      <w:proofErr w:type="gramStart"/>
      <w:r>
        <w:rPr>
          <w:rFonts w:ascii="宋体" w:hAnsi="宋体" w:hint="eastAsia"/>
          <w:color w:val="000000"/>
          <w:sz w:val="28"/>
        </w:rPr>
        <w:t>兖</w:t>
      </w:r>
      <w:proofErr w:type="gramEnd"/>
      <w:r>
        <w:rPr>
          <w:rFonts w:ascii="宋体" w:hAnsi="宋体" w:hint="eastAsia"/>
          <w:color w:val="000000"/>
          <w:sz w:val="28"/>
        </w:rPr>
        <w:t>矿集团。</w:t>
      </w:r>
    </w:p>
    <w:p w:rsidR="00DF2A8F" w:rsidRDefault="001F183B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color w:val="000000"/>
          <w:sz w:val="28"/>
        </w:rPr>
      </w:pPr>
      <w:proofErr w:type="gramStart"/>
      <w:r>
        <w:rPr>
          <w:rFonts w:ascii="宋体" w:hAnsi="宋体" w:hint="eastAsia"/>
          <w:color w:val="000000"/>
          <w:sz w:val="28"/>
        </w:rPr>
        <w:t>兖</w:t>
      </w:r>
      <w:proofErr w:type="gramEnd"/>
      <w:r>
        <w:rPr>
          <w:rFonts w:ascii="宋体" w:hAnsi="宋体" w:hint="eastAsia"/>
          <w:color w:val="000000"/>
          <w:sz w:val="28"/>
        </w:rPr>
        <w:t>矿集团为国有控股有限责任公司，控股股东为山东省人民政府国有资产监督管理委员会，注册资本人民币776,920万元，法定代表人李希勇，主要从事矿业（煤炭及有色金属）开采、加工、贸易及配套服务，高端化工，现代物流及工程技术服务等业务，住所为山东省</w:t>
      </w:r>
      <w:proofErr w:type="gramStart"/>
      <w:r>
        <w:rPr>
          <w:rFonts w:ascii="宋体" w:hAnsi="宋体" w:hint="eastAsia"/>
          <w:color w:val="000000"/>
          <w:sz w:val="28"/>
        </w:rPr>
        <w:t>邹</w:t>
      </w:r>
      <w:proofErr w:type="gramEnd"/>
      <w:r>
        <w:rPr>
          <w:rFonts w:ascii="宋体" w:hAnsi="宋体" w:hint="eastAsia"/>
          <w:color w:val="000000"/>
          <w:sz w:val="28"/>
        </w:rPr>
        <w:t>城市</w:t>
      </w:r>
      <w:proofErr w:type="gramStart"/>
      <w:r>
        <w:rPr>
          <w:rFonts w:ascii="宋体" w:hAnsi="宋体" w:hint="eastAsia"/>
          <w:color w:val="000000"/>
          <w:sz w:val="28"/>
        </w:rPr>
        <w:t>凫</w:t>
      </w:r>
      <w:proofErr w:type="gramEnd"/>
      <w:r>
        <w:rPr>
          <w:rFonts w:ascii="宋体" w:hAnsi="宋体" w:hint="eastAsia"/>
          <w:color w:val="000000"/>
          <w:sz w:val="28"/>
        </w:rPr>
        <w:t>山南路298号。</w:t>
      </w:r>
    </w:p>
    <w:p w:rsidR="00DF2A8F" w:rsidRDefault="001F183B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截至2018年12月31日，</w:t>
      </w:r>
      <w:proofErr w:type="gramStart"/>
      <w:r>
        <w:rPr>
          <w:rFonts w:ascii="宋体" w:hAnsi="宋体" w:hint="eastAsia"/>
          <w:color w:val="000000"/>
          <w:sz w:val="28"/>
        </w:rPr>
        <w:t>兖</w:t>
      </w:r>
      <w:proofErr w:type="gramEnd"/>
      <w:r>
        <w:rPr>
          <w:rFonts w:ascii="宋体" w:hAnsi="宋体" w:hint="eastAsia"/>
          <w:color w:val="000000"/>
          <w:sz w:val="28"/>
        </w:rPr>
        <w:t>矿集团总资产人民币</w:t>
      </w:r>
      <w:r>
        <w:rPr>
          <w:rFonts w:ascii="宋体" w:hAnsi="宋体"/>
          <w:color w:val="000000"/>
          <w:sz w:val="28"/>
        </w:rPr>
        <w:t>3,074.1</w:t>
      </w:r>
      <w:r>
        <w:rPr>
          <w:rFonts w:ascii="宋体" w:hAnsi="宋体" w:hint="eastAsia"/>
          <w:color w:val="000000"/>
          <w:sz w:val="28"/>
        </w:rPr>
        <w:t>0亿元，净资产人民币</w:t>
      </w:r>
      <w:r>
        <w:rPr>
          <w:rFonts w:ascii="宋体" w:hAnsi="宋体"/>
          <w:color w:val="000000"/>
          <w:sz w:val="28"/>
        </w:rPr>
        <w:t>905.98</w:t>
      </w:r>
      <w:r>
        <w:rPr>
          <w:rFonts w:ascii="宋体" w:hAnsi="宋体" w:hint="eastAsia"/>
          <w:color w:val="000000"/>
          <w:sz w:val="28"/>
        </w:rPr>
        <w:t>亿元；2018年度，营业收入人民币</w:t>
      </w:r>
      <w:r>
        <w:rPr>
          <w:rFonts w:ascii="宋体" w:hAnsi="宋体"/>
          <w:color w:val="000000"/>
          <w:sz w:val="28"/>
        </w:rPr>
        <w:t>2,527.28</w:t>
      </w:r>
      <w:r>
        <w:rPr>
          <w:rFonts w:ascii="宋体" w:hAnsi="宋体" w:hint="eastAsia"/>
          <w:color w:val="000000"/>
          <w:sz w:val="28"/>
        </w:rPr>
        <w:t>亿元，净利润人民币</w:t>
      </w:r>
      <w:r>
        <w:rPr>
          <w:rFonts w:ascii="宋体" w:hAnsi="宋体"/>
          <w:color w:val="000000"/>
          <w:sz w:val="28"/>
        </w:rPr>
        <w:t>51.77</w:t>
      </w:r>
      <w:r>
        <w:rPr>
          <w:rFonts w:ascii="宋体" w:hAnsi="宋体" w:hint="eastAsia"/>
          <w:color w:val="000000"/>
          <w:sz w:val="28"/>
        </w:rPr>
        <w:t>亿元。</w:t>
      </w:r>
    </w:p>
    <w:p w:rsidR="00DF2A8F" w:rsidRDefault="001F183B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截至2019年6月30日，</w:t>
      </w:r>
      <w:proofErr w:type="gramStart"/>
      <w:r>
        <w:rPr>
          <w:rFonts w:ascii="宋体" w:hAnsi="宋体" w:hint="eastAsia"/>
          <w:color w:val="000000"/>
          <w:sz w:val="28"/>
        </w:rPr>
        <w:t>兖</w:t>
      </w:r>
      <w:proofErr w:type="gramEnd"/>
      <w:r>
        <w:rPr>
          <w:rFonts w:ascii="宋体" w:hAnsi="宋体" w:hint="eastAsia"/>
          <w:color w:val="000000"/>
          <w:sz w:val="28"/>
        </w:rPr>
        <w:t>矿集团总资产人民币3</w:t>
      </w:r>
      <w:r>
        <w:rPr>
          <w:rFonts w:ascii="宋体" w:hAnsi="宋体"/>
          <w:color w:val="000000"/>
          <w:sz w:val="28"/>
        </w:rPr>
        <w:t>,</w:t>
      </w:r>
      <w:r>
        <w:rPr>
          <w:rFonts w:ascii="宋体" w:hAnsi="宋体" w:hint="eastAsia"/>
          <w:color w:val="000000"/>
          <w:sz w:val="28"/>
        </w:rPr>
        <w:t>090.78亿元，净资产人民币898.23亿元；2019年1-6月，营业收入人民币1</w:t>
      </w:r>
      <w:r>
        <w:rPr>
          <w:rFonts w:ascii="宋体" w:hAnsi="宋体"/>
          <w:color w:val="000000"/>
          <w:sz w:val="28"/>
        </w:rPr>
        <w:t>,</w:t>
      </w:r>
      <w:r>
        <w:rPr>
          <w:rFonts w:ascii="宋体" w:hAnsi="宋体" w:hint="eastAsia"/>
          <w:color w:val="000000"/>
          <w:sz w:val="28"/>
        </w:rPr>
        <w:t>378.88亿元，净利润人民币36.61亿元。</w:t>
      </w:r>
    </w:p>
    <w:p w:rsidR="00DF2A8F" w:rsidRDefault="001F183B">
      <w:pPr>
        <w:adjustRightInd w:val="0"/>
        <w:snapToGrid w:val="0"/>
        <w:spacing w:line="520" w:lineRule="exact"/>
        <w:ind w:firstLineChars="200" w:firstLine="560"/>
        <w:outlineLvl w:val="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t>三、</w:t>
      </w:r>
      <w:r>
        <w:rPr>
          <w:rFonts w:ascii="黑体" w:eastAsia="黑体" w:hAnsi="黑体" w:hint="eastAsia"/>
          <w:color w:val="000000"/>
          <w:sz w:val="28"/>
          <w:szCs w:val="28"/>
        </w:rPr>
        <w:t>上海中期</w:t>
      </w:r>
      <w:r>
        <w:rPr>
          <w:rFonts w:ascii="黑体" w:eastAsia="黑体" w:hAnsi="黑体"/>
          <w:color w:val="000000"/>
          <w:sz w:val="28"/>
          <w:szCs w:val="28"/>
        </w:rPr>
        <w:t>基本情况</w:t>
      </w:r>
    </w:p>
    <w:p w:rsidR="00DF2A8F" w:rsidRDefault="001F183B">
      <w:pPr>
        <w:spacing w:line="560" w:lineRule="exact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上海中期于1995年9月1</w:t>
      </w:r>
      <w:r w:rsidR="000F6185">
        <w:rPr>
          <w:rFonts w:ascii="宋体" w:hAnsi="宋体" w:hint="eastAsia"/>
          <w:color w:val="000000"/>
          <w:sz w:val="28"/>
        </w:rPr>
        <w:t>9</w:t>
      </w:r>
      <w:r>
        <w:rPr>
          <w:rFonts w:ascii="宋体" w:hAnsi="宋体" w:hint="eastAsia"/>
          <w:color w:val="000000"/>
          <w:sz w:val="28"/>
        </w:rPr>
        <w:t>日在上海市注册成立，注册资本人民币6亿元，主要从事期货经纪业务、资产管理业务、期货投资咨询业务和风险管理业务等。</w:t>
      </w:r>
    </w:p>
    <w:p w:rsidR="00DF2A8F" w:rsidRDefault="001F183B">
      <w:pPr>
        <w:spacing w:line="560" w:lineRule="exact"/>
        <w:ind w:firstLine="612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（一）股权结构</w:t>
      </w:r>
    </w:p>
    <w:p w:rsidR="00DF2A8F" w:rsidRDefault="001F183B">
      <w:pPr>
        <w:spacing w:line="560" w:lineRule="exact"/>
        <w:ind w:firstLine="612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lastRenderedPageBreak/>
        <w:t>目前，上海中期注册资本人民币6亿元，其股权结构如下表：</w:t>
      </w:r>
    </w:p>
    <w:p w:rsidR="00DF2A8F" w:rsidRDefault="001F183B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   币种：人民币  单位：亿元</w:t>
      </w:r>
    </w:p>
    <w:tbl>
      <w:tblPr>
        <w:tblW w:w="77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550"/>
        <w:gridCol w:w="2551"/>
      </w:tblGrid>
      <w:tr w:rsidR="00DF2A8F">
        <w:trPr>
          <w:trHeight w:val="672"/>
        </w:trPr>
        <w:tc>
          <w:tcPr>
            <w:tcW w:w="2695" w:type="dxa"/>
            <w:shd w:val="clear" w:color="auto" w:fill="auto"/>
            <w:noWrap/>
            <w:vAlign w:val="center"/>
          </w:tcPr>
          <w:p w:rsidR="00DF2A8F" w:rsidRPr="00DF2A8F" w:rsidRDefault="00DF2A8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F2A8F">
              <w:rPr>
                <w:rFonts w:ascii="宋体" w:hAnsi="宋体" w:cs="宋体" w:hint="eastAsia"/>
                <w:b/>
                <w:kern w:val="0"/>
                <w:sz w:val="24"/>
              </w:rPr>
              <w:t>股东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DF2A8F" w:rsidRPr="00DF2A8F" w:rsidRDefault="00DF2A8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F2A8F">
              <w:rPr>
                <w:rFonts w:ascii="宋体" w:hAnsi="宋体" w:cs="宋体" w:hint="eastAsia"/>
                <w:b/>
                <w:kern w:val="0"/>
                <w:sz w:val="24"/>
              </w:rPr>
              <w:t>出资额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F2A8F" w:rsidRPr="00DF2A8F" w:rsidRDefault="00DF2A8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F2A8F">
              <w:rPr>
                <w:rFonts w:ascii="宋体" w:hAnsi="宋体" w:cs="宋体" w:hint="eastAsia"/>
                <w:b/>
                <w:kern w:val="0"/>
                <w:sz w:val="24"/>
              </w:rPr>
              <w:t>股权占比</w:t>
            </w:r>
          </w:p>
        </w:tc>
      </w:tr>
      <w:tr w:rsidR="00DF2A8F">
        <w:trPr>
          <w:trHeight w:val="384"/>
        </w:trPr>
        <w:tc>
          <w:tcPr>
            <w:tcW w:w="2695" w:type="dxa"/>
            <w:shd w:val="clear" w:color="auto" w:fill="auto"/>
            <w:noWrap/>
            <w:vAlign w:val="center"/>
          </w:tcPr>
          <w:p w:rsidR="00DF2A8F" w:rsidRDefault="001F18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矿集团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:rsidR="00DF2A8F" w:rsidRDefault="001F183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4.00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F2A8F" w:rsidRDefault="001F183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66.67%</w:t>
            </w:r>
          </w:p>
        </w:tc>
      </w:tr>
      <w:tr w:rsidR="00DF2A8F">
        <w:trPr>
          <w:trHeight w:val="384"/>
        </w:trPr>
        <w:tc>
          <w:tcPr>
            <w:tcW w:w="2695" w:type="dxa"/>
            <w:shd w:val="clear" w:color="auto" w:fill="auto"/>
            <w:noWrap/>
            <w:vAlign w:val="center"/>
          </w:tcPr>
          <w:p w:rsidR="00DF2A8F" w:rsidRDefault="001F18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兖州煤业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:rsidR="00DF2A8F" w:rsidRDefault="001F183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F2A8F" w:rsidRDefault="001F183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33.33%</w:t>
            </w:r>
          </w:p>
        </w:tc>
      </w:tr>
      <w:tr w:rsidR="00DF2A8F">
        <w:trPr>
          <w:trHeight w:val="384"/>
        </w:trPr>
        <w:tc>
          <w:tcPr>
            <w:tcW w:w="2695" w:type="dxa"/>
            <w:shd w:val="clear" w:color="auto" w:fill="auto"/>
            <w:noWrap/>
            <w:vAlign w:val="center"/>
          </w:tcPr>
          <w:p w:rsidR="00DF2A8F" w:rsidRPr="00DF2A8F" w:rsidRDefault="00DF2A8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F2A8F"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:rsidR="00DF2A8F" w:rsidRPr="00DF2A8F" w:rsidRDefault="00DF2A8F">
            <w:pPr>
              <w:widowControl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 w:rsidRPr="00DF2A8F">
              <w:rPr>
                <w:rFonts w:ascii="宋体" w:hAnsi="宋体" w:cs="宋体"/>
                <w:b/>
                <w:kern w:val="0"/>
                <w:sz w:val="24"/>
              </w:rPr>
              <w:t>6.00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F2A8F" w:rsidRPr="00DF2A8F" w:rsidRDefault="00DF2A8F">
            <w:pPr>
              <w:widowControl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 w:rsidRPr="00DF2A8F">
              <w:rPr>
                <w:rFonts w:ascii="宋体" w:hAnsi="宋体" w:cs="宋体"/>
                <w:b/>
                <w:kern w:val="0"/>
                <w:sz w:val="24"/>
              </w:rPr>
              <w:t>100.00%</w:t>
            </w:r>
          </w:p>
        </w:tc>
      </w:tr>
    </w:tbl>
    <w:p w:rsidR="00DF2A8F" w:rsidRDefault="001F183B" w:rsidP="008E0E04">
      <w:pPr>
        <w:spacing w:beforeLines="50" w:before="156" w:line="560" w:lineRule="exact"/>
        <w:ind w:firstLine="612"/>
        <w:rPr>
          <w:rFonts w:ascii="宋体" w:hAnsi="宋体"/>
          <w:b/>
          <w:spacing w:val="-4"/>
          <w:sz w:val="30"/>
          <w:szCs w:val="30"/>
        </w:rPr>
      </w:pPr>
      <w:r>
        <w:rPr>
          <w:rFonts w:ascii="宋体" w:hAnsi="宋体" w:hint="eastAsia"/>
          <w:b/>
          <w:spacing w:val="-4"/>
          <w:sz w:val="30"/>
          <w:szCs w:val="30"/>
        </w:rPr>
        <w:t>（二）财务指标</w:t>
      </w:r>
    </w:p>
    <w:p w:rsidR="00DF2A8F" w:rsidRDefault="001F183B">
      <w:pPr>
        <w:spacing w:line="560" w:lineRule="exact"/>
        <w:ind w:firstLine="612"/>
        <w:rPr>
          <w:rFonts w:ascii="宋体" w:hAnsi="宋体"/>
          <w:color w:val="000000"/>
          <w:sz w:val="28"/>
        </w:rPr>
      </w:pPr>
      <w:bookmarkStart w:id="2" w:name="_Hlk24554965"/>
      <w:r>
        <w:rPr>
          <w:rFonts w:ascii="宋体" w:hAnsi="宋体" w:hint="eastAsia"/>
          <w:color w:val="000000"/>
          <w:sz w:val="28"/>
        </w:rPr>
        <w:t>上海中期两年一期的主要财务指标如下表（按中国会计准则编制）：</w:t>
      </w:r>
    </w:p>
    <w:p w:rsidR="00DF2A8F" w:rsidRDefault="001F183B" w:rsidP="000F6185">
      <w:pPr>
        <w:spacing w:line="560" w:lineRule="exact"/>
        <w:ind w:firstLineChars="2262" w:firstLine="5248"/>
        <w:rPr>
          <w:rFonts w:ascii="宋体" w:hAnsi="宋体"/>
          <w:spacing w:val="-4"/>
          <w:sz w:val="24"/>
        </w:rPr>
      </w:pPr>
      <w:r>
        <w:rPr>
          <w:rFonts w:ascii="宋体" w:hAnsi="宋体" w:hint="eastAsia"/>
          <w:spacing w:val="-4"/>
          <w:sz w:val="24"/>
        </w:rPr>
        <w:t>币种：人民币  单位：万元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33"/>
        <w:gridCol w:w="2197"/>
        <w:gridCol w:w="2146"/>
        <w:gridCol w:w="2146"/>
      </w:tblGrid>
      <w:tr w:rsidR="00DF2A8F">
        <w:trPr>
          <w:trHeight w:val="562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项目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2019年上半年</w:t>
            </w:r>
          </w:p>
          <w:p w:rsidR="00DF2A8F" w:rsidRDefault="001F183B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（未经审计）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ind w:leftChars="-35" w:left="-73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2018年度</w:t>
            </w:r>
          </w:p>
          <w:p w:rsidR="00DF2A8F" w:rsidRDefault="001F183B">
            <w:pPr>
              <w:ind w:leftChars="-35" w:left="-73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（经审计）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A8F" w:rsidRDefault="001F183B">
            <w:pPr>
              <w:ind w:leftChars="-35" w:left="-73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2</w:t>
            </w:r>
            <w:r>
              <w:rPr>
                <w:rFonts w:ascii="黑体" w:eastAsia="黑体" w:hAnsi="黑体" w:cs="宋体"/>
                <w:sz w:val="24"/>
              </w:rPr>
              <w:t>017</w:t>
            </w:r>
            <w:r>
              <w:rPr>
                <w:rFonts w:ascii="黑体" w:eastAsia="黑体" w:hAnsi="黑体" w:cs="宋体" w:hint="eastAsia"/>
                <w:sz w:val="24"/>
              </w:rPr>
              <w:t>年度</w:t>
            </w:r>
          </w:p>
          <w:p w:rsidR="00DF2A8F" w:rsidRDefault="001F183B">
            <w:pPr>
              <w:ind w:leftChars="-35" w:left="-73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（经审计）</w:t>
            </w:r>
          </w:p>
        </w:tc>
      </w:tr>
      <w:tr w:rsidR="00DF2A8F">
        <w:trPr>
          <w:trHeight w:val="473"/>
          <w:jc w:val="center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营业收入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513,318.16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1,182,159.55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A8F" w:rsidRDefault="001F183B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1,004,525.26</w:t>
            </w:r>
          </w:p>
        </w:tc>
      </w:tr>
      <w:tr w:rsidR="00DF2A8F">
        <w:trPr>
          <w:trHeight w:val="473"/>
          <w:jc w:val="center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利润总额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1,087.69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11,367.24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A8F" w:rsidRDefault="001F183B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12,473.42</w:t>
            </w:r>
          </w:p>
        </w:tc>
      </w:tr>
      <w:tr w:rsidR="00DF2A8F">
        <w:trPr>
          <w:trHeight w:val="473"/>
          <w:jc w:val="center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净利润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833.34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8,489.01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A8F" w:rsidRDefault="001F183B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9,324.15</w:t>
            </w:r>
          </w:p>
        </w:tc>
      </w:tr>
      <w:tr w:rsidR="00DF2A8F">
        <w:trPr>
          <w:trHeight w:val="473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项目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right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sz w:val="24"/>
              </w:rPr>
              <w:t>2019年6月30日</w:t>
            </w:r>
          </w:p>
          <w:p w:rsidR="00DF2A8F" w:rsidRDefault="001F183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（未经审计）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sz w:val="24"/>
              </w:rPr>
              <w:t>2018年12月31日</w:t>
            </w:r>
          </w:p>
          <w:p w:rsidR="00DF2A8F" w:rsidRDefault="001F183B">
            <w:pPr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（经审计）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8F" w:rsidRDefault="001F183B">
            <w:pPr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sz w:val="24"/>
              </w:rPr>
              <w:t>2017年12月31日</w:t>
            </w:r>
          </w:p>
          <w:p w:rsidR="00DF2A8F" w:rsidRDefault="001F183B">
            <w:pPr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（经审计）</w:t>
            </w:r>
          </w:p>
        </w:tc>
      </w:tr>
      <w:tr w:rsidR="00DF2A8F" w:rsidTr="002C68D5">
        <w:trPr>
          <w:trHeight w:val="473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资产总额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503,626.31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 w:rsidP="002C68D5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425,366.18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8F" w:rsidRDefault="001F183B" w:rsidP="002C68D5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392,439.06</w:t>
            </w:r>
          </w:p>
        </w:tc>
      </w:tr>
      <w:tr w:rsidR="00DF2A8F" w:rsidTr="002C68D5">
        <w:trPr>
          <w:trHeight w:val="473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负债总额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407,535.30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 w:rsidP="002C68D5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328,402.08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A8F" w:rsidRDefault="001F183B" w:rsidP="002C68D5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302,541.92</w:t>
            </w:r>
          </w:p>
        </w:tc>
      </w:tr>
      <w:tr w:rsidR="00DF2A8F" w:rsidTr="002C68D5">
        <w:trPr>
          <w:trHeight w:val="473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净资产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96,091.01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8F" w:rsidRDefault="001F183B" w:rsidP="002C68D5">
            <w:pPr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96,964.10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8F" w:rsidRDefault="001F183B" w:rsidP="002C68D5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89,897.14</w:t>
            </w:r>
          </w:p>
        </w:tc>
      </w:tr>
    </w:tbl>
    <w:bookmarkEnd w:id="2"/>
    <w:p w:rsidR="00DF2A8F" w:rsidRDefault="001F183B">
      <w:pPr>
        <w:spacing w:line="520" w:lineRule="exac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t>四、</w:t>
      </w:r>
      <w:r>
        <w:rPr>
          <w:rFonts w:ascii="黑体" w:eastAsia="黑体" w:hAnsi="黑体" w:hint="eastAsia"/>
          <w:color w:val="000000"/>
          <w:sz w:val="28"/>
          <w:szCs w:val="28"/>
        </w:rPr>
        <w:t>增资协议的主要内容</w:t>
      </w:r>
    </w:p>
    <w:p w:rsidR="00DF2A8F" w:rsidRDefault="001F183B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（一）增资主体</w:t>
      </w:r>
    </w:p>
    <w:p w:rsidR="00DF2A8F" w:rsidRDefault="001F183B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兖州煤业、</w:t>
      </w:r>
      <w:proofErr w:type="gramStart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兖</w:t>
      </w:r>
      <w:proofErr w:type="gramEnd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矿集团。</w:t>
      </w:r>
    </w:p>
    <w:p w:rsidR="00DF2A8F" w:rsidRDefault="001F183B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（二）增资价款</w:t>
      </w:r>
    </w:p>
    <w:p w:rsidR="00DF2A8F" w:rsidRDefault="001F183B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兖州煤业以现金方式向上海中期缴纳交易对价人民币3.24亿元；</w:t>
      </w:r>
    </w:p>
    <w:p w:rsidR="00DF2A8F" w:rsidRDefault="001F183B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proofErr w:type="gramStart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兖</w:t>
      </w:r>
      <w:proofErr w:type="gramEnd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矿集团以现金方式向上海中期缴纳交易对价人民币6.48亿元。</w:t>
      </w:r>
    </w:p>
    <w:p w:rsidR="00DF2A8F" w:rsidRDefault="001F183B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（三）增资缴付</w:t>
      </w:r>
    </w:p>
    <w:p w:rsidR="00DF2A8F" w:rsidRDefault="001F183B">
      <w:pPr>
        <w:spacing w:line="520" w:lineRule="exact"/>
        <w:ind w:firstLineChars="200" w:firstLine="560"/>
        <w:rPr>
          <w:rFonts w:ascii="Songti SC Regular" w:eastAsiaTheme="minorEastAsia"/>
          <w:sz w:val="28"/>
          <w:szCs w:val="28"/>
        </w:rPr>
      </w:pPr>
      <w:r>
        <w:rPr>
          <w:rFonts w:ascii="Songti SC Regular" w:eastAsia="Times New Roman"/>
          <w:sz w:val="28"/>
          <w:szCs w:val="28"/>
        </w:rPr>
        <w:t>本协议生效且经监管机构</w:t>
      </w:r>
      <w:r w:rsidR="00FA7F65">
        <w:rPr>
          <w:rFonts w:asciiTheme="minorEastAsia" w:eastAsiaTheme="minorEastAsia" w:hAnsiTheme="minorEastAsia" w:hint="eastAsia"/>
          <w:sz w:val="28"/>
          <w:szCs w:val="28"/>
        </w:rPr>
        <w:t>备案</w:t>
      </w:r>
      <w:r>
        <w:rPr>
          <w:rFonts w:ascii="Songti SC Regular" w:eastAsia="Times New Roman"/>
          <w:sz w:val="28"/>
          <w:szCs w:val="28"/>
        </w:rPr>
        <w:t>后</w:t>
      </w:r>
      <w:r w:rsidR="00FA7F65">
        <w:rPr>
          <w:rFonts w:ascii="Songti SC Regular" w:eastAsiaTheme="minorEastAsia" w:hint="eastAsia"/>
          <w:sz w:val="28"/>
          <w:szCs w:val="28"/>
        </w:rPr>
        <w:t>5</w:t>
      </w:r>
      <w:r>
        <w:rPr>
          <w:rFonts w:ascii="Songti SC Regular" w:eastAsia="Times New Roman"/>
          <w:sz w:val="28"/>
          <w:szCs w:val="28"/>
        </w:rPr>
        <w:t>个工作日内，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履行出资义务</w:t>
      </w:r>
      <w:r>
        <w:rPr>
          <w:rFonts w:ascii="Songti SC Regular" w:eastAsiaTheme="minorEastAsia" w:hint="eastAsia"/>
          <w:sz w:val="28"/>
          <w:szCs w:val="28"/>
        </w:rPr>
        <w:t>。</w:t>
      </w:r>
    </w:p>
    <w:p w:rsidR="00DF2A8F" w:rsidRDefault="001F183B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（四）生效条件</w:t>
      </w:r>
    </w:p>
    <w:p w:rsidR="00DF2A8F" w:rsidRDefault="001F183B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增资协议在以下条件达成之日起生效：</w:t>
      </w:r>
    </w:p>
    <w:p w:rsidR="00DF2A8F" w:rsidRDefault="001F183B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1.各方完成协议的签字盖章；</w:t>
      </w:r>
    </w:p>
    <w:p w:rsidR="00DF2A8F" w:rsidRDefault="001F183B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2.</w:t>
      </w:r>
      <w:r>
        <w:rPr>
          <w:rFonts w:ascii="Songti SC Regular" w:hint="eastAsia"/>
          <w:sz w:val="28"/>
          <w:szCs w:val="28"/>
        </w:rPr>
        <w:t>上海中期股东大会审议</w:t>
      </w:r>
      <w:r w:rsidR="00783F24">
        <w:rPr>
          <w:rFonts w:ascii="Songti SC Regular" w:hint="eastAsia"/>
          <w:sz w:val="28"/>
          <w:szCs w:val="28"/>
        </w:rPr>
        <w:t>批准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DF2A8F" w:rsidRDefault="001F183B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（五）违约责任</w:t>
      </w:r>
    </w:p>
    <w:p w:rsidR="00DF2A8F" w:rsidRDefault="001F183B" w:rsidP="000F6185">
      <w:pPr>
        <w:pStyle w:val="Af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spacing w:line="500" w:lineRule="exact"/>
        <w:ind w:firstLineChars="192" w:firstLine="538"/>
        <w:rPr>
          <w:rFonts w:ascii="Songti SC Regular" w:eastAsia="Times New Roman"/>
          <w:sz w:val="28"/>
          <w:szCs w:val="28"/>
        </w:rPr>
      </w:pPr>
      <w:r>
        <w:rPr>
          <w:rFonts w:ascii="Songti SC Regular" w:eastAsiaTheme="minorEastAsia" w:hint="eastAsia"/>
          <w:sz w:val="28"/>
          <w:szCs w:val="28"/>
        </w:rPr>
        <w:t>增资</w:t>
      </w:r>
      <w:r>
        <w:rPr>
          <w:rFonts w:ascii="Songti SC Regular" w:eastAsia="Times New Roman"/>
          <w:sz w:val="28"/>
          <w:szCs w:val="28"/>
        </w:rPr>
        <w:t>协议任何一方违反协议的约定给其他方造成损失的，</w:t>
      </w:r>
      <w:r>
        <w:rPr>
          <w:rFonts w:ascii="Songti SC Regular" w:eastAsiaTheme="minorEastAsia" w:hint="eastAsia"/>
          <w:sz w:val="28"/>
          <w:szCs w:val="28"/>
        </w:rPr>
        <w:t>须</w:t>
      </w:r>
      <w:r>
        <w:rPr>
          <w:rFonts w:ascii="Songti SC Regular" w:eastAsia="Times New Roman"/>
          <w:sz w:val="28"/>
          <w:szCs w:val="28"/>
        </w:rPr>
        <w:t>赔偿因此给他方造成的损失。</w:t>
      </w:r>
    </w:p>
    <w:p w:rsidR="00DF2A8F" w:rsidRDefault="001F183B">
      <w:pPr>
        <w:adjustRightInd w:val="0"/>
        <w:snapToGrid w:val="0"/>
        <w:spacing w:line="520" w:lineRule="exact"/>
        <w:ind w:firstLineChars="200" w:firstLine="560"/>
        <w:outlineLvl w:val="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五</w:t>
      </w:r>
      <w:r>
        <w:rPr>
          <w:rFonts w:ascii="黑体" w:eastAsia="黑体" w:hAnsi="黑体"/>
          <w:color w:val="000000"/>
          <w:sz w:val="28"/>
          <w:szCs w:val="28"/>
        </w:rPr>
        <w:t>、</w:t>
      </w:r>
      <w:r>
        <w:rPr>
          <w:rFonts w:ascii="黑体" w:eastAsia="黑体" w:hAnsi="黑体" w:hint="eastAsia"/>
          <w:color w:val="000000"/>
          <w:sz w:val="28"/>
          <w:szCs w:val="28"/>
        </w:rPr>
        <w:t>本次增资对</w:t>
      </w:r>
      <w:r>
        <w:rPr>
          <w:rFonts w:ascii="黑体" w:eastAsia="黑体" w:hAnsi="黑体"/>
          <w:color w:val="000000"/>
          <w:sz w:val="28"/>
          <w:szCs w:val="28"/>
        </w:rPr>
        <w:t>公司的影响</w:t>
      </w:r>
    </w:p>
    <w:p w:rsidR="00DF2A8F" w:rsidRDefault="001F183B">
      <w:pPr>
        <w:spacing w:line="560" w:lineRule="exact"/>
        <w:ind w:firstLine="612"/>
        <w:rPr>
          <w:rFonts w:ascii="Songti SC Regular" w:eastAsiaTheme="minorEastAsia"/>
          <w:color w:val="000000"/>
          <w:sz w:val="28"/>
          <w:szCs w:val="28"/>
          <w:u w:color="000000"/>
        </w:rPr>
      </w:pPr>
      <w:r>
        <w:rPr>
          <w:rFonts w:ascii="Songti SC Regular" w:eastAsiaTheme="minorEastAsia" w:hint="eastAsia"/>
          <w:b/>
          <w:color w:val="000000"/>
          <w:sz w:val="28"/>
          <w:szCs w:val="28"/>
          <w:u w:color="000000"/>
        </w:rPr>
        <w:t>（一）提高上海中期盈利水平，有利于兖州煤业获得较好投资回报。</w:t>
      </w:r>
      <w:r>
        <w:rPr>
          <w:rFonts w:ascii="Songti SC Regular" w:eastAsiaTheme="minorEastAsia" w:hint="eastAsia"/>
          <w:color w:val="000000"/>
          <w:sz w:val="28"/>
          <w:szCs w:val="28"/>
          <w:u w:color="000000"/>
        </w:rPr>
        <w:t>本次增</w:t>
      </w:r>
      <w:r>
        <w:rPr>
          <w:rFonts w:ascii="Songti SC Regular" w:eastAsiaTheme="minorEastAsia"/>
          <w:color w:val="000000"/>
          <w:sz w:val="28"/>
          <w:szCs w:val="28"/>
          <w:u w:color="000000"/>
        </w:rPr>
        <w:t>资</w:t>
      </w:r>
      <w:r>
        <w:rPr>
          <w:rFonts w:ascii="Songti SC Regular" w:eastAsiaTheme="minorEastAsia" w:hint="eastAsia"/>
          <w:color w:val="000000"/>
          <w:sz w:val="28"/>
          <w:szCs w:val="28"/>
          <w:u w:color="000000"/>
        </w:rPr>
        <w:t>后</w:t>
      </w:r>
      <w:r>
        <w:rPr>
          <w:rFonts w:ascii="Songti SC Regular" w:eastAsiaTheme="minorEastAsia"/>
          <w:color w:val="000000"/>
          <w:sz w:val="28"/>
          <w:szCs w:val="28"/>
          <w:u w:color="000000"/>
        </w:rPr>
        <w:t>，</w:t>
      </w:r>
      <w:r>
        <w:rPr>
          <w:rFonts w:ascii="Songti SC Regular" w:eastAsiaTheme="minorEastAsia" w:hint="eastAsia"/>
          <w:color w:val="000000"/>
          <w:sz w:val="28"/>
          <w:szCs w:val="28"/>
          <w:u w:color="000000"/>
        </w:rPr>
        <w:t>上海中期将重点加大基础设施投资和业务拓展力度，提升服务质量，增强客户黏性，</w:t>
      </w:r>
      <w:bookmarkStart w:id="3" w:name="_Hlk24630820"/>
      <w:r>
        <w:rPr>
          <w:rFonts w:ascii="Songti SC Regular" w:eastAsiaTheme="minorEastAsia" w:hint="eastAsia"/>
          <w:color w:val="000000"/>
          <w:sz w:val="28"/>
          <w:szCs w:val="28"/>
          <w:u w:color="000000"/>
        </w:rPr>
        <w:t>提高盈利水平</w:t>
      </w:r>
      <w:bookmarkEnd w:id="3"/>
      <w:r>
        <w:rPr>
          <w:rFonts w:ascii="Songti SC Regular" w:eastAsiaTheme="minorEastAsia" w:hint="eastAsia"/>
          <w:color w:val="000000"/>
          <w:sz w:val="28"/>
          <w:szCs w:val="28"/>
          <w:u w:color="000000"/>
        </w:rPr>
        <w:t>，有利于兖州煤业获得较好的投资回报。</w:t>
      </w:r>
    </w:p>
    <w:p w:rsidR="00DF2A8F" w:rsidRDefault="001F183B">
      <w:pPr>
        <w:spacing w:line="560" w:lineRule="exact"/>
        <w:ind w:firstLine="612"/>
        <w:rPr>
          <w:rFonts w:ascii="Songti SC Regular" w:eastAsiaTheme="minorEastAsia"/>
          <w:color w:val="000000"/>
          <w:sz w:val="28"/>
          <w:szCs w:val="28"/>
          <w:u w:color="000000"/>
        </w:rPr>
      </w:pPr>
      <w:r>
        <w:rPr>
          <w:rFonts w:ascii="Songti SC Regular" w:eastAsiaTheme="minorEastAsia" w:hint="eastAsia"/>
          <w:b/>
          <w:color w:val="000000"/>
          <w:sz w:val="28"/>
          <w:szCs w:val="28"/>
          <w:u w:color="000000"/>
        </w:rPr>
        <w:t>（二）增强市场风险抵抗能力，有利于兖州煤业实施价格风险管理。</w:t>
      </w:r>
      <w:r>
        <w:rPr>
          <w:rFonts w:ascii="Songti SC Regular" w:eastAsiaTheme="minorEastAsia" w:hint="eastAsia"/>
          <w:color w:val="000000"/>
          <w:sz w:val="28"/>
          <w:szCs w:val="28"/>
          <w:u w:color="000000"/>
        </w:rPr>
        <w:t>本次增资将进一步增加上海中期注册资本，</w:t>
      </w:r>
      <w:r>
        <w:rPr>
          <w:rFonts w:ascii="Songti SC Regular" w:eastAsiaTheme="minorEastAsia"/>
          <w:color w:val="000000"/>
          <w:sz w:val="28"/>
          <w:szCs w:val="28"/>
          <w:u w:color="000000"/>
        </w:rPr>
        <w:t>有效改善资本结构，降低</w:t>
      </w:r>
      <w:r>
        <w:rPr>
          <w:rFonts w:ascii="Songti SC Regular" w:eastAsiaTheme="minorEastAsia" w:hint="eastAsia"/>
          <w:color w:val="000000"/>
          <w:sz w:val="28"/>
          <w:szCs w:val="28"/>
          <w:u w:color="000000"/>
        </w:rPr>
        <w:t>资产负债率，增强市场风险抵抗能力，提高业务能力，有利于兖州煤业更好地利用期货市场，降低煤炭等产品的市场价格波动风险，借助上海中期专业平台开展价格风险防控。</w:t>
      </w:r>
    </w:p>
    <w:p w:rsidR="00DF2A8F" w:rsidRDefault="001F183B">
      <w:pPr>
        <w:adjustRightInd w:val="0"/>
        <w:snapToGrid w:val="0"/>
        <w:spacing w:line="520" w:lineRule="exact"/>
        <w:ind w:firstLineChars="200" w:firstLine="562"/>
        <w:outlineLvl w:val="0"/>
        <w:rPr>
          <w:rFonts w:ascii="Songti SC Regular" w:eastAsiaTheme="minorEastAsia"/>
          <w:b/>
          <w:color w:val="000000"/>
          <w:sz w:val="28"/>
          <w:szCs w:val="28"/>
          <w:u w:color="000000"/>
        </w:rPr>
      </w:pPr>
      <w:r>
        <w:rPr>
          <w:rFonts w:ascii="Songti SC Regular" w:eastAsiaTheme="minorEastAsia" w:hint="eastAsia"/>
          <w:b/>
          <w:color w:val="000000"/>
          <w:sz w:val="28"/>
          <w:szCs w:val="28"/>
          <w:u w:color="000000"/>
        </w:rPr>
        <w:t>（三）本次增资公司以自有资金出资，对公司现金流和主要财务指标不构成重大影响。</w:t>
      </w:r>
    </w:p>
    <w:p w:rsidR="00DF2A8F" w:rsidRDefault="001F183B">
      <w:pPr>
        <w:adjustRightInd w:val="0"/>
        <w:snapToGrid w:val="0"/>
        <w:spacing w:line="520" w:lineRule="exact"/>
        <w:ind w:firstLineChars="200" w:firstLine="560"/>
        <w:outlineLvl w:val="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六</w:t>
      </w:r>
      <w:r>
        <w:rPr>
          <w:rFonts w:ascii="黑体" w:eastAsia="黑体" w:hAnsi="黑体"/>
          <w:color w:val="000000"/>
          <w:sz w:val="28"/>
          <w:szCs w:val="28"/>
        </w:rPr>
        <w:t>、</w:t>
      </w:r>
      <w:r>
        <w:rPr>
          <w:rFonts w:ascii="黑体" w:eastAsia="黑体" w:hAnsi="黑体" w:hint="eastAsia"/>
          <w:color w:val="000000"/>
          <w:sz w:val="28"/>
          <w:szCs w:val="28"/>
        </w:rPr>
        <w:t>本次增资已履行的审批程序</w:t>
      </w:r>
    </w:p>
    <w:p w:rsidR="00DF2A8F" w:rsidRDefault="001F183B">
      <w:pPr>
        <w:adjustRightInd w:val="0"/>
        <w:snapToGrid w:val="0"/>
        <w:spacing w:line="520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（一）董事会审议情况</w:t>
      </w:r>
    </w:p>
    <w:p w:rsidR="00DF2A8F" w:rsidRDefault="001F183B">
      <w:pPr>
        <w:adjustRightInd w:val="0"/>
        <w:snapToGrid w:val="0"/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本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次增资已经公司2019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年</w:t>
      </w:r>
      <w:r w:rsidR="0025614C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25614C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月</w:t>
      </w:r>
      <w:r w:rsidR="0025614C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召开的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第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七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届董事会第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二十九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次会议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审议批准。</w:t>
      </w:r>
    </w:p>
    <w:p w:rsidR="00DF2A8F" w:rsidRDefault="001F183B">
      <w:pPr>
        <w:adjustRightInd w:val="0"/>
        <w:snapToGrid w:val="0"/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公司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第七届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董事会成员共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11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人，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名关联董事回避表决，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名非关联董事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一致批准本次增资，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参加表决的董事人数符合法定比例，会议的召开及表决合法有效。</w:t>
      </w:r>
    </w:p>
    <w:p w:rsidR="00DF2A8F" w:rsidRDefault="001F183B">
      <w:pPr>
        <w:adjustRightInd w:val="0"/>
        <w:snapToGrid w:val="0"/>
        <w:spacing w:line="520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（二）独立董事事前认可意见及独立意见</w:t>
      </w:r>
    </w:p>
    <w:p w:rsidR="00DF2A8F" w:rsidRDefault="001F183B">
      <w:pPr>
        <w:adjustRightInd w:val="0"/>
        <w:snapToGrid w:val="0"/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公司4名独立董事发表了事前认可意见，同意将本次增资事项提交董事会讨论审议。</w:t>
      </w:r>
    </w:p>
    <w:p w:rsidR="00DF2A8F" w:rsidRDefault="001F183B">
      <w:pPr>
        <w:adjustRightInd w:val="0"/>
        <w:snapToGrid w:val="0"/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公司独立董事审阅公司提供的相关资料后，在董事会上发表独立意见如下：</w:t>
      </w:r>
    </w:p>
    <w:p w:rsidR="00DF2A8F" w:rsidRDefault="001F183B">
      <w:pPr>
        <w:adjustRightInd w:val="0"/>
        <w:snapToGrid w:val="0"/>
        <w:spacing w:line="520" w:lineRule="exact"/>
        <w:ind w:firstLine="539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1.公司董事会对《关于增加上海中期期货股份有限公司注册资本金的议案》的审议、表决程序符合法律、法规、上市监管规则及《公司章程》规定；</w:t>
      </w:r>
    </w:p>
    <w:p w:rsidR="00DF2A8F" w:rsidRDefault="001F183B">
      <w:pPr>
        <w:adjustRightInd w:val="0"/>
        <w:snapToGrid w:val="0"/>
        <w:spacing w:line="520" w:lineRule="exact"/>
        <w:ind w:firstLine="539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2.公司与</w:t>
      </w:r>
      <w:proofErr w:type="gramStart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兖</w:t>
      </w:r>
      <w:proofErr w:type="gramEnd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矿集团</w:t>
      </w:r>
      <w:r>
        <w:rPr>
          <w:rFonts w:ascii="宋体" w:hAnsi="宋体" w:hint="eastAsia"/>
          <w:sz w:val="28"/>
        </w:rPr>
        <w:t>按各自持股比例以现金方式向上海中期增加注册资本金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，有利于上海中期拓宽业务范围、扩大业务规模、提高风险抵御能力，有利于公司</w:t>
      </w:r>
      <w:r w:rsidR="0025614C">
        <w:rPr>
          <w:rFonts w:asciiTheme="minorEastAsia" w:eastAsiaTheme="minorEastAsia" w:hAnsiTheme="minorEastAsia" w:hint="eastAsia"/>
          <w:color w:val="000000"/>
          <w:sz w:val="28"/>
          <w:szCs w:val="28"/>
        </w:rPr>
        <w:t>获得较高投资回报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，助推实体经济发展；</w:t>
      </w:r>
    </w:p>
    <w:p w:rsidR="00DF2A8F" w:rsidRDefault="001F183B">
      <w:pPr>
        <w:adjustRightInd w:val="0"/>
        <w:snapToGrid w:val="0"/>
        <w:spacing w:line="520" w:lineRule="exact"/>
        <w:ind w:firstLine="539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3.签订的关联交易协议乃按一般商业条款订立，对公司及独立股东而言公平合理，订立关联交易协议符合公司及独立股东整体利益。</w:t>
      </w:r>
    </w:p>
    <w:p w:rsidR="00DF2A8F" w:rsidRDefault="001F183B">
      <w:pPr>
        <w:adjustRightInd w:val="0"/>
        <w:snapToGrid w:val="0"/>
        <w:spacing w:line="520" w:lineRule="exact"/>
        <w:ind w:firstLine="539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七、</w:t>
      </w:r>
      <w:r>
        <w:rPr>
          <w:rFonts w:ascii="黑体" w:eastAsia="黑体" w:hAnsi="黑体"/>
          <w:color w:val="000000"/>
          <w:sz w:val="28"/>
          <w:szCs w:val="28"/>
        </w:rPr>
        <w:t>备查文件</w:t>
      </w:r>
    </w:p>
    <w:p w:rsidR="00DF2A8F" w:rsidRDefault="004C24E2">
      <w:pPr>
        <w:adjustRightInd w:val="0"/>
        <w:snapToGrid w:val="0"/>
        <w:spacing w:line="520" w:lineRule="exact"/>
        <w:ind w:firstLine="539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兖州煤业股份有限</w:t>
      </w:r>
      <w:r w:rsidR="001F183B">
        <w:rPr>
          <w:rFonts w:asciiTheme="minorEastAsia" w:eastAsiaTheme="minorEastAsia" w:hAnsiTheme="minorEastAsia"/>
          <w:color w:val="000000"/>
          <w:sz w:val="28"/>
          <w:szCs w:val="28"/>
        </w:rPr>
        <w:t>公司第</w:t>
      </w:r>
      <w:r w:rsidR="001F183B">
        <w:rPr>
          <w:rFonts w:asciiTheme="minorEastAsia" w:eastAsiaTheme="minorEastAsia" w:hAnsiTheme="minorEastAsia" w:hint="eastAsia"/>
          <w:color w:val="000000"/>
          <w:sz w:val="28"/>
          <w:szCs w:val="28"/>
        </w:rPr>
        <w:t>七</w:t>
      </w:r>
      <w:r w:rsidR="001F183B">
        <w:rPr>
          <w:rFonts w:asciiTheme="minorEastAsia" w:eastAsiaTheme="minorEastAsia" w:hAnsiTheme="minorEastAsia"/>
          <w:color w:val="000000"/>
          <w:sz w:val="28"/>
          <w:szCs w:val="28"/>
        </w:rPr>
        <w:t>届董事会第</w:t>
      </w:r>
      <w:r w:rsidR="001F183B">
        <w:rPr>
          <w:rFonts w:asciiTheme="minorEastAsia" w:eastAsiaTheme="minorEastAsia" w:hAnsiTheme="minorEastAsia" w:hint="eastAsia"/>
          <w:color w:val="000000"/>
          <w:sz w:val="28"/>
          <w:szCs w:val="28"/>
        </w:rPr>
        <w:t>二十九</w:t>
      </w:r>
      <w:r w:rsidR="001F183B">
        <w:rPr>
          <w:rFonts w:asciiTheme="minorEastAsia" w:eastAsiaTheme="minorEastAsia" w:hAnsiTheme="minorEastAsia"/>
          <w:color w:val="000000"/>
          <w:sz w:val="28"/>
          <w:szCs w:val="28"/>
        </w:rPr>
        <w:t>次会议决议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；</w:t>
      </w:r>
    </w:p>
    <w:p w:rsidR="004C24E2" w:rsidRDefault="004C24E2">
      <w:pPr>
        <w:adjustRightInd w:val="0"/>
        <w:snapToGrid w:val="0"/>
        <w:spacing w:line="520" w:lineRule="exact"/>
        <w:ind w:firstLine="539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《上海中期期货股份有限公司增资协议》；</w:t>
      </w:r>
    </w:p>
    <w:p w:rsidR="004C24E2" w:rsidRDefault="004C24E2">
      <w:pPr>
        <w:adjustRightInd w:val="0"/>
        <w:snapToGrid w:val="0"/>
        <w:spacing w:line="520" w:lineRule="exact"/>
        <w:ind w:firstLine="539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中兴财光华会计师事务所（特殊普通合伙）出具的《上海中期期货股份有限公司审计报告》（中兴财光华审会字〔2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019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〕第3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16009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号）。</w:t>
      </w:r>
    </w:p>
    <w:p w:rsidR="004C24E2" w:rsidRDefault="004C24E2">
      <w:pPr>
        <w:adjustRightInd w:val="0"/>
        <w:snapToGrid w:val="0"/>
        <w:spacing w:line="520" w:lineRule="exact"/>
        <w:ind w:firstLine="54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DF2A8F" w:rsidRDefault="001F183B">
      <w:pPr>
        <w:adjustRightInd w:val="0"/>
        <w:snapToGrid w:val="0"/>
        <w:spacing w:line="520" w:lineRule="exact"/>
        <w:ind w:firstLine="54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特此公告。</w:t>
      </w:r>
    </w:p>
    <w:p w:rsidR="00DF2A8F" w:rsidRDefault="00DF2A8F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DF2A8F" w:rsidRDefault="00DF2A8F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DF2A8F" w:rsidRDefault="001F183B">
      <w:pPr>
        <w:adjustRightInd w:val="0"/>
        <w:snapToGrid w:val="0"/>
        <w:spacing w:line="520" w:lineRule="exact"/>
        <w:ind w:firstLineChars="1500" w:firstLine="420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  兖州煤业股份有限公司董事会</w:t>
      </w:r>
    </w:p>
    <w:p w:rsidR="00DF2A8F" w:rsidRDefault="001F183B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2019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年</w:t>
      </w:r>
      <w:r w:rsidR="0025614C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25614C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月</w:t>
      </w:r>
      <w:r w:rsidR="0025614C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日</w:t>
      </w:r>
    </w:p>
    <w:p w:rsidR="00DF2A8F" w:rsidRDefault="00DF2A8F">
      <w:pPr>
        <w:adjustRightInd w:val="0"/>
        <w:snapToGrid w:val="0"/>
        <w:spacing w:line="460" w:lineRule="exact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</w:p>
    <w:sectPr w:rsidR="00DF2A8F" w:rsidSect="00DF2A8F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099" w:rsidRDefault="004C2099" w:rsidP="00DF2A8F">
      <w:r>
        <w:separator/>
      </w:r>
    </w:p>
  </w:endnote>
  <w:endnote w:type="continuationSeparator" w:id="0">
    <w:p w:rsidR="004C2099" w:rsidRDefault="004C2099" w:rsidP="00DF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Regula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A8F" w:rsidRDefault="00866A62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F183B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F183B">
      <w:rPr>
        <w:rStyle w:val="af0"/>
      </w:rPr>
      <w:t>1</w:t>
    </w:r>
    <w:r>
      <w:rPr>
        <w:rStyle w:val="af0"/>
      </w:rPr>
      <w:fldChar w:fldCharType="end"/>
    </w:r>
  </w:p>
  <w:p w:rsidR="00DF2A8F" w:rsidRDefault="00DF2A8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A8F" w:rsidRDefault="00866A62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F183B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E0E04">
      <w:rPr>
        <w:rStyle w:val="af0"/>
        <w:noProof/>
      </w:rPr>
      <w:t>5</w:t>
    </w:r>
    <w:r>
      <w:rPr>
        <w:rStyle w:val="af0"/>
      </w:rPr>
      <w:fldChar w:fldCharType="end"/>
    </w:r>
  </w:p>
  <w:p w:rsidR="00DF2A8F" w:rsidRDefault="00DF2A8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099" w:rsidRDefault="004C2099" w:rsidP="00DF2A8F">
      <w:r>
        <w:separator/>
      </w:r>
    </w:p>
  </w:footnote>
  <w:footnote w:type="continuationSeparator" w:id="0">
    <w:p w:rsidR="004C2099" w:rsidRDefault="004C2099" w:rsidP="00DF2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85C1F"/>
    <w:multiLevelType w:val="multilevel"/>
    <w:tmpl w:val="63685C1F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66A"/>
    <w:rsid w:val="00001A58"/>
    <w:rsid w:val="00003585"/>
    <w:rsid w:val="000039F6"/>
    <w:rsid w:val="00004217"/>
    <w:rsid w:val="00004F54"/>
    <w:rsid w:val="00014E26"/>
    <w:rsid w:val="00021CBB"/>
    <w:rsid w:val="00022C2C"/>
    <w:rsid w:val="000233E3"/>
    <w:rsid w:val="000352B0"/>
    <w:rsid w:val="000370A7"/>
    <w:rsid w:val="00040B5D"/>
    <w:rsid w:val="00042C07"/>
    <w:rsid w:val="00043761"/>
    <w:rsid w:val="00044496"/>
    <w:rsid w:val="000449A2"/>
    <w:rsid w:val="00044ADA"/>
    <w:rsid w:val="000476C8"/>
    <w:rsid w:val="00050B16"/>
    <w:rsid w:val="00056E40"/>
    <w:rsid w:val="00061E65"/>
    <w:rsid w:val="00061EA8"/>
    <w:rsid w:val="0006236D"/>
    <w:rsid w:val="000705D7"/>
    <w:rsid w:val="00072DAE"/>
    <w:rsid w:val="00074459"/>
    <w:rsid w:val="00080AB2"/>
    <w:rsid w:val="0008169E"/>
    <w:rsid w:val="0008173A"/>
    <w:rsid w:val="00082F21"/>
    <w:rsid w:val="00086404"/>
    <w:rsid w:val="00086871"/>
    <w:rsid w:val="00090471"/>
    <w:rsid w:val="00092715"/>
    <w:rsid w:val="00093159"/>
    <w:rsid w:val="00093760"/>
    <w:rsid w:val="00093BD1"/>
    <w:rsid w:val="000979C7"/>
    <w:rsid w:val="00097BE1"/>
    <w:rsid w:val="000A066C"/>
    <w:rsid w:val="000A112B"/>
    <w:rsid w:val="000A2DA2"/>
    <w:rsid w:val="000B0F4C"/>
    <w:rsid w:val="000B339E"/>
    <w:rsid w:val="000B50E0"/>
    <w:rsid w:val="000B7C85"/>
    <w:rsid w:val="000C27F6"/>
    <w:rsid w:val="000C344D"/>
    <w:rsid w:val="000C3667"/>
    <w:rsid w:val="000C41AF"/>
    <w:rsid w:val="000C487D"/>
    <w:rsid w:val="000C5674"/>
    <w:rsid w:val="000C6E43"/>
    <w:rsid w:val="000C712D"/>
    <w:rsid w:val="000C7908"/>
    <w:rsid w:val="000D2AEE"/>
    <w:rsid w:val="000D689E"/>
    <w:rsid w:val="000D7C41"/>
    <w:rsid w:val="000E0E8D"/>
    <w:rsid w:val="000E1C7C"/>
    <w:rsid w:val="000E4713"/>
    <w:rsid w:val="000E601C"/>
    <w:rsid w:val="000E611F"/>
    <w:rsid w:val="000F1F4E"/>
    <w:rsid w:val="000F5C1B"/>
    <w:rsid w:val="000F612C"/>
    <w:rsid w:val="000F6185"/>
    <w:rsid w:val="000F664B"/>
    <w:rsid w:val="000F78F1"/>
    <w:rsid w:val="000F7F65"/>
    <w:rsid w:val="00101C08"/>
    <w:rsid w:val="001032F4"/>
    <w:rsid w:val="001040E2"/>
    <w:rsid w:val="001049AD"/>
    <w:rsid w:val="001074A9"/>
    <w:rsid w:val="001102A7"/>
    <w:rsid w:val="0011777B"/>
    <w:rsid w:val="0011781F"/>
    <w:rsid w:val="001237B9"/>
    <w:rsid w:val="00133FF0"/>
    <w:rsid w:val="00133FFB"/>
    <w:rsid w:val="00136497"/>
    <w:rsid w:val="00140ECB"/>
    <w:rsid w:val="001422C0"/>
    <w:rsid w:val="001424F3"/>
    <w:rsid w:val="001433C9"/>
    <w:rsid w:val="00143455"/>
    <w:rsid w:val="00145AE1"/>
    <w:rsid w:val="00151200"/>
    <w:rsid w:val="00151936"/>
    <w:rsid w:val="001519AF"/>
    <w:rsid w:val="00152D7B"/>
    <w:rsid w:val="00156669"/>
    <w:rsid w:val="001571C8"/>
    <w:rsid w:val="001609CE"/>
    <w:rsid w:val="0016344A"/>
    <w:rsid w:val="00165279"/>
    <w:rsid w:val="001660E6"/>
    <w:rsid w:val="00167509"/>
    <w:rsid w:val="001702E8"/>
    <w:rsid w:val="00170869"/>
    <w:rsid w:val="001710E6"/>
    <w:rsid w:val="001723C6"/>
    <w:rsid w:val="00174F16"/>
    <w:rsid w:val="00176ED1"/>
    <w:rsid w:val="00177770"/>
    <w:rsid w:val="00177B5A"/>
    <w:rsid w:val="001826AE"/>
    <w:rsid w:val="001827F4"/>
    <w:rsid w:val="0018495C"/>
    <w:rsid w:val="00187735"/>
    <w:rsid w:val="0019148C"/>
    <w:rsid w:val="00191777"/>
    <w:rsid w:val="00191E75"/>
    <w:rsid w:val="00192430"/>
    <w:rsid w:val="00196762"/>
    <w:rsid w:val="001A2F31"/>
    <w:rsid w:val="001B03E7"/>
    <w:rsid w:val="001B53C9"/>
    <w:rsid w:val="001B6459"/>
    <w:rsid w:val="001B79EC"/>
    <w:rsid w:val="001B7E84"/>
    <w:rsid w:val="001C2F6E"/>
    <w:rsid w:val="001C4C53"/>
    <w:rsid w:val="001D095A"/>
    <w:rsid w:val="001D1E20"/>
    <w:rsid w:val="001D1FD8"/>
    <w:rsid w:val="001D4BA8"/>
    <w:rsid w:val="001D4E3E"/>
    <w:rsid w:val="001E04EB"/>
    <w:rsid w:val="001E5C27"/>
    <w:rsid w:val="001F183B"/>
    <w:rsid w:val="001F3FB9"/>
    <w:rsid w:val="001F4A73"/>
    <w:rsid w:val="001F4E81"/>
    <w:rsid w:val="001F5AB0"/>
    <w:rsid w:val="001F784F"/>
    <w:rsid w:val="002002A6"/>
    <w:rsid w:val="0021073B"/>
    <w:rsid w:val="00213CE1"/>
    <w:rsid w:val="00216E6C"/>
    <w:rsid w:val="0022015F"/>
    <w:rsid w:val="0022720D"/>
    <w:rsid w:val="0023742C"/>
    <w:rsid w:val="00241746"/>
    <w:rsid w:val="00243D16"/>
    <w:rsid w:val="0024420D"/>
    <w:rsid w:val="0025011E"/>
    <w:rsid w:val="00250999"/>
    <w:rsid w:val="0025492E"/>
    <w:rsid w:val="0025614C"/>
    <w:rsid w:val="00261183"/>
    <w:rsid w:val="002635C8"/>
    <w:rsid w:val="00264439"/>
    <w:rsid w:val="00266697"/>
    <w:rsid w:val="00270B3B"/>
    <w:rsid w:val="00273A15"/>
    <w:rsid w:val="0027414E"/>
    <w:rsid w:val="002751A3"/>
    <w:rsid w:val="002805D9"/>
    <w:rsid w:val="00280A67"/>
    <w:rsid w:val="00281B23"/>
    <w:rsid w:val="002832A0"/>
    <w:rsid w:val="002861A8"/>
    <w:rsid w:val="00287692"/>
    <w:rsid w:val="002965AC"/>
    <w:rsid w:val="002965E2"/>
    <w:rsid w:val="0029667A"/>
    <w:rsid w:val="002A0C63"/>
    <w:rsid w:val="002A49BC"/>
    <w:rsid w:val="002A65F2"/>
    <w:rsid w:val="002A6F04"/>
    <w:rsid w:val="002A7C93"/>
    <w:rsid w:val="002B0BDE"/>
    <w:rsid w:val="002B411E"/>
    <w:rsid w:val="002B5F0A"/>
    <w:rsid w:val="002C2B5C"/>
    <w:rsid w:val="002C68D5"/>
    <w:rsid w:val="002C7198"/>
    <w:rsid w:val="002D0095"/>
    <w:rsid w:val="002D331B"/>
    <w:rsid w:val="002D471E"/>
    <w:rsid w:val="002D738C"/>
    <w:rsid w:val="002D77B0"/>
    <w:rsid w:val="002E0380"/>
    <w:rsid w:val="002E2E8C"/>
    <w:rsid w:val="002F13A1"/>
    <w:rsid w:val="002F281E"/>
    <w:rsid w:val="002F61B8"/>
    <w:rsid w:val="00302BC8"/>
    <w:rsid w:val="00302EFA"/>
    <w:rsid w:val="0030466A"/>
    <w:rsid w:val="00304D9D"/>
    <w:rsid w:val="00305279"/>
    <w:rsid w:val="003053D8"/>
    <w:rsid w:val="00310D79"/>
    <w:rsid w:val="00312FF2"/>
    <w:rsid w:val="00315E7D"/>
    <w:rsid w:val="00316A88"/>
    <w:rsid w:val="00317B58"/>
    <w:rsid w:val="0032066B"/>
    <w:rsid w:val="00324490"/>
    <w:rsid w:val="003256E6"/>
    <w:rsid w:val="00327275"/>
    <w:rsid w:val="003304CA"/>
    <w:rsid w:val="00332806"/>
    <w:rsid w:val="00333B38"/>
    <w:rsid w:val="00335745"/>
    <w:rsid w:val="00335E1D"/>
    <w:rsid w:val="00337FF0"/>
    <w:rsid w:val="00342EC4"/>
    <w:rsid w:val="003468C1"/>
    <w:rsid w:val="003504E3"/>
    <w:rsid w:val="003516B0"/>
    <w:rsid w:val="003517CB"/>
    <w:rsid w:val="00352099"/>
    <w:rsid w:val="00353564"/>
    <w:rsid w:val="00353584"/>
    <w:rsid w:val="00353B50"/>
    <w:rsid w:val="00356263"/>
    <w:rsid w:val="00360E48"/>
    <w:rsid w:val="0036102C"/>
    <w:rsid w:val="0036105B"/>
    <w:rsid w:val="00365905"/>
    <w:rsid w:val="00365AB2"/>
    <w:rsid w:val="0037389C"/>
    <w:rsid w:val="00374E8A"/>
    <w:rsid w:val="00376937"/>
    <w:rsid w:val="003773B9"/>
    <w:rsid w:val="00377D90"/>
    <w:rsid w:val="00380176"/>
    <w:rsid w:val="00381D45"/>
    <w:rsid w:val="00383604"/>
    <w:rsid w:val="00386052"/>
    <w:rsid w:val="0038687D"/>
    <w:rsid w:val="00387E6B"/>
    <w:rsid w:val="00390642"/>
    <w:rsid w:val="00390D44"/>
    <w:rsid w:val="00390DB7"/>
    <w:rsid w:val="003A0B75"/>
    <w:rsid w:val="003A1F58"/>
    <w:rsid w:val="003A5CCA"/>
    <w:rsid w:val="003A6BC1"/>
    <w:rsid w:val="003B4E49"/>
    <w:rsid w:val="003B6E18"/>
    <w:rsid w:val="003C0089"/>
    <w:rsid w:val="003C4732"/>
    <w:rsid w:val="003C4D17"/>
    <w:rsid w:val="003C5D78"/>
    <w:rsid w:val="003D3771"/>
    <w:rsid w:val="003D380F"/>
    <w:rsid w:val="003E1D6D"/>
    <w:rsid w:val="003E2E2D"/>
    <w:rsid w:val="003E540E"/>
    <w:rsid w:val="003E60F3"/>
    <w:rsid w:val="003E73D3"/>
    <w:rsid w:val="003E7428"/>
    <w:rsid w:val="003F3DEF"/>
    <w:rsid w:val="003F4C63"/>
    <w:rsid w:val="003F627A"/>
    <w:rsid w:val="003F7647"/>
    <w:rsid w:val="00400593"/>
    <w:rsid w:val="00400EF7"/>
    <w:rsid w:val="00407658"/>
    <w:rsid w:val="00410104"/>
    <w:rsid w:val="00414278"/>
    <w:rsid w:val="004163CF"/>
    <w:rsid w:val="00416524"/>
    <w:rsid w:val="00416E45"/>
    <w:rsid w:val="0042031E"/>
    <w:rsid w:val="00421A81"/>
    <w:rsid w:val="004228D7"/>
    <w:rsid w:val="00425E28"/>
    <w:rsid w:val="004271C7"/>
    <w:rsid w:val="00430734"/>
    <w:rsid w:val="00431198"/>
    <w:rsid w:val="00435781"/>
    <w:rsid w:val="0043661B"/>
    <w:rsid w:val="00442649"/>
    <w:rsid w:val="00444A93"/>
    <w:rsid w:val="004520F9"/>
    <w:rsid w:val="004547D2"/>
    <w:rsid w:val="00454E63"/>
    <w:rsid w:val="00455274"/>
    <w:rsid w:val="00461A88"/>
    <w:rsid w:val="00463D04"/>
    <w:rsid w:val="00464520"/>
    <w:rsid w:val="004658EC"/>
    <w:rsid w:val="00466D3C"/>
    <w:rsid w:val="00470CA9"/>
    <w:rsid w:val="004715B3"/>
    <w:rsid w:val="00471C27"/>
    <w:rsid w:val="00472A24"/>
    <w:rsid w:val="0047354B"/>
    <w:rsid w:val="004740CD"/>
    <w:rsid w:val="00474254"/>
    <w:rsid w:val="0047659D"/>
    <w:rsid w:val="00482903"/>
    <w:rsid w:val="00483C4A"/>
    <w:rsid w:val="00485459"/>
    <w:rsid w:val="00493798"/>
    <w:rsid w:val="00494BB8"/>
    <w:rsid w:val="00497FEC"/>
    <w:rsid w:val="004A1CB4"/>
    <w:rsid w:val="004A343E"/>
    <w:rsid w:val="004A6281"/>
    <w:rsid w:val="004A62AC"/>
    <w:rsid w:val="004B1015"/>
    <w:rsid w:val="004B3CB8"/>
    <w:rsid w:val="004B4B40"/>
    <w:rsid w:val="004B556F"/>
    <w:rsid w:val="004C0FC7"/>
    <w:rsid w:val="004C2099"/>
    <w:rsid w:val="004C24E2"/>
    <w:rsid w:val="004C2F57"/>
    <w:rsid w:val="004C5846"/>
    <w:rsid w:val="004C5B8F"/>
    <w:rsid w:val="004D1186"/>
    <w:rsid w:val="004D26BE"/>
    <w:rsid w:val="004D433D"/>
    <w:rsid w:val="004D446E"/>
    <w:rsid w:val="004D663B"/>
    <w:rsid w:val="004D739C"/>
    <w:rsid w:val="004D757B"/>
    <w:rsid w:val="004D761C"/>
    <w:rsid w:val="004E4202"/>
    <w:rsid w:val="004E66DB"/>
    <w:rsid w:val="004E7356"/>
    <w:rsid w:val="004F2773"/>
    <w:rsid w:val="004F5CBF"/>
    <w:rsid w:val="005008A5"/>
    <w:rsid w:val="00502CFD"/>
    <w:rsid w:val="00503835"/>
    <w:rsid w:val="00505E80"/>
    <w:rsid w:val="00506E57"/>
    <w:rsid w:val="00507C7D"/>
    <w:rsid w:val="00507E57"/>
    <w:rsid w:val="0051345D"/>
    <w:rsid w:val="00514A04"/>
    <w:rsid w:val="0051667A"/>
    <w:rsid w:val="00520220"/>
    <w:rsid w:val="0052047E"/>
    <w:rsid w:val="00521653"/>
    <w:rsid w:val="00523F7D"/>
    <w:rsid w:val="00525D0D"/>
    <w:rsid w:val="00526054"/>
    <w:rsid w:val="00527D17"/>
    <w:rsid w:val="005321DA"/>
    <w:rsid w:val="00534537"/>
    <w:rsid w:val="00536762"/>
    <w:rsid w:val="005371DB"/>
    <w:rsid w:val="00537657"/>
    <w:rsid w:val="005379B1"/>
    <w:rsid w:val="0054020E"/>
    <w:rsid w:val="00541232"/>
    <w:rsid w:val="0055187A"/>
    <w:rsid w:val="00552727"/>
    <w:rsid w:val="005532EB"/>
    <w:rsid w:val="005538C9"/>
    <w:rsid w:val="00553ABA"/>
    <w:rsid w:val="005567F4"/>
    <w:rsid w:val="005649E0"/>
    <w:rsid w:val="00567AB8"/>
    <w:rsid w:val="005708E3"/>
    <w:rsid w:val="00570C5D"/>
    <w:rsid w:val="00571FD8"/>
    <w:rsid w:val="0057266A"/>
    <w:rsid w:val="00573AD2"/>
    <w:rsid w:val="00577DF3"/>
    <w:rsid w:val="005814EF"/>
    <w:rsid w:val="005819D2"/>
    <w:rsid w:val="00582424"/>
    <w:rsid w:val="00582B21"/>
    <w:rsid w:val="0058649F"/>
    <w:rsid w:val="005A0FE1"/>
    <w:rsid w:val="005A274A"/>
    <w:rsid w:val="005A7244"/>
    <w:rsid w:val="005B0F9B"/>
    <w:rsid w:val="005B5482"/>
    <w:rsid w:val="005B5FA6"/>
    <w:rsid w:val="005B7EC3"/>
    <w:rsid w:val="005C2F10"/>
    <w:rsid w:val="005C405D"/>
    <w:rsid w:val="005C4795"/>
    <w:rsid w:val="005C53E1"/>
    <w:rsid w:val="005C6C6B"/>
    <w:rsid w:val="005D0AD6"/>
    <w:rsid w:val="005D138E"/>
    <w:rsid w:val="005D1655"/>
    <w:rsid w:val="005D26EE"/>
    <w:rsid w:val="005D574A"/>
    <w:rsid w:val="005D6663"/>
    <w:rsid w:val="005D6A4C"/>
    <w:rsid w:val="005D6BD4"/>
    <w:rsid w:val="005D783B"/>
    <w:rsid w:val="005E0764"/>
    <w:rsid w:val="005E176A"/>
    <w:rsid w:val="005E1E1D"/>
    <w:rsid w:val="005E2687"/>
    <w:rsid w:val="005E3011"/>
    <w:rsid w:val="005E50D8"/>
    <w:rsid w:val="005F1443"/>
    <w:rsid w:val="005F3902"/>
    <w:rsid w:val="005F43C9"/>
    <w:rsid w:val="005F5BE9"/>
    <w:rsid w:val="005F6548"/>
    <w:rsid w:val="006069B7"/>
    <w:rsid w:val="00606D40"/>
    <w:rsid w:val="0061209B"/>
    <w:rsid w:val="00616C0C"/>
    <w:rsid w:val="0061714B"/>
    <w:rsid w:val="00622CCB"/>
    <w:rsid w:val="0062459F"/>
    <w:rsid w:val="006264A2"/>
    <w:rsid w:val="00630CA2"/>
    <w:rsid w:val="00632295"/>
    <w:rsid w:val="00633574"/>
    <w:rsid w:val="00634305"/>
    <w:rsid w:val="00635DC6"/>
    <w:rsid w:val="006374D5"/>
    <w:rsid w:val="0064327D"/>
    <w:rsid w:val="006509C3"/>
    <w:rsid w:val="006512DA"/>
    <w:rsid w:val="006519FA"/>
    <w:rsid w:val="00653C5B"/>
    <w:rsid w:val="00653E42"/>
    <w:rsid w:val="00654DD7"/>
    <w:rsid w:val="00661699"/>
    <w:rsid w:val="00662872"/>
    <w:rsid w:val="00662A60"/>
    <w:rsid w:val="00665B11"/>
    <w:rsid w:val="00670363"/>
    <w:rsid w:val="006828EE"/>
    <w:rsid w:val="00682D55"/>
    <w:rsid w:val="00682F53"/>
    <w:rsid w:val="006835FC"/>
    <w:rsid w:val="00683D22"/>
    <w:rsid w:val="00684E8F"/>
    <w:rsid w:val="00684EE7"/>
    <w:rsid w:val="00686C18"/>
    <w:rsid w:val="00687832"/>
    <w:rsid w:val="00690CA4"/>
    <w:rsid w:val="0069159A"/>
    <w:rsid w:val="006927EB"/>
    <w:rsid w:val="006A30AE"/>
    <w:rsid w:val="006A3B24"/>
    <w:rsid w:val="006A6C35"/>
    <w:rsid w:val="006A7220"/>
    <w:rsid w:val="006B3384"/>
    <w:rsid w:val="006B48C3"/>
    <w:rsid w:val="006B77D3"/>
    <w:rsid w:val="006B7987"/>
    <w:rsid w:val="006C3346"/>
    <w:rsid w:val="006C5E6D"/>
    <w:rsid w:val="006C6DB6"/>
    <w:rsid w:val="006C739C"/>
    <w:rsid w:val="006D05DA"/>
    <w:rsid w:val="006D097B"/>
    <w:rsid w:val="006D28D2"/>
    <w:rsid w:val="006D294F"/>
    <w:rsid w:val="006D6349"/>
    <w:rsid w:val="006E23CC"/>
    <w:rsid w:val="006E5421"/>
    <w:rsid w:val="006E5548"/>
    <w:rsid w:val="006F0EED"/>
    <w:rsid w:val="006F55EE"/>
    <w:rsid w:val="00701246"/>
    <w:rsid w:val="007028CC"/>
    <w:rsid w:val="007032E6"/>
    <w:rsid w:val="00706A57"/>
    <w:rsid w:val="007108C5"/>
    <w:rsid w:val="00716553"/>
    <w:rsid w:val="00721478"/>
    <w:rsid w:val="00721C36"/>
    <w:rsid w:val="00723BA1"/>
    <w:rsid w:val="00732106"/>
    <w:rsid w:val="00732D5F"/>
    <w:rsid w:val="00732E1C"/>
    <w:rsid w:val="00734DB0"/>
    <w:rsid w:val="007413DE"/>
    <w:rsid w:val="00741859"/>
    <w:rsid w:val="00742AD7"/>
    <w:rsid w:val="007512AC"/>
    <w:rsid w:val="0075344A"/>
    <w:rsid w:val="007553A9"/>
    <w:rsid w:val="00756150"/>
    <w:rsid w:val="00761627"/>
    <w:rsid w:val="00763405"/>
    <w:rsid w:val="00763737"/>
    <w:rsid w:val="00764713"/>
    <w:rsid w:val="00764BE2"/>
    <w:rsid w:val="00765129"/>
    <w:rsid w:val="0077352F"/>
    <w:rsid w:val="007751B4"/>
    <w:rsid w:val="00775780"/>
    <w:rsid w:val="0077592E"/>
    <w:rsid w:val="00783F24"/>
    <w:rsid w:val="00784987"/>
    <w:rsid w:val="0078750B"/>
    <w:rsid w:val="007944F2"/>
    <w:rsid w:val="00794620"/>
    <w:rsid w:val="00794E7A"/>
    <w:rsid w:val="007A1137"/>
    <w:rsid w:val="007A1165"/>
    <w:rsid w:val="007A3D7F"/>
    <w:rsid w:val="007A5BEF"/>
    <w:rsid w:val="007B0903"/>
    <w:rsid w:val="007B10D1"/>
    <w:rsid w:val="007B4185"/>
    <w:rsid w:val="007B6669"/>
    <w:rsid w:val="007C0E9A"/>
    <w:rsid w:val="007C2AAD"/>
    <w:rsid w:val="007C5721"/>
    <w:rsid w:val="007D07B6"/>
    <w:rsid w:val="007D12E9"/>
    <w:rsid w:val="007D4568"/>
    <w:rsid w:val="007D562B"/>
    <w:rsid w:val="007E0C66"/>
    <w:rsid w:val="007E0FC6"/>
    <w:rsid w:val="007E261D"/>
    <w:rsid w:val="007E2E69"/>
    <w:rsid w:val="007E4332"/>
    <w:rsid w:val="007E5616"/>
    <w:rsid w:val="007E6401"/>
    <w:rsid w:val="007E6AA1"/>
    <w:rsid w:val="007F137F"/>
    <w:rsid w:val="007F611C"/>
    <w:rsid w:val="007F64BB"/>
    <w:rsid w:val="007F737E"/>
    <w:rsid w:val="007F7CE0"/>
    <w:rsid w:val="007F7CF2"/>
    <w:rsid w:val="00805352"/>
    <w:rsid w:val="00807410"/>
    <w:rsid w:val="00810FAA"/>
    <w:rsid w:val="00811E4E"/>
    <w:rsid w:val="00816668"/>
    <w:rsid w:val="00816EA3"/>
    <w:rsid w:val="00816EF6"/>
    <w:rsid w:val="00821583"/>
    <w:rsid w:val="00821A75"/>
    <w:rsid w:val="008232A3"/>
    <w:rsid w:val="00823BBE"/>
    <w:rsid w:val="00823CEB"/>
    <w:rsid w:val="008260E2"/>
    <w:rsid w:val="00826BCA"/>
    <w:rsid w:val="00827A9B"/>
    <w:rsid w:val="00827EC9"/>
    <w:rsid w:val="008315EB"/>
    <w:rsid w:val="0083162E"/>
    <w:rsid w:val="008318FE"/>
    <w:rsid w:val="00841419"/>
    <w:rsid w:val="00843384"/>
    <w:rsid w:val="00844E22"/>
    <w:rsid w:val="00845CC3"/>
    <w:rsid w:val="008515BA"/>
    <w:rsid w:val="00851ECF"/>
    <w:rsid w:val="00852468"/>
    <w:rsid w:val="0085266A"/>
    <w:rsid w:val="00853ECD"/>
    <w:rsid w:val="00854468"/>
    <w:rsid w:val="0085624A"/>
    <w:rsid w:val="0085666E"/>
    <w:rsid w:val="00857177"/>
    <w:rsid w:val="0086318B"/>
    <w:rsid w:val="00866A62"/>
    <w:rsid w:val="00867617"/>
    <w:rsid w:val="0087220B"/>
    <w:rsid w:val="008751D0"/>
    <w:rsid w:val="00876027"/>
    <w:rsid w:val="00881D4B"/>
    <w:rsid w:val="008824F4"/>
    <w:rsid w:val="008846E0"/>
    <w:rsid w:val="00884B8F"/>
    <w:rsid w:val="0088543F"/>
    <w:rsid w:val="008864A2"/>
    <w:rsid w:val="00890012"/>
    <w:rsid w:val="00890462"/>
    <w:rsid w:val="0089266B"/>
    <w:rsid w:val="00893FB0"/>
    <w:rsid w:val="00894BC9"/>
    <w:rsid w:val="00896AFE"/>
    <w:rsid w:val="008A13E7"/>
    <w:rsid w:val="008A3C34"/>
    <w:rsid w:val="008A6054"/>
    <w:rsid w:val="008B4144"/>
    <w:rsid w:val="008B4693"/>
    <w:rsid w:val="008B500B"/>
    <w:rsid w:val="008B6AF0"/>
    <w:rsid w:val="008B6E59"/>
    <w:rsid w:val="008C04EB"/>
    <w:rsid w:val="008C07AE"/>
    <w:rsid w:val="008C0D2C"/>
    <w:rsid w:val="008C3203"/>
    <w:rsid w:val="008C3858"/>
    <w:rsid w:val="008C5934"/>
    <w:rsid w:val="008D5A1A"/>
    <w:rsid w:val="008D709C"/>
    <w:rsid w:val="008E0792"/>
    <w:rsid w:val="008E0E04"/>
    <w:rsid w:val="008E3D99"/>
    <w:rsid w:val="008E567F"/>
    <w:rsid w:val="008E5A9F"/>
    <w:rsid w:val="008F607C"/>
    <w:rsid w:val="008F6BE1"/>
    <w:rsid w:val="008F6DB2"/>
    <w:rsid w:val="00905F31"/>
    <w:rsid w:val="00906C80"/>
    <w:rsid w:val="00907AC7"/>
    <w:rsid w:val="009112F9"/>
    <w:rsid w:val="00913BDF"/>
    <w:rsid w:val="00920976"/>
    <w:rsid w:val="009210CF"/>
    <w:rsid w:val="009217B9"/>
    <w:rsid w:val="009333CF"/>
    <w:rsid w:val="00933F97"/>
    <w:rsid w:val="0093627E"/>
    <w:rsid w:val="009364EC"/>
    <w:rsid w:val="00936793"/>
    <w:rsid w:val="00937780"/>
    <w:rsid w:val="0094030E"/>
    <w:rsid w:val="009422C4"/>
    <w:rsid w:val="009435E0"/>
    <w:rsid w:val="00945168"/>
    <w:rsid w:val="00952E18"/>
    <w:rsid w:val="00954DA8"/>
    <w:rsid w:val="00956618"/>
    <w:rsid w:val="00956820"/>
    <w:rsid w:val="00961BFD"/>
    <w:rsid w:val="009626E6"/>
    <w:rsid w:val="009633CC"/>
    <w:rsid w:val="00963435"/>
    <w:rsid w:val="00964A3C"/>
    <w:rsid w:val="00966987"/>
    <w:rsid w:val="00967DAC"/>
    <w:rsid w:val="009704DB"/>
    <w:rsid w:val="0097584D"/>
    <w:rsid w:val="009801AF"/>
    <w:rsid w:val="00981D30"/>
    <w:rsid w:val="00982221"/>
    <w:rsid w:val="00983538"/>
    <w:rsid w:val="00986BD3"/>
    <w:rsid w:val="00992B34"/>
    <w:rsid w:val="0099427E"/>
    <w:rsid w:val="00995522"/>
    <w:rsid w:val="009959CF"/>
    <w:rsid w:val="009959E6"/>
    <w:rsid w:val="009A32DC"/>
    <w:rsid w:val="009B03C0"/>
    <w:rsid w:val="009B11D1"/>
    <w:rsid w:val="009B2E24"/>
    <w:rsid w:val="009B461D"/>
    <w:rsid w:val="009B4C26"/>
    <w:rsid w:val="009B78C5"/>
    <w:rsid w:val="009C0AE3"/>
    <w:rsid w:val="009D2EF6"/>
    <w:rsid w:val="009D6B25"/>
    <w:rsid w:val="009D7EA2"/>
    <w:rsid w:val="009E3621"/>
    <w:rsid w:val="009E42CB"/>
    <w:rsid w:val="009E6A4E"/>
    <w:rsid w:val="009F2CE8"/>
    <w:rsid w:val="009F4EBD"/>
    <w:rsid w:val="009F5D46"/>
    <w:rsid w:val="009F6E60"/>
    <w:rsid w:val="009F7241"/>
    <w:rsid w:val="00A0105A"/>
    <w:rsid w:val="00A0628B"/>
    <w:rsid w:val="00A06566"/>
    <w:rsid w:val="00A07A27"/>
    <w:rsid w:val="00A126B5"/>
    <w:rsid w:val="00A12EC8"/>
    <w:rsid w:val="00A14F2A"/>
    <w:rsid w:val="00A15339"/>
    <w:rsid w:val="00A21321"/>
    <w:rsid w:val="00A213F4"/>
    <w:rsid w:val="00A221F3"/>
    <w:rsid w:val="00A255CE"/>
    <w:rsid w:val="00A318A1"/>
    <w:rsid w:val="00A330AF"/>
    <w:rsid w:val="00A33830"/>
    <w:rsid w:val="00A35F0D"/>
    <w:rsid w:val="00A369F3"/>
    <w:rsid w:val="00A372C2"/>
    <w:rsid w:val="00A41B1C"/>
    <w:rsid w:val="00A42181"/>
    <w:rsid w:val="00A450E8"/>
    <w:rsid w:val="00A45539"/>
    <w:rsid w:val="00A46401"/>
    <w:rsid w:val="00A4679A"/>
    <w:rsid w:val="00A50AF0"/>
    <w:rsid w:val="00A523A6"/>
    <w:rsid w:val="00A54F7B"/>
    <w:rsid w:val="00A5723C"/>
    <w:rsid w:val="00A620FA"/>
    <w:rsid w:val="00A667BD"/>
    <w:rsid w:val="00A7091C"/>
    <w:rsid w:val="00A7107D"/>
    <w:rsid w:val="00A7509D"/>
    <w:rsid w:val="00A7640C"/>
    <w:rsid w:val="00A7646D"/>
    <w:rsid w:val="00A77E6D"/>
    <w:rsid w:val="00A82600"/>
    <w:rsid w:val="00A84829"/>
    <w:rsid w:val="00A854EC"/>
    <w:rsid w:val="00A86A82"/>
    <w:rsid w:val="00A86CC0"/>
    <w:rsid w:val="00A90F94"/>
    <w:rsid w:val="00A9189A"/>
    <w:rsid w:val="00A91ED8"/>
    <w:rsid w:val="00A9224A"/>
    <w:rsid w:val="00A94FEB"/>
    <w:rsid w:val="00A95D10"/>
    <w:rsid w:val="00A974C3"/>
    <w:rsid w:val="00A97630"/>
    <w:rsid w:val="00AA0A24"/>
    <w:rsid w:val="00AA2462"/>
    <w:rsid w:val="00AA24FC"/>
    <w:rsid w:val="00AA4182"/>
    <w:rsid w:val="00AA567C"/>
    <w:rsid w:val="00AA5FE7"/>
    <w:rsid w:val="00AB1073"/>
    <w:rsid w:val="00AB2777"/>
    <w:rsid w:val="00AB6C86"/>
    <w:rsid w:val="00AD0846"/>
    <w:rsid w:val="00AD163B"/>
    <w:rsid w:val="00AD2E1A"/>
    <w:rsid w:val="00AD47CD"/>
    <w:rsid w:val="00AD6840"/>
    <w:rsid w:val="00AE1AF4"/>
    <w:rsid w:val="00AE5EF6"/>
    <w:rsid w:val="00AF1450"/>
    <w:rsid w:val="00AF277A"/>
    <w:rsid w:val="00AF2F5D"/>
    <w:rsid w:val="00AF3CB8"/>
    <w:rsid w:val="00AF6272"/>
    <w:rsid w:val="00AF66E3"/>
    <w:rsid w:val="00AF72B9"/>
    <w:rsid w:val="00AF7672"/>
    <w:rsid w:val="00B01D34"/>
    <w:rsid w:val="00B03581"/>
    <w:rsid w:val="00B03650"/>
    <w:rsid w:val="00B053E5"/>
    <w:rsid w:val="00B05FD1"/>
    <w:rsid w:val="00B1166A"/>
    <w:rsid w:val="00B13DDC"/>
    <w:rsid w:val="00B1746D"/>
    <w:rsid w:val="00B20093"/>
    <w:rsid w:val="00B219D9"/>
    <w:rsid w:val="00B241E6"/>
    <w:rsid w:val="00B266B5"/>
    <w:rsid w:val="00B26978"/>
    <w:rsid w:val="00B277B6"/>
    <w:rsid w:val="00B306D5"/>
    <w:rsid w:val="00B30DF2"/>
    <w:rsid w:val="00B3324E"/>
    <w:rsid w:val="00B34ABF"/>
    <w:rsid w:val="00B41A34"/>
    <w:rsid w:val="00B47370"/>
    <w:rsid w:val="00B5140D"/>
    <w:rsid w:val="00B557D7"/>
    <w:rsid w:val="00B5695C"/>
    <w:rsid w:val="00B56BFF"/>
    <w:rsid w:val="00B5706D"/>
    <w:rsid w:val="00B575C8"/>
    <w:rsid w:val="00B60411"/>
    <w:rsid w:val="00B63297"/>
    <w:rsid w:val="00B63472"/>
    <w:rsid w:val="00B703B9"/>
    <w:rsid w:val="00B7141E"/>
    <w:rsid w:val="00B7174F"/>
    <w:rsid w:val="00B726AA"/>
    <w:rsid w:val="00B81293"/>
    <w:rsid w:val="00B85DBD"/>
    <w:rsid w:val="00B86194"/>
    <w:rsid w:val="00B87282"/>
    <w:rsid w:val="00B9017C"/>
    <w:rsid w:val="00B941F2"/>
    <w:rsid w:val="00B94CB3"/>
    <w:rsid w:val="00B95AF3"/>
    <w:rsid w:val="00B95B51"/>
    <w:rsid w:val="00B96AE4"/>
    <w:rsid w:val="00B97154"/>
    <w:rsid w:val="00B9740C"/>
    <w:rsid w:val="00B976A9"/>
    <w:rsid w:val="00BB6A7D"/>
    <w:rsid w:val="00BB6B10"/>
    <w:rsid w:val="00BB72D1"/>
    <w:rsid w:val="00BC1AF5"/>
    <w:rsid w:val="00BC20D3"/>
    <w:rsid w:val="00BC2435"/>
    <w:rsid w:val="00BC4566"/>
    <w:rsid w:val="00BC4FED"/>
    <w:rsid w:val="00BD1562"/>
    <w:rsid w:val="00BD357C"/>
    <w:rsid w:val="00BD3910"/>
    <w:rsid w:val="00BD680A"/>
    <w:rsid w:val="00BD6BDF"/>
    <w:rsid w:val="00BD7328"/>
    <w:rsid w:val="00BE0778"/>
    <w:rsid w:val="00BE395C"/>
    <w:rsid w:val="00BE3BA4"/>
    <w:rsid w:val="00BE439C"/>
    <w:rsid w:val="00BE5D58"/>
    <w:rsid w:val="00BE6B1C"/>
    <w:rsid w:val="00BE7093"/>
    <w:rsid w:val="00BF1B39"/>
    <w:rsid w:val="00BF3AD4"/>
    <w:rsid w:val="00BF6F49"/>
    <w:rsid w:val="00BF7EA5"/>
    <w:rsid w:val="00C0028A"/>
    <w:rsid w:val="00C00600"/>
    <w:rsid w:val="00C02A4B"/>
    <w:rsid w:val="00C04196"/>
    <w:rsid w:val="00C0485E"/>
    <w:rsid w:val="00C05634"/>
    <w:rsid w:val="00C05875"/>
    <w:rsid w:val="00C05DEC"/>
    <w:rsid w:val="00C06C1C"/>
    <w:rsid w:val="00C10394"/>
    <w:rsid w:val="00C11460"/>
    <w:rsid w:val="00C25018"/>
    <w:rsid w:val="00C268EA"/>
    <w:rsid w:val="00C30230"/>
    <w:rsid w:val="00C35B43"/>
    <w:rsid w:val="00C42B0D"/>
    <w:rsid w:val="00C42DAC"/>
    <w:rsid w:val="00C4463D"/>
    <w:rsid w:val="00C460B1"/>
    <w:rsid w:val="00C46A3D"/>
    <w:rsid w:val="00C50C5F"/>
    <w:rsid w:val="00C50CC8"/>
    <w:rsid w:val="00C629A4"/>
    <w:rsid w:val="00C64E74"/>
    <w:rsid w:val="00C66159"/>
    <w:rsid w:val="00C667D3"/>
    <w:rsid w:val="00C81426"/>
    <w:rsid w:val="00C8389C"/>
    <w:rsid w:val="00C843E8"/>
    <w:rsid w:val="00C86766"/>
    <w:rsid w:val="00C90E2C"/>
    <w:rsid w:val="00C9105F"/>
    <w:rsid w:val="00C942FE"/>
    <w:rsid w:val="00CA39F0"/>
    <w:rsid w:val="00CA3E7A"/>
    <w:rsid w:val="00CA4692"/>
    <w:rsid w:val="00CA6225"/>
    <w:rsid w:val="00CA6A9D"/>
    <w:rsid w:val="00CA724F"/>
    <w:rsid w:val="00CB0150"/>
    <w:rsid w:val="00CB042D"/>
    <w:rsid w:val="00CB0BB3"/>
    <w:rsid w:val="00CB59AD"/>
    <w:rsid w:val="00CC55DF"/>
    <w:rsid w:val="00CC6E70"/>
    <w:rsid w:val="00CC7DDC"/>
    <w:rsid w:val="00CD0E54"/>
    <w:rsid w:val="00CD104B"/>
    <w:rsid w:val="00CD324E"/>
    <w:rsid w:val="00CD485D"/>
    <w:rsid w:val="00CD5124"/>
    <w:rsid w:val="00CD59D0"/>
    <w:rsid w:val="00CE0471"/>
    <w:rsid w:val="00CE0757"/>
    <w:rsid w:val="00CE11DC"/>
    <w:rsid w:val="00CE1752"/>
    <w:rsid w:val="00CE212A"/>
    <w:rsid w:val="00CE472B"/>
    <w:rsid w:val="00CE4DA9"/>
    <w:rsid w:val="00CE7847"/>
    <w:rsid w:val="00CF02C1"/>
    <w:rsid w:val="00CF2B68"/>
    <w:rsid w:val="00CF31FF"/>
    <w:rsid w:val="00CF594C"/>
    <w:rsid w:val="00CF6697"/>
    <w:rsid w:val="00CF770E"/>
    <w:rsid w:val="00D003E8"/>
    <w:rsid w:val="00D01CED"/>
    <w:rsid w:val="00D074CD"/>
    <w:rsid w:val="00D07FE9"/>
    <w:rsid w:val="00D102CB"/>
    <w:rsid w:val="00D14E7F"/>
    <w:rsid w:val="00D15EAE"/>
    <w:rsid w:val="00D17F4A"/>
    <w:rsid w:val="00D239E9"/>
    <w:rsid w:val="00D26880"/>
    <w:rsid w:val="00D26A8D"/>
    <w:rsid w:val="00D27A0E"/>
    <w:rsid w:val="00D30125"/>
    <w:rsid w:val="00D339AB"/>
    <w:rsid w:val="00D33FD4"/>
    <w:rsid w:val="00D34423"/>
    <w:rsid w:val="00D366BF"/>
    <w:rsid w:val="00D41192"/>
    <w:rsid w:val="00D41932"/>
    <w:rsid w:val="00D4251C"/>
    <w:rsid w:val="00D443ED"/>
    <w:rsid w:val="00D46DE2"/>
    <w:rsid w:val="00D4746D"/>
    <w:rsid w:val="00D51B9E"/>
    <w:rsid w:val="00D55D5C"/>
    <w:rsid w:val="00D567CA"/>
    <w:rsid w:val="00D56F16"/>
    <w:rsid w:val="00D606AE"/>
    <w:rsid w:val="00D6386D"/>
    <w:rsid w:val="00D65EBF"/>
    <w:rsid w:val="00D7508B"/>
    <w:rsid w:val="00D858B0"/>
    <w:rsid w:val="00D95EAA"/>
    <w:rsid w:val="00D96027"/>
    <w:rsid w:val="00DA1316"/>
    <w:rsid w:val="00DA41AC"/>
    <w:rsid w:val="00DA4F79"/>
    <w:rsid w:val="00DA6A65"/>
    <w:rsid w:val="00DB3971"/>
    <w:rsid w:val="00DB4FA6"/>
    <w:rsid w:val="00DC024C"/>
    <w:rsid w:val="00DC3862"/>
    <w:rsid w:val="00DC414E"/>
    <w:rsid w:val="00DC4F9D"/>
    <w:rsid w:val="00DC5BD0"/>
    <w:rsid w:val="00DC677C"/>
    <w:rsid w:val="00DD2F96"/>
    <w:rsid w:val="00DD38A2"/>
    <w:rsid w:val="00DD7903"/>
    <w:rsid w:val="00DD7D1B"/>
    <w:rsid w:val="00DE17A1"/>
    <w:rsid w:val="00DE209B"/>
    <w:rsid w:val="00DE523A"/>
    <w:rsid w:val="00DE5AA8"/>
    <w:rsid w:val="00DE79C1"/>
    <w:rsid w:val="00DF2877"/>
    <w:rsid w:val="00DF2A8F"/>
    <w:rsid w:val="00DF65CB"/>
    <w:rsid w:val="00E0067C"/>
    <w:rsid w:val="00E01800"/>
    <w:rsid w:val="00E07172"/>
    <w:rsid w:val="00E07530"/>
    <w:rsid w:val="00E10BFA"/>
    <w:rsid w:val="00E112E0"/>
    <w:rsid w:val="00E12651"/>
    <w:rsid w:val="00E14FF7"/>
    <w:rsid w:val="00E17044"/>
    <w:rsid w:val="00E223A7"/>
    <w:rsid w:val="00E25109"/>
    <w:rsid w:val="00E2709F"/>
    <w:rsid w:val="00E31601"/>
    <w:rsid w:val="00E32EAF"/>
    <w:rsid w:val="00E35EA3"/>
    <w:rsid w:val="00E37202"/>
    <w:rsid w:val="00E50781"/>
    <w:rsid w:val="00E51235"/>
    <w:rsid w:val="00E51E48"/>
    <w:rsid w:val="00E53900"/>
    <w:rsid w:val="00E540FB"/>
    <w:rsid w:val="00E5771C"/>
    <w:rsid w:val="00E57FCE"/>
    <w:rsid w:val="00E6217F"/>
    <w:rsid w:val="00E624A8"/>
    <w:rsid w:val="00E63088"/>
    <w:rsid w:val="00E63D89"/>
    <w:rsid w:val="00E72AD7"/>
    <w:rsid w:val="00E73E1B"/>
    <w:rsid w:val="00E74F12"/>
    <w:rsid w:val="00E80B4F"/>
    <w:rsid w:val="00E81B4B"/>
    <w:rsid w:val="00E81C59"/>
    <w:rsid w:val="00E82D8D"/>
    <w:rsid w:val="00E86AF5"/>
    <w:rsid w:val="00E86BF9"/>
    <w:rsid w:val="00E86E9E"/>
    <w:rsid w:val="00E87660"/>
    <w:rsid w:val="00E87D8E"/>
    <w:rsid w:val="00E90E7B"/>
    <w:rsid w:val="00E92445"/>
    <w:rsid w:val="00E931D3"/>
    <w:rsid w:val="00E95626"/>
    <w:rsid w:val="00E977C3"/>
    <w:rsid w:val="00EA3FC5"/>
    <w:rsid w:val="00EB04F6"/>
    <w:rsid w:val="00EB1194"/>
    <w:rsid w:val="00EB2D08"/>
    <w:rsid w:val="00EC0759"/>
    <w:rsid w:val="00EC2662"/>
    <w:rsid w:val="00EC2A47"/>
    <w:rsid w:val="00EC75CD"/>
    <w:rsid w:val="00ED1340"/>
    <w:rsid w:val="00ED2AF7"/>
    <w:rsid w:val="00ED2C5E"/>
    <w:rsid w:val="00ED2E0B"/>
    <w:rsid w:val="00ED3790"/>
    <w:rsid w:val="00ED4917"/>
    <w:rsid w:val="00EE5266"/>
    <w:rsid w:val="00EE6587"/>
    <w:rsid w:val="00EF0482"/>
    <w:rsid w:val="00EF1AE3"/>
    <w:rsid w:val="00EF1E97"/>
    <w:rsid w:val="00EF5786"/>
    <w:rsid w:val="00EF57F6"/>
    <w:rsid w:val="00EF7058"/>
    <w:rsid w:val="00F02239"/>
    <w:rsid w:val="00F067CD"/>
    <w:rsid w:val="00F10A4D"/>
    <w:rsid w:val="00F1122F"/>
    <w:rsid w:val="00F11962"/>
    <w:rsid w:val="00F11A8C"/>
    <w:rsid w:val="00F13B0F"/>
    <w:rsid w:val="00F16CFA"/>
    <w:rsid w:val="00F20152"/>
    <w:rsid w:val="00F2029D"/>
    <w:rsid w:val="00F2287D"/>
    <w:rsid w:val="00F259FF"/>
    <w:rsid w:val="00F2675B"/>
    <w:rsid w:val="00F34A23"/>
    <w:rsid w:val="00F3520B"/>
    <w:rsid w:val="00F36146"/>
    <w:rsid w:val="00F37BCA"/>
    <w:rsid w:val="00F42221"/>
    <w:rsid w:val="00F50752"/>
    <w:rsid w:val="00F521F6"/>
    <w:rsid w:val="00F535F0"/>
    <w:rsid w:val="00F56B99"/>
    <w:rsid w:val="00F57E13"/>
    <w:rsid w:val="00F60AEB"/>
    <w:rsid w:val="00F61BFF"/>
    <w:rsid w:val="00F62656"/>
    <w:rsid w:val="00F637A9"/>
    <w:rsid w:val="00F64796"/>
    <w:rsid w:val="00F64E22"/>
    <w:rsid w:val="00F65546"/>
    <w:rsid w:val="00F74FD3"/>
    <w:rsid w:val="00F758AF"/>
    <w:rsid w:val="00F76D74"/>
    <w:rsid w:val="00F77D3A"/>
    <w:rsid w:val="00F80FFB"/>
    <w:rsid w:val="00F82B48"/>
    <w:rsid w:val="00F84824"/>
    <w:rsid w:val="00F91F30"/>
    <w:rsid w:val="00F95156"/>
    <w:rsid w:val="00F96357"/>
    <w:rsid w:val="00F965CB"/>
    <w:rsid w:val="00FA1698"/>
    <w:rsid w:val="00FA71B4"/>
    <w:rsid w:val="00FA78EC"/>
    <w:rsid w:val="00FA7F65"/>
    <w:rsid w:val="00FA7FA8"/>
    <w:rsid w:val="00FB2B44"/>
    <w:rsid w:val="00FB4AEA"/>
    <w:rsid w:val="00FB56E8"/>
    <w:rsid w:val="00FB7A96"/>
    <w:rsid w:val="00FC5035"/>
    <w:rsid w:val="00FC6130"/>
    <w:rsid w:val="00FC67F6"/>
    <w:rsid w:val="00FD09D5"/>
    <w:rsid w:val="00FD17C4"/>
    <w:rsid w:val="00FD3F89"/>
    <w:rsid w:val="00FD4B4B"/>
    <w:rsid w:val="00FD51AB"/>
    <w:rsid w:val="00FE3F87"/>
    <w:rsid w:val="00FE4CBF"/>
    <w:rsid w:val="00FE57BD"/>
    <w:rsid w:val="00FE6FD3"/>
    <w:rsid w:val="00FE793B"/>
    <w:rsid w:val="00FE7CBC"/>
    <w:rsid w:val="00FF3F82"/>
    <w:rsid w:val="00FF5EDB"/>
    <w:rsid w:val="00FF7768"/>
    <w:rsid w:val="0221686F"/>
    <w:rsid w:val="03515007"/>
    <w:rsid w:val="03F07896"/>
    <w:rsid w:val="07FA170D"/>
    <w:rsid w:val="099C34C6"/>
    <w:rsid w:val="0B7C75D6"/>
    <w:rsid w:val="194A486A"/>
    <w:rsid w:val="1A146ADF"/>
    <w:rsid w:val="1B9209D8"/>
    <w:rsid w:val="23F01C97"/>
    <w:rsid w:val="26606D3F"/>
    <w:rsid w:val="2D476F1E"/>
    <w:rsid w:val="2F80593D"/>
    <w:rsid w:val="31527E20"/>
    <w:rsid w:val="31F24332"/>
    <w:rsid w:val="340C15B2"/>
    <w:rsid w:val="34C312DF"/>
    <w:rsid w:val="35EF2ADD"/>
    <w:rsid w:val="41B941A1"/>
    <w:rsid w:val="42F33F3D"/>
    <w:rsid w:val="439F4FD6"/>
    <w:rsid w:val="4A366734"/>
    <w:rsid w:val="4A8D7CA9"/>
    <w:rsid w:val="4C6304F3"/>
    <w:rsid w:val="5D864CC5"/>
    <w:rsid w:val="5E9B3687"/>
    <w:rsid w:val="624039D2"/>
    <w:rsid w:val="6B6C2010"/>
    <w:rsid w:val="6E007AD4"/>
    <w:rsid w:val="6EC66E51"/>
    <w:rsid w:val="6F2362BE"/>
    <w:rsid w:val="6FDF2A44"/>
    <w:rsid w:val="71426A3F"/>
    <w:rsid w:val="715441E6"/>
    <w:rsid w:val="72715C96"/>
    <w:rsid w:val="7726202F"/>
    <w:rsid w:val="77B81900"/>
    <w:rsid w:val="7B9B7D32"/>
    <w:rsid w:val="7D09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09952CF"/>
  <w15:docId w15:val="{B24A89F1-54F6-421E-9931-B031D944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A8F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semiHidden/>
    <w:unhideWhenUsed/>
    <w:qFormat/>
    <w:rsid w:val="00DF2A8F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DF2A8F"/>
    <w:pPr>
      <w:shd w:val="clear" w:color="auto" w:fill="000080"/>
    </w:pPr>
  </w:style>
  <w:style w:type="paragraph" w:styleId="a4">
    <w:name w:val="annotation text"/>
    <w:basedOn w:val="a"/>
    <w:link w:val="a5"/>
    <w:uiPriority w:val="99"/>
    <w:semiHidden/>
    <w:qFormat/>
    <w:rsid w:val="00DF2A8F"/>
    <w:pPr>
      <w:jc w:val="left"/>
    </w:pPr>
  </w:style>
  <w:style w:type="paragraph" w:styleId="a6">
    <w:name w:val="Body Text Indent"/>
    <w:basedOn w:val="a"/>
    <w:qFormat/>
    <w:rsid w:val="00DF2A8F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qFormat/>
    <w:rsid w:val="00DF2A8F"/>
    <w:rPr>
      <w:rFonts w:ascii="宋体" w:hAnsi="Courier New"/>
    </w:rPr>
  </w:style>
  <w:style w:type="paragraph" w:styleId="a8">
    <w:name w:val="Date"/>
    <w:basedOn w:val="a"/>
    <w:next w:val="a"/>
    <w:link w:val="a9"/>
    <w:qFormat/>
    <w:rsid w:val="00DF2A8F"/>
    <w:rPr>
      <w:sz w:val="24"/>
    </w:rPr>
  </w:style>
  <w:style w:type="paragraph" w:styleId="2">
    <w:name w:val="Body Text Indent 2"/>
    <w:basedOn w:val="a"/>
    <w:qFormat/>
    <w:rsid w:val="00DF2A8F"/>
    <w:pPr>
      <w:ind w:firstLine="539"/>
    </w:pPr>
    <w:rPr>
      <w:color w:val="FF0000"/>
    </w:rPr>
  </w:style>
  <w:style w:type="paragraph" w:styleId="aa">
    <w:name w:val="Balloon Text"/>
    <w:basedOn w:val="a"/>
    <w:semiHidden/>
    <w:qFormat/>
    <w:rsid w:val="00DF2A8F"/>
    <w:rPr>
      <w:sz w:val="18"/>
      <w:szCs w:val="18"/>
    </w:rPr>
  </w:style>
  <w:style w:type="paragraph" w:styleId="ab">
    <w:name w:val="footer"/>
    <w:basedOn w:val="a"/>
    <w:qFormat/>
    <w:rsid w:val="00DF2A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link w:val="ad"/>
    <w:qFormat/>
    <w:rsid w:val="00DF2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rsid w:val="00DF2A8F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DF2A8F"/>
    <w:rPr>
      <w:rFonts w:eastAsia="楷体_GB2312"/>
      <w:sz w:val="28"/>
      <w:szCs w:val="24"/>
    </w:rPr>
  </w:style>
  <w:style w:type="paragraph" w:styleId="ae">
    <w:name w:val="annotation subject"/>
    <w:basedOn w:val="a4"/>
    <w:next w:val="a4"/>
    <w:semiHidden/>
    <w:qFormat/>
    <w:rsid w:val="00DF2A8F"/>
    <w:rPr>
      <w:b/>
      <w:bCs/>
    </w:rPr>
  </w:style>
  <w:style w:type="table" w:styleId="af">
    <w:name w:val="Table Grid"/>
    <w:basedOn w:val="a1"/>
    <w:uiPriority w:val="59"/>
    <w:qFormat/>
    <w:rsid w:val="00DF2A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Table Colorful 2"/>
    <w:basedOn w:val="a1"/>
    <w:qFormat/>
    <w:rsid w:val="00DF2A8F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af0">
    <w:name w:val="page number"/>
    <w:basedOn w:val="a0"/>
    <w:qFormat/>
    <w:rsid w:val="00DF2A8F"/>
  </w:style>
  <w:style w:type="character" w:styleId="af1">
    <w:name w:val="FollowedHyperlink"/>
    <w:basedOn w:val="a0"/>
    <w:qFormat/>
    <w:rsid w:val="00DF2A8F"/>
    <w:rPr>
      <w:color w:val="800080"/>
      <w:u w:val="single"/>
    </w:rPr>
  </w:style>
  <w:style w:type="character" w:styleId="af2">
    <w:name w:val="Hyperlink"/>
    <w:basedOn w:val="a0"/>
    <w:qFormat/>
    <w:rsid w:val="00DF2A8F"/>
    <w:rPr>
      <w:color w:val="0000FF"/>
      <w:u w:val="single"/>
    </w:rPr>
  </w:style>
  <w:style w:type="character" w:styleId="af3">
    <w:name w:val="annotation reference"/>
    <w:basedOn w:val="a0"/>
    <w:semiHidden/>
    <w:qFormat/>
    <w:rsid w:val="00DF2A8F"/>
    <w:rPr>
      <w:sz w:val="21"/>
      <w:szCs w:val="21"/>
    </w:rPr>
  </w:style>
  <w:style w:type="paragraph" w:customStyle="1" w:styleId="10">
    <w:name w:val="正文1"/>
    <w:qFormat/>
    <w:rsid w:val="00DF2A8F"/>
    <w:pPr>
      <w:jc w:val="both"/>
    </w:pPr>
    <w:rPr>
      <w:rFonts w:ascii="Times New Roman" w:eastAsia="PMingLiU" w:hAnsi="Times New Roman"/>
      <w:kern w:val="2"/>
      <w:sz w:val="24"/>
      <w:lang w:eastAsia="zh-TW"/>
    </w:rPr>
  </w:style>
  <w:style w:type="paragraph" w:customStyle="1" w:styleId="ParaCharCharCharCharCharCharChar">
    <w:name w:val="默认段落字体 Para Char Char Char Char Char Char Char"/>
    <w:basedOn w:val="a"/>
    <w:qFormat/>
    <w:rsid w:val="00DF2A8F"/>
    <w:rPr>
      <w:rFonts w:ascii="Tahoma" w:hAnsi="Tahoma"/>
      <w:sz w:val="24"/>
    </w:rPr>
  </w:style>
  <w:style w:type="paragraph" w:customStyle="1" w:styleId="CharCharCharCharCharChar">
    <w:name w:val="Char Char Char Char 字元 字元 Char Char 字元 字元"/>
    <w:basedOn w:val="a"/>
    <w:qFormat/>
    <w:rsid w:val="00DF2A8F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Default">
    <w:name w:val="Default"/>
    <w:qFormat/>
    <w:rsid w:val="00DF2A8F"/>
    <w:pPr>
      <w:widowControl w:val="0"/>
      <w:autoSpaceDE w:val="0"/>
      <w:autoSpaceDN w:val="0"/>
      <w:adjustRightInd w:val="0"/>
    </w:pPr>
    <w:rPr>
      <w:rFonts w:ascii=".." w:eastAsia=".." w:hAnsi="Times New Roman"/>
      <w:color w:val="000000"/>
      <w:sz w:val="24"/>
      <w:szCs w:val="24"/>
    </w:rPr>
  </w:style>
  <w:style w:type="paragraph" w:customStyle="1" w:styleId="CharCharChar1Char">
    <w:name w:val="Char Char Char1 Char"/>
    <w:basedOn w:val="a3"/>
    <w:qFormat/>
    <w:rsid w:val="00DF2A8F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ad">
    <w:name w:val="页眉 字符"/>
    <w:basedOn w:val="a0"/>
    <w:link w:val="ac"/>
    <w:qFormat/>
    <w:rsid w:val="00DF2A8F"/>
    <w:rPr>
      <w:kern w:val="2"/>
      <w:sz w:val="18"/>
      <w:szCs w:val="18"/>
    </w:rPr>
  </w:style>
  <w:style w:type="character" w:customStyle="1" w:styleId="a5">
    <w:name w:val="批注文字 字符"/>
    <w:link w:val="a4"/>
    <w:uiPriority w:val="99"/>
    <w:semiHidden/>
    <w:qFormat/>
    <w:rsid w:val="00DF2A8F"/>
    <w:rPr>
      <w:kern w:val="2"/>
      <w:sz w:val="21"/>
    </w:rPr>
  </w:style>
  <w:style w:type="character" w:customStyle="1" w:styleId="a9">
    <w:name w:val="日期 字符"/>
    <w:basedOn w:val="a0"/>
    <w:link w:val="a8"/>
    <w:qFormat/>
    <w:rsid w:val="00DF2A8F"/>
    <w:rPr>
      <w:kern w:val="2"/>
      <w:sz w:val="24"/>
    </w:rPr>
  </w:style>
  <w:style w:type="paragraph" w:customStyle="1" w:styleId="Af4">
    <w:name w:val="正文 A"/>
    <w:uiPriority w:val="99"/>
    <w:rsid w:val="00DF2A8F"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Times New Roman" w:hAnsi="Times New Roman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DAC833-1C32-4650-A7C7-863CF081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449</Words>
  <Characters>2440</Characters>
  <Application>Microsoft Office Word</Application>
  <DocSecurity>0</DocSecurity>
  <Lines>73</Lines>
  <Paragraphs>32</Paragraphs>
  <ScaleCrop>false</ScaleCrop>
  <Company>csc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金 建德</cp:lastModifiedBy>
  <cp:revision>70</cp:revision>
  <cp:lastPrinted>2019-12-02T00:13:00Z</cp:lastPrinted>
  <dcterms:created xsi:type="dcterms:W3CDTF">2019-03-22T06:32:00Z</dcterms:created>
  <dcterms:modified xsi:type="dcterms:W3CDTF">2019-12-04T01:44:00Z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