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B1" w:rsidRPr="004E046C" w:rsidRDefault="00A8780A">
      <w:pPr>
        <w:spacing w:line="360" w:lineRule="auto"/>
        <w:jc w:val="center"/>
        <w:rPr>
          <w:rFonts w:ascii="黑体" w:eastAsia="黑体" w:hAnsi="黑体"/>
          <w:color w:val="000000"/>
        </w:rPr>
      </w:pPr>
      <w:r w:rsidRPr="004E046C">
        <w:rPr>
          <w:rFonts w:ascii="黑体" w:eastAsia="黑体" w:hAnsi="黑体"/>
          <w:color w:val="000000"/>
        </w:rPr>
        <w:t>股票代码：600188            股票简称：兖州煤业            编号：临201</w:t>
      </w:r>
      <w:r w:rsidRPr="004E046C">
        <w:rPr>
          <w:rFonts w:ascii="黑体" w:eastAsia="黑体" w:hAnsi="黑体" w:hint="eastAsia"/>
          <w:color w:val="000000"/>
        </w:rPr>
        <w:t>9</w:t>
      </w:r>
      <w:r w:rsidRPr="004E046C">
        <w:rPr>
          <w:rFonts w:ascii="黑体" w:eastAsia="黑体" w:hAnsi="黑体"/>
          <w:color w:val="000000"/>
        </w:rPr>
        <w:t>-</w:t>
      </w:r>
      <w:r w:rsidR="004E046C" w:rsidRPr="004E046C">
        <w:rPr>
          <w:rFonts w:ascii="黑体" w:eastAsia="黑体" w:hAnsi="黑体" w:hint="eastAsia"/>
          <w:color w:val="000000"/>
        </w:rPr>
        <w:t>026</w:t>
      </w:r>
    </w:p>
    <w:p w:rsidR="00224AB1" w:rsidRDefault="00224AB1">
      <w:pPr>
        <w:spacing w:line="500" w:lineRule="exact"/>
        <w:jc w:val="center"/>
        <w:rPr>
          <w:rFonts w:eastAsia="黑体"/>
          <w:color w:val="000000"/>
        </w:rPr>
      </w:pPr>
    </w:p>
    <w:p w:rsidR="00224AB1" w:rsidRDefault="00A8780A">
      <w:pPr>
        <w:spacing w:line="500" w:lineRule="exact"/>
        <w:jc w:val="center"/>
        <w:rPr>
          <w:rFonts w:ascii="黑体" w:eastAsia="黑体"/>
          <w:b/>
          <w:bCs/>
          <w:color w:val="FF0000"/>
          <w:sz w:val="36"/>
          <w:szCs w:val="36"/>
        </w:rPr>
      </w:pPr>
      <w:r>
        <w:rPr>
          <w:rFonts w:ascii="黑体" w:eastAsia="黑体"/>
          <w:b/>
          <w:bCs/>
          <w:color w:val="FF0000"/>
          <w:sz w:val="36"/>
          <w:szCs w:val="36"/>
        </w:rPr>
        <w:t>兖州煤业股份有限公司</w:t>
      </w:r>
    </w:p>
    <w:p w:rsidR="00224AB1" w:rsidRDefault="00A8780A">
      <w:pPr>
        <w:spacing w:line="500" w:lineRule="exact"/>
        <w:jc w:val="center"/>
        <w:rPr>
          <w:rFonts w:ascii="黑体" w:eastAsia="黑体"/>
          <w:b/>
          <w:bCs/>
          <w:color w:val="FF0000"/>
          <w:sz w:val="36"/>
          <w:szCs w:val="36"/>
        </w:rPr>
      </w:pPr>
      <w:r>
        <w:rPr>
          <w:rFonts w:ascii="黑体" w:eastAsia="黑体" w:hint="eastAsia"/>
          <w:b/>
          <w:bCs/>
          <w:color w:val="FF0000"/>
          <w:sz w:val="36"/>
          <w:szCs w:val="36"/>
        </w:rPr>
        <w:t>关于向附属公司提供融资担保和授权兖煤澳洲及其子公司向兖州煤业澳洲附属公司提供日常经营担保的</w:t>
      </w:r>
    </w:p>
    <w:p w:rsidR="00224AB1" w:rsidRDefault="00A8780A">
      <w:pPr>
        <w:spacing w:line="500" w:lineRule="exact"/>
        <w:jc w:val="center"/>
        <w:rPr>
          <w:b/>
          <w:bCs/>
          <w:color w:val="000000"/>
          <w:sz w:val="32"/>
        </w:rPr>
      </w:pPr>
      <w:r>
        <w:rPr>
          <w:rFonts w:ascii="黑体" w:eastAsia="黑体" w:hint="eastAsia"/>
          <w:b/>
          <w:bCs/>
          <w:color w:val="FF0000"/>
          <w:sz w:val="36"/>
          <w:szCs w:val="36"/>
        </w:rPr>
        <w:t>公  告</w:t>
      </w:r>
    </w:p>
    <w:p w:rsidR="00224AB1" w:rsidRDefault="00222902">
      <w:pPr>
        <w:spacing w:line="560" w:lineRule="exact"/>
        <w:jc w:val="center"/>
        <w:rPr>
          <w:b/>
          <w:bCs/>
          <w:color w:val="000000"/>
          <w:sz w:val="28"/>
        </w:rPr>
      </w:pPr>
      <w:bookmarkStart w:id="0" w:name="_GoBack"/>
      <w:bookmarkEnd w:id="0"/>
      <w:r>
        <w:rPr>
          <w:b/>
          <w:bCs/>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9pt;margin-top:26pt;width:423pt;height:77.2pt;z-index:251658240">
            <v:textbox>
              <w:txbxContent>
                <w:p w:rsidR="00224AB1" w:rsidRDefault="00A8780A">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224AB1" w:rsidRDefault="00224AB1">
      <w:pPr>
        <w:adjustRightInd w:val="0"/>
        <w:snapToGrid w:val="0"/>
        <w:spacing w:line="500" w:lineRule="exact"/>
        <w:ind w:firstLineChars="200" w:firstLine="562"/>
        <w:outlineLvl w:val="0"/>
        <w:rPr>
          <w:b/>
          <w:bCs/>
          <w:color w:val="000000"/>
          <w:sz w:val="28"/>
        </w:rPr>
      </w:pPr>
    </w:p>
    <w:p w:rsidR="00224AB1" w:rsidRDefault="00224AB1">
      <w:pPr>
        <w:adjustRightInd w:val="0"/>
        <w:snapToGrid w:val="0"/>
        <w:spacing w:line="500" w:lineRule="exact"/>
        <w:ind w:firstLineChars="200" w:firstLine="562"/>
        <w:outlineLvl w:val="0"/>
        <w:rPr>
          <w:b/>
          <w:bCs/>
          <w:color w:val="000000"/>
          <w:sz w:val="28"/>
        </w:rPr>
      </w:pPr>
    </w:p>
    <w:p w:rsidR="00224AB1" w:rsidRDefault="00224AB1">
      <w:pPr>
        <w:adjustRightInd w:val="0"/>
        <w:snapToGrid w:val="0"/>
        <w:spacing w:line="500" w:lineRule="exact"/>
        <w:ind w:firstLineChars="200" w:firstLine="562"/>
        <w:outlineLvl w:val="0"/>
        <w:rPr>
          <w:b/>
          <w:bCs/>
          <w:color w:val="000000"/>
          <w:sz w:val="28"/>
        </w:rPr>
      </w:pPr>
    </w:p>
    <w:p w:rsidR="00224AB1" w:rsidRDefault="00A8780A">
      <w:pPr>
        <w:adjustRightInd w:val="0"/>
        <w:snapToGrid w:val="0"/>
        <w:spacing w:line="480" w:lineRule="exact"/>
        <w:ind w:firstLine="540"/>
        <w:rPr>
          <w:rFonts w:ascii="宋体" w:hAnsi="宋体"/>
          <w:b/>
          <w:color w:val="000000"/>
          <w:sz w:val="28"/>
        </w:rPr>
      </w:pPr>
      <w:r>
        <w:rPr>
          <w:rFonts w:ascii="宋体" w:hAnsi="宋体" w:hint="eastAsia"/>
          <w:b/>
          <w:color w:val="000000"/>
          <w:sz w:val="28"/>
        </w:rPr>
        <w:t>重要内容提示：</w:t>
      </w:r>
    </w:p>
    <w:p w:rsidR="00224AB1" w:rsidRDefault="00A8780A">
      <w:pPr>
        <w:numPr>
          <w:ilvl w:val="0"/>
          <w:numId w:val="1"/>
        </w:numPr>
        <w:adjustRightInd w:val="0"/>
        <w:snapToGrid w:val="0"/>
        <w:spacing w:line="460" w:lineRule="exact"/>
        <w:rPr>
          <w:rFonts w:ascii="宋体" w:hAnsi="宋体"/>
          <w:b/>
          <w:color w:val="000000"/>
          <w:sz w:val="28"/>
        </w:rPr>
      </w:pPr>
      <w:r>
        <w:rPr>
          <w:rFonts w:ascii="宋体" w:hAnsi="宋体" w:hint="eastAsia"/>
          <w:b/>
          <w:color w:val="000000"/>
          <w:sz w:val="28"/>
        </w:rPr>
        <w:t>本次担保情况及被担保人名称：</w:t>
      </w:r>
    </w:p>
    <w:p w:rsidR="00224AB1" w:rsidRDefault="00A8780A">
      <w:pPr>
        <w:adjustRightInd w:val="0"/>
        <w:snapToGrid w:val="0"/>
        <w:spacing w:line="460" w:lineRule="exact"/>
        <w:ind w:left="851"/>
        <w:rPr>
          <w:rFonts w:ascii="宋体" w:hAnsi="宋体"/>
          <w:b/>
          <w:color w:val="000000"/>
          <w:sz w:val="28"/>
        </w:rPr>
      </w:pPr>
      <w:r>
        <w:rPr>
          <w:rFonts w:ascii="宋体" w:hAnsi="宋体" w:hint="eastAsia"/>
          <w:color w:val="000000"/>
          <w:sz w:val="28"/>
        </w:rPr>
        <w:t>1.授权兖州煤业股份有限公司（“兖州煤业”“公司”“本公司”）向全资或控股附属公司提供总额不超过等值40亿美元融资担保；</w:t>
      </w:r>
    </w:p>
    <w:p w:rsidR="00224AB1" w:rsidRDefault="00A8780A">
      <w:pPr>
        <w:adjustRightInd w:val="0"/>
        <w:snapToGrid w:val="0"/>
        <w:spacing w:line="460" w:lineRule="exact"/>
        <w:ind w:left="851"/>
        <w:rPr>
          <w:rFonts w:ascii="宋体" w:hAnsi="宋体"/>
          <w:b/>
          <w:color w:val="000000"/>
          <w:sz w:val="28"/>
        </w:rPr>
      </w:pPr>
      <w:r>
        <w:rPr>
          <w:rFonts w:ascii="宋体" w:hAnsi="宋体" w:hint="eastAsia"/>
          <w:color w:val="000000"/>
          <w:sz w:val="28"/>
        </w:rPr>
        <w:t>2.授权公司控股子公司兖州煤业澳大利亚有限公司（“兖煤澳洲”）及其子公司，向兖州煤业澳洲附属公司（“澳洲附属公司”）提供金额不超过12亿澳元的日常经营担保。</w:t>
      </w:r>
    </w:p>
    <w:p w:rsidR="00224AB1" w:rsidRDefault="00A8780A">
      <w:pPr>
        <w:numPr>
          <w:ilvl w:val="0"/>
          <w:numId w:val="1"/>
        </w:numPr>
        <w:adjustRightInd w:val="0"/>
        <w:snapToGrid w:val="0"/>
        <w:spacing w:line="460" w:lineRule="exact"/>
        <w:rPr>
          <w:rFonts w:ascii="宋体" w:hAnsi="宋体"/>
          <w:b/>
          <w:color w:val="000000"/>
          <w:sz w:val="28"/>
        </w:rPr>
      </w:pPr>
      <w:r>
        <w:rPr>
          <w:rFonts w:ascii="宋体" w:hAnsi="宋体" w:hint="eastAsia"/>
          <w:b/>
          <w:color w:val="000000"/>
          <w:sz w:val="28"/>
        </w:rPr>
        <w:t>为被担保人担保情况：</w:t>
      </w:r>
    </w:p>
    <w:p w:rsidR="00224AB1" w:rsidRDefault="00A8780A">
      <w:pPr>
        <w:adjustRightInd w:val="0"/>
        <w:snapToGrid w:val="0"/>
        <w:spacing w:line="460" w:lineRule="exact"/>
        <w:ind w:left="960"/>
        <w:rPr>
          <w:rFonts w:ascii="宋体" w:hAnsi="宋体"/>
          <w:b/>
          <w:color w:val="000000"/>
          <w:sz w:val="28"/>
        </w:rPr>
      </w:pPr>
      <w:r>
        <w:rPr>
          <w:rFonts w:ascii="宋体" w:hAnsi="宋体" w:hint="eastAsia"/>
          <w:color w:val="000000"/>
          <w:sz w:val="28"/>
        </w:rPr>
        <w:t>截至2018年12月31日，公司累计对外担保（均为对全资或控股附属公司提供的担保）余额为人民币327.78亿元。</w:t>
      </w:r>
    </w:p>
    <w:p w:rsidR="00224AB1" w:rsidRDefault="00A8780A">
      <w:pPr>
        <w:numPr>
          <w:ilvl w:val="0"/>
          <w:numId w:val="1"/>
        </w:numPr>
        <w:adjustRightInd w:val="0"/>
        <w:snapToGrid w:val="0"/>
        <w:spacing w:line="460" w:lineRule="exact"/>
        <w:ind w:left="567" w:firstLine="0"/>
        <w:rPr>
          <w:rFonts w:ascii="宋体" w:hAnsi="宋体"/>
          <w:b/>
          <w:color w:val="000000"/>
          <w:sz w:val="28"/>
        </w:rPr>
      </w:pPr>
      <w:r>
        <w:rPr>
          <w:rFonts w:ascii="宋体" w:hAnsi="宋体" w:hint="eastAsia"/>
          <w:b/>
          <w:color w:val="000000"/>
          <w:sz w:val="28"/>
        </w:rPr>
        <w:t>公司无逾期对外担保</w:t>
      </w:r>
    </w:p>
    <w:p w:rsidR="00224AB1" w:rsidRDefault="00A8780A">
      <w:pPr>
        <w:numPr>
          <w:ilvl w:val="0"/>
          <w:numId w:val="1"/>
        </w:numPr>
        <w:adjustRightInd w:val="0"/>
        <w:snapToGrid w:val="0"/>
        <w:spacing w:line="460" w:lineRule="exact"/>
        <w:ind w:left="567" w:firstLine="0"/>
        <w:rPr>
          <w:rFonts w:ascii="宋体" w:hAnsi="宋体"/>
          <w:b/>
          <w:color w:val="000000"/>
          <w:sz w:val="28"/>
        </w:rPr>
      </w:pPr>
      <w:r>
        <w:rPr>
          <w:rFonts w:ascii="宋体" w:hAnsi="宋体" w:hint="eastAsia"/>
          <w:b/>
          <w:color w:val="000000"/>
          <w:sz w:val="28"/>
        </w:rPr>
        <w:t>本次授权事项需提交股东大会审议批准</w:t>
      </w:r>
    </w:p>
    <w:p w:rsidR="00224AB1" w:rsidRDefault="00224AB1">
      <w:pPr>
        <w:adjustRightInd w:val="0"/>
        <w:snapToGrid w:val="0"/>
        <w:spacing w:line="460" w:lineRule="exact"/>
        <w:ind w:firstLine="539"/>
        <w:rPr>
          <w:rFonts w:ascii="宋体" w:hAnsi="宋体"/>
          <w:color w:val="000000"/>
          <w:sz w:val="28"/>
        </w:rPr>
      </w:pPr>
    </w:p>
    <w:p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一、本次授权担保情况概述</w:t>
      </w:r>
    </w:p>
    <w:p w:rsidR="00224AB1" w:rsidRDefault="00A8780A">
      <w:pPr>
        <w:adjustRightInd w:val="0"/>
        <w:snapToGrid w:val="0"/>
        <w:spacing w:line="560" w:lineRule="exact"/>
        <w:ind w:firstLine="539"/>
        <w:rPr>
          <w:rFonts w:ascii="宋体" w:hAnsi="宋体"/>
          <w:b/>
          <w:color w:val="000000"/>
          <w:sz w:val="28"/>
        </w:rPr>
      </w:pPr>
      <w:r>
        <w:rPr>
          <w:rFonts w:ascii="宋体" w:hAnsi="宋体" w:hint="eastAsia"/>
          <w:b/>
          <w:color w:val="000000"/>
          <w:sz w:val="28"/>
        </w:rPr>
        <w:t>（一）本次授权担保的基本情况</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1.为降低附属公司融资成本，保障附属公司日常经营资金需要，提请股东大会授权公司对全资或控股附属公司提供总额不超过等值</w:t>
      </w:r>
      <w:r>
        <w:rPr>
          <w:rFonts w:ascii="宋体" w:hAnsi="宋体" w:hint="eastAsia"/>
          <w:color w:val="000000"/>
          <w:sz w:val="28"/>
        </w:rPr>
        <w:lastRenderedPageBreak/>
        <w:t>40亿美元的融资担保。</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为满足澳洲附属公司正常运营所需，兖煤澳洲及其子公司需要对澳洲附属公司日常经营事项提供不超过12亿澳元担保。根据澳大利亚经营性企业日常业务的通行惯例，在发生经营业务时，通常需要相关方对附属公司提供担保。相关经营性担保包括兖煤澳洲对下属子公司，下属子公司对其附属公司，以及兖煤澳洲及其下属子公司向兖煤国际（控股）有限公司（“兖煤国际”）在澳洲附属公司提供的担保行为,该等担保主要采用银行保函方式。</w:t>
      </w:r>
    </w:p>
    <w:p w:rsidR="00224AB1" w:rsidRDefault="00A8780A">
      <w:pPr>
        <w:adjustRightInd w:val="0"/>
        <w:snapToGrid w:val="0"/>
        <w:spacing w:line="560" w:lineRule="exact"/>
        <w:ind w:firstLine="539"/>
        <w:rPr>
          <w:rFonts w:ascii="宋体" w:hAnsi="宋体"/>
          <w:b/>
          <w:color w:val="000000"/>
          <w:sz w:val="28"/>
        </w:rPr>
      </w:pPr>
      <w:r>
        <w:rPr>
          <w:rFonts w:ascii="宋体" w:hAnsi="宋体" w:hint="eastAsia"/>
          <w:b/>
          <w:color w:val="000000"/>
          <w:sz w:val="28"/>
        </w:rPr>
        <w:t>（二）本次授权担保的具体事项</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1.批准公司向全资或控股附属公司提供不超过等值40亿美元的融资担保。</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2.批准兖煤澳洲公司及其子公司向兖州煤业澳洲附属公司提供不超过12亿澳元的日常经营担保。</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3.批准授权公司董事长根据有关法律法规规定，全权处理与上述融资担保业务有关的事项，包括但不限于：</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（1）根据融资业务需要，合理确定被担保的全资或控股附属公司；</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（2）确定具体担保合同条款，包括但不限于担保额度、担保期限、担保范围、担保方式等，签署所涉及的合同及相关法律文件；</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（3）办理与本次担保相关的材料申报及其他事宜。</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4.本次授权期限为自审议本议案的2018年年度股东周年大会结束之日起至下一年度股东周年大会结束之日止。但上述授权人士可于授权期限内作出或授予与融资担保业务有关的任何要约、协议或决议，而可能需要在授权期限结束后行使有关权力者除外。</w:t>
      </w:r>
    </w:p>
    <w:p w:rsidR="00224AB1" w:rsidRDefault="00A8780A">
      <w:pPr>
        <w:adjustRightInd w:val="0"/>
        <w:snapToGrid w:val="0"/>
        <w:spacing w:line="560" w:lineRule="exact"/>
        <w:ind w:firstLine="539"/>
        <w:rPr>
          <w:rFonts w:ascii="宋体" w:hAnsi="宋体"/>
          <w:b/>
          <w:color w:val="000000"/>
          <w:sz w:val="28"/>
        </w:rPr>
      </w:pPr>
      <w:r>
        <w:rPr>
          <w:rFonts w:ascii="宋体" w:hAnsi="宋体" w:hint="eastAsia"/>
          <w:b/>
          <w:color w:val="000000"/>
          <w:sz w:val="28"/>
        </w:rPr>
        <w:t>（三）本次授权担保履行的内部决策程序</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lastRenderedPageBreak/>
        <w:t>2019年3月29日召开的公司第七届董事会第二十四次会议，审议通过了《关于向附属公司提供融资担保和授权兖煤澳洲及其子公司向兖州煤业澳洲附属公司提供日常经营担保的议案》，并提交2018年年度股东周年大会审议批准。</w:t>
      </w:r>
    </w:p>
    <w:p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二、被担保人基本情况</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有关被担保人基本情况请见附件一《拟被担保兖州煤业附属公司基本情况表》、附件二《拟被担保兖煤澳洲附属公司基本情况表》、附件三《拟被担保兖煤国际附属公司基本情况表》。</w:t>
      </w:r>
    </w:p>
    <w:p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三、担保协议内容及担保对象情况</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目前，公司尚未签署担保协议。公司将根据融资业务安排以及公司实际情况，在授权期限内严格按照股东大会授权履行担保事项。</w:t>
      </w:r>
    </w:p>
    <w:p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四、董事会及独立董事意见</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本公司董事会及独立董事认为：向全资或控股附属公司提供融资担保和授权兖煤澳洲及其子公司向澳洲附属公司提供日常经营担保事项，符合公司及附属公司经营发展需要；兖煤澳洲及子公司向澳洲附属公司提供担保是日常经营所需，符合澳大利亚法律法规及当地经营惯例。上述担保对象为公司全资或控股附属公司，可有效控制和防范担保风险，不会损害公司及全体股东的利益。</w:t>
      </w:r>
    </w:p>
    <w:p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五、累计对外担保数量及逾期担保的数量</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截至2018年12月31日，公司累计对外担保（均为对全资或控股附属公司提供的担保）余额为人民币327.78亿元，占公司2018年按中国会计准则计算的经审计净资产人民币609.92亿元的53.74%。</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被担保人及担保情况如下：</w:t>
      </w:r>
    </w:p>
    <w:p w:rsidR="00224AB1" w:rsidRDefault="00A8780A">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1.兖煤澳洲</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lastRenderedPageBreak/>
        <w:t>经2011年年度股东周年大会审议批准，兖煤澳洲收购兖煤资源有限公司股权项目贷款30.4亿美元。截至2018年12月31日，上述贷款余额</w:t>
      </w:r>
      <w:r>
        <w:rPr>
          <w:rFonts w:ascii="宋体" w:hAnsi="宋体"/>
          <w:color w:val="000000"/>
          <w:sz w:val="28"/>
        </w:rPr>
        <w:t>15.75</w:t>
      </w:r>
      <w:r>
        <w:rPr>
          <w:rFonts w:ascii="宋体" w:hAnsi="宋体" w:hint="eastAsia"/>
          <w:color w:val="000000"/>
          <w:sz w:val="28"/>
        </w:rPr>
        <w:t>亿美元，由兖州煤业向兖煤澳洲提供</w:t>
      </w:r>
      <w:r>
        <w:rPr>
          <w:rFonts w:ascii="宋体" w:hAnsi="宋体"/>
          <w:color w:val="000000"/>
          <w:sz w:val="28"/>
        </w:rPr>
        <w:t>9.56</w:t>
      </w:r>
      <w:r>
        <w:rPr>
          <w:rFonts w:ascii="宋体" w:hAnsi="宋体" w:hint="eastAsia"/>
          <w:color w:val="000000"/>
          <w:sz w:val="28"/>
        </w:rPr>
        <w:t>亿美元担保和</w:t>
      </w:r>
      <w:r>
        <w:rPr>
          <w:rFonts w:ascii="宋体" w:hAnsi="宋体"/>
          <w:color w:val="000000"/>
          <w:sz w:val="28"/>
        </w:rPr>
        <w:t>46.51</w:t>
      </w:r>
      <w:r>
        <w:rPr>
          <w:rFonts w:ascii="宋体" w:hAnsi="宋体" w:hint="eastAsia"/>
          <w:color w:val="000000"/>
          <w:sz w:val="28"/>
        </w:rPr>
        <w:t>亿元人民币担保。</w:t>
      </w:r>
    </w:p>
    <w:p w:rsidR="00224AB1" w:rsidRDefault="00A8780A">
      <w:pPr>
        <w:adjustRightInd w:val="0"/>
        <w:snapToGrid w:val="0"/>
        <w:spacing w:line="560" w:lineRule="exact"/>
        <w:ind w:firstLineChars="200" w:firstLine="562"/>
        <w:jc w:val="left"/>
        <w:rPr>
          <w:rFonts w:ascii="宋体" w:hAnsi="宋体"/>
          <w:color w:val="000000"/>
          <w:sz w:val="28"/>
        </w:rPr>
      </w:pPr>
      <w:r>
        <w:rPr>
          <w:rFonts w:ascii="宋体" w:hAnsi="宋体" w:hint="eastAsia"/>
          <w:b/>
          <w:color w:val="000000"/>
          <w:sz w:val="28"/>
        </w:rPr>
        <w:t>2.兖煤国际</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经2016年年度股东周年大会审议批准，公司向全资子公司兖煤国际提供担保。截至2018年12月31日，公司为兖煤国际提供1.9亿美元和15.69亿港元担保。</w:t>
      </w:r>
    </w:p>
    <w:p w:rsidR="00224AB1" w:rsidRDefault="00A8780A">
      <w:pPr>
        <w:adjustRightInd w:val="0"/>
        <w:snapToGrid w:val="0"/>
        <w:spacing w:line="560" w:lineRule="exact"/>
        <w:ind w:firstLineChars="200" w:firstLine="562"/>
        <w:jc w:val="left"/>
        <w:rPr>
          <w:rFonts w:ascii="宋体" w:hAnsi="宋体"/>
          <w:color w:val="000000"/>
          <w:sz w:val="28"/>
        </w:rPr>
      </w:pPr>
      <w:r>
        <w:rPr>
          <w:rFonts w:ascii="宋体" w:hAnsi="宋体" w:hint="eastAsia"/>
          <w:b/>
          <w:color w:val="000000"/>
          <w:sz w:val="28"/>
        </w:rPr>
        <w:t>3.兖煤国际资源开发有限公司（“兖煤国际资源”）</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经2012年第二次临时股东大会审议批准，公司为全资附属公司兖煤国际资源发行10亿美元境外公司债券提供担保。截至2018年12月31日，上述担保余额为</w:t>
      </w:r>
      <w:r>
        <w:rPr>
          <w:rFonts w:ascii="宋体" w:hAnsi="宋体"/>
          <w:color w:val="000000"/>
          <w:sz w:val="28"/>
        </w:rPr>
        <w:t>1.04</w:t>
      </w:r>
      <w:r>
        <w:rPr>
          <w:rFonts w:ascii="宋体" w:hAnsi="宋体" w:hint="eastAsia"/>
          <w:color w:val="000000"/>
          <w:sz w:val="28"/>
        </w:rPr>
        <w:t>亿美元。</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经2016年年度股东周年大会审议批准，公司为兖煤国际资源发行5亿美元债券提供担保。截至2018年12月31日，上述担保余额为5亿美元。</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经2017年年度股东周年大会审议批准，公司向兖煤国际资源提供担保。截至2018年12月31日，公司为兖煤国际资源提供3.35亿美元担保。</w:t>
      </w:r>
    </w:p>
    <w:p w:rsidR="00224AB1" w:rsidRDefault="00A8780A">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4.兖煤国际贸易有限公司（“兖煤国际贸易”）</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经2016年年度股东周年大会审议批准，公司向全资附属公司兖煤国际贸易提供担保。截至2018年12月31日，公司为兖煤国际贸易提供0.5亿美元担保。</w:t>
      </w:r>
    </w:p>
    <w:p w:rsidR="00224AB1" w:rsidRDefault="00A8780A">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5.青岛中垠瑞丰国际贸易有限公司（“中垠瑞丰”）</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经2016年年度股东周年大会审议批准，公司向控股子公司中垠瑞</w:t>
      </w:r>
      <w:r>
        <w:rPr>
          <w:rFonts w:ascii="宋体" w:hAnsi="宋体" w:hint="eastAsia"/>
          <w:color w:val="000000"/>
          <w:sz w:val="28"/>
        </w:rPr>
        <w:lastRenderedPageBreak/>
        <w:t>丰提供担保。截至2018年12月31日，公司为中垠瑞丰提供13亿人民币担保。</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经2017年年度股东周年大会审议批准，公司向控股子公司中垠瑞丰提供担保。截至2018年12月31日，公司为中垠瑞丰提供14亿人民币和0.5亿美元担保。</w:t>
      </w:r>
    </w:p>
    <w:p w:rsidR="00224AB1" w:rsidRDefault="00A8780A">
      <w:pPr>
        <w:adjustRightInd w:val="0"/>
        <w:snapToGrid w:val="0"/>
        <w:spacing w:line="560" w:lineRule="exact"/>
        <w:ind w:firstLineChars="200" w:firstLine="562"/>
        <w:jc w:val="left"/>
        <w:rPr>
          <w:rFonts w:ascii="宋体" w:hAnsi="宋体"/>
          <w:b/>
          <w:color w:val="000000"/>
          <w:sz w:val="28"/>
        </w:rPr>
      </w:pPr>
      <w:r>
        <w:rPr>
          <w:rFonts w:ascii="宋体" w:hAnsi="宋体"/>
          <w:b/>
          <w:color w:val="000000"/>
          <w:sz w:val="28"/>
        </w:rPr>
        <w:t>6.中垠融资租赁有限公司（“</w:t>
      </w:r>
      <w:r>
        <w:rPr>
          <w:rFonts w:ascii="宋体" w:hAnsi="宋体" w:hint="eastAsia"/>
          <w:b/>
          <w:color w:val="000000"/>
          <w:sz w:val="28"/>
        </w:rPr>
        <w:t>中垠融资租赁”）</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经2016年年度股东周年大会审议批准，公司向全资附属公司中垠融资租赁提供11.3亿元人民币和0.33亿美元担保。截至2018年12月31日，上述担保余额为11.3亿元人民币和0.33亿美元。</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经2016年年度股东周年大会审议批准，公司向中垠融资租赁提供担保。截至2018年12月31日，公司为中垠融资租赁提供</w:t>
      </w:r>
      <w:r>
        <w:rPr>
          <w:rFonts w:ascii="宋体" w:hAnsi="宋体"/>
          <w:color w:val="000000"/>
          <w:sz w:val="28"/>
        </w:rPr>
        <w:t>11.5</w:t>
      </w:r>
      <w:r>
        <w:rPr>
          <w:rFonts w:ascii="宋体" w:hAnsi="宋体" w:hint="eastAsia"/>
          <w:color w:val="000000"/>
          <w:sz w:val="28"/>
        </w:rPr>
        <w:t>亿元人民币担保。</w:t>
      </w:r>
    </w:p>
    <w:p w:rsidR="00224AB1" w:rsidRDefault="00A8780A">
      <w:pPr>
        <w:adjustRightInd w:val="0"/>
        <w:snapToGrid w:val="0"/>
        <w:spacing w:line="560" w:lineRule="exact"/>
        <w:ind w:firstLineChars="200" w:firstLine="560"/>
        <w:jc w:val="left"/>
        <w:rPr>
          <w:rFonts w:ascii="宋体" w:hAnsi="宋体"/>
          <w:b/>
          <w:color w:val="000000"/>
          <w:sz w:val="28"/>
        </w:rPr>
      </w:pPr>
      <w:r>
        <w:rPr>
          <w:rFonts w:ascii="宋体" w:hAnsi="宋体" w:hint="eastAsia"/>
          <w:color w:val="000000"/>
          <w:sz w:val="28"/>
        </w:rPr>
        <w:t>7.</w:t>
      </w:r>
      <w:r>
        <w:rPr>
          <w:rFonts w:ascii="宋体" w:hAnsi="宋体" w:hint="eastAsia"/>
          <w:b/>
          <w:color w:val="000000"/>
          <w:sz w:val="28"/>
        </w:rPr>
        <w:t>青岛保税区中兖贸易有限公司（“青岛中兖”）</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经2016年年度股东周年大会审议批准，公司向全资子公司青岛中兖提供10亿元人民币担保。截至2018年12月31日，上述担保余额为人民币10亿元。</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经2016年年度股东周年大会审议批准，公司向青岛中兖提供担保。截至2018年12月31日，公司为青岛中兖提供7</w:t>
      </w:r>
      <w:r>
        <w:rPr>
          <w:rFonts w:ascii="宋体" w:hAnsi="宋体"/>
          <w:color w:val="000000"/>
          <w:sz w:val="28"/>
        </w:rPr>
        <w:t>.5</w:t>
      </w:r>
      <w:r>
        <w:rPr>
          <w:rFonts w:ascii="宋体" w:hAnsi="宋体" w:hint="eastAsia"/>
          <w:color w:val="000000"/>
          <w:sz w:val="28"/>
        </w:rPr>
        <w:t>亿元人民币担保。</w:t>
      </w:r>
    </w:p>
    <w:p w:rsidR="00224AB1" w:rsidRDefault="00A8780A">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8.澳洲附属公司</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w:t>
      </w:r>
      <w:r>
        <w:rPr>
          <w:rFonts w:ascii="宋体" w:hAnsi="宋体"/>
          <w:color w:val="000000"/>
          <w:sz w:val="28"/>
        </w:rPr>
        <w:t>201</w:t>
      </w:r>
      <w:r>
        <w:rPr>
          <w:rFonts w:ascii="宋体" w:hAnsi="宋体" w:hint="eastAsia"/>
          <w:color w:val="000000"/>
          <w:sz w:val="28"/>
        </w:rPr>
        <w:t>6年年度股东周年大会审议批准，兖煤澳洲及其子公司每年向澳洲附属公司提供不超过9</w:t>
      </w:r>
      <w:r>
        <w:rPr>
          <w:rFonts w:ascii="宋体" w:hAnsi="宋体"/>
          <w:color w:val="000000"/>
          <w:sz w:val="28"/>
        </w:rPr>
        <w:t>亿澳元日常经营担保额度。</w:t>
      </w:r>
      <w:r>
        <w:rPr>
          <w:rFonts w:ascii="宋体" w:hAnsi="宋体" w:hint="eastAsia"/>
          <w:color w:val="000000"/>
          <w:sz w:val="28"/>
        </w:rPr>
        <w:t>截至</w:t>
      </w:r>
      <w:r>
        <w:rPr>
          <w:rFonts w:ascii="宋体" w:hAnsi="宋体"/>
          <w:color w:val="000000"/>
          <w:sz w:val="28"/>
        </w:rPr>
        <w:t>201</w:t>
      </w:r>
      <w:r>
        <w:rPr>
          <w:rFonts w:ascii="宋体" w:hAnsi="宋体" w:hint="eastAsia"/>
          <w:color w:val="000000"/>
          <w:sz w:val="28"/>
        </w:rPr>
        <w:t>8年</w:t>
      </w:r>
      <w:r>
        <w:rPr>
          <w:rFonts w:ascii="宋体" w:hAnsi="宋体"/>
          <w:color w:val="000000"/>
          <w:sz w:val="28"/>
        </w:rPr>
        <w:t>12月31日，</w:t>
      </w:r>
      <w:r>
        <w:rPr>
          <w:rFonts w:ascii="宋体" w:hAnsi="宋体" w:hint="eastAsia"/>
          <w:color w:val="000000"/>
          <w:sz w:val="28"/>
        </w:rPr>
        <w:t>上述担保余额为7.52亿澳元。</w:t>
      </w:r>
    </w:p>
    <w:p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w:t>
      </w:r>
      <w:r>
        <w:rPr>
          <w:rFonts w:ascii="宋体" w:hAnsi="宋体"/>
          <w:color w:val="000000"/>
          <w:sz w:val="28"/>
        </w:rPr>
        <w:t>201</w:t>
      </w:r>
      <w:r>
        <w:rPr>
          <w:rFonts w:ascii="宋体" w:hAnsi="宋体" w:hint="eastAsia"/>
          <w:color w:val="000000"/>
          <w:sz w:val="28"/>
        </w:rPr>
        <w:t>7年年度股东周年大会审议批准，兖煤澳洲及其子公司每年向澳洲附属公司提供不超过12</w:t>
      </w:r>
      <w:r>
        <w:rPr>
          <w:rFonts w:ascii="宋体" w:hAnsi="宋体"/>
          <w:color w:val="000000"/>
          <w:sz w:val="28"/>
        </w:rPr>
        <w:t>亿澳元日常经营担保额度。</w:t>
      </w:r>
      <w:r>
        <w:rPr>
          <w:rFonts w:ascii="宋体" w:hAnsi="宋体" w:hint="eastAsia"/>
          <w:color w:val="000000"/>
          <w:sz w:val="28"/>
        </w:rPr>
        <w:t>截至</w:t>
      </w:r>
      <w:r>
        <w:rPr>
          <w:rFonts w:ascii="宋体" w:hAnsi="宋体"/>
          <w:color w:val="000000"/>
          <w:sz w:val="28"/>
        </w:rPr>
        <w:t>201</w:t>
      </w:r>
      <w:r>
        <w:rPr>
          <w:rFonts w:ascii="宋体" w:hAnsi="宋体" w:hint="eastAsia"/>
          <w:color w:val="000000"/>
          <w:sz w:val="28"/>
        </w:rPr>
        <w:t>8</w:t>
      </w:r>
      <w:r>
        <w:rPr>
          <w:rFonts w:ascii="宋体" w:hAnsi="宋体" w:hint="eastAsia"/>
          <w:color w:val="000000"/>
          <w:sz w:val="28"/>
        </w:rPr>
        <w:lastRenderedPageBreak/>
        <w:t>年</w:t>
      </w:r>
      <w:r>
        <w:rPr>
          <w:rFonts w:ascii="宋体" w:hAnsi="宋体"/>
          <w:color w:val="000000"/>
          <w:sz w:val="28"/>
        </w:rPr>
        <w:t>12月31日，</w:t>
      </w:r>
      <w:r>
        <w:rPr>
          <w:rFonts w:ascii="宋体" w:hAnsi="宋体" w:hint="eastAsia"/>
          <w:color w:val="000000"/>
          <w:sz w:val="28"/>
        </w:rPr>
        <w:t>上述担保余额为1.23亿澳元。</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公司无逾期担保事项。</w:t>
      </w:r>
    </w:p>
    <w:p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六、备查文件</w:t>
      </w:r>
    </w:p>
    <w:p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兖州煤业股份有限公司第七届董事会第二十四次会议决议。</w:t>
      </w:r>
    </w:p>
    <w:p w:rsidR="00224AB1" w:rsidRDefault="00224AB1">
      <w:pPr>
        <w:adjustRightInd w:val="0"/>
        <w:snapToGrid w:val="0"/>
        <w:spacing w:line="560" w:lineRule="exact"/>
        <w:rPr>
          <w:rFonts w:ascii="宋体" w:hAnsi="宋体"/>
          <w:color w:val="000000"/>
          <w:sz w:val="28"/>
        </w:rPr>
      </w:pPr>
    </w:p>
    <w:p w:rsidR="00224AB1" w:rsidRDefault="00224AB1">
      <w:pPr>
        <w:adjustRightInd w:val="0"/>
        <w:snapToGrid w:val="0"/>
        <w:spacing w:line="560" w:lineRule="exact"/>
        <w:rPr>
          <w:rFonts w:ascii="宋体" w:hAnsi="宋体"/>
          <w:color w:val="000000"/>
          <w:sz w:val="28"/>
        </w:rPr>
      </w:pPr>
    </w:p>
    <w:p w:rsidR="00224AB1" w:rsidRDefault="00A8780A">
      <w:pPr>
        <w:adjustRightInd w:val="0"/>
        <w:snapToGrid w:val="0"/>
        <w:spacing w:line="560" w:lineRule="exact"/>
        <w:ind w:firstLineChars="1600" w:firstLine="4480"/>
        <w:rPr>
          <w:rFonts w:ascii="宋体" w:hAnsi="宋体"/>
          <w:color w:val="000000"/>
          <w:sz w:val="28"/>
        </w:rPr>
      </w:pPr>
      <w:r>
        <w:rPr>
          <w:rFonts w:ascii="宋体" w:hAnsi="宋体" w:hint="eastAsia"/>
          <w:color w:val="000000"/>
          <w:sz w:val="28"/>
        </w:rPr>
        <w:t>兖州煤业股份有限公司董事会</w:t>
      </w:r>
    </w:p>
    <w:p w:rsidR="00224AB1" w:rsidRDefault="00A8780A">
      <w:pPr>
        <w:adjustRightInd w:val="0"/>
        <w:snapToGrid w:val="0"/>
        <w:spacing w:line="560" w:lineRule="exact"/>
        <w:ind w:firstLine="560"/>
        <w:rPr>
          <w:rFonts w:ascii="宋体" w:hAnsi="宋体"/>
          <w:color w:val="000000"/>
          <w:sz w:val="28"/>
        </w:rPr>
        <w:sectPr w:rsidR="00224AB1">
          <w:footerReference w:type="even" r:id="rId9"/>
          <w:footerReference w:type="default" r:id="rId10"/>
          <w:pgSz w:w="11906" w:h="16838"/>
          <w:pgMar w:top="1440" w:right="1700" w:bottom="1440" w:left="1800" w:header="851" w:footer="992" w:gutter="0"/>
          <w:cols w:space="425"/>
          <w:docGrid w:type="lines" w:linePitch="312"/>
        </w:sectPr>
      </w:pPr>
      <w:r>
        <w:rPr>
          <w:rFonts w:ascii="宋体" w:hAnsi="宋体" w:hint="eastAsia"/>
          <w:color w:val="000000"/>
          <w:sz w:val="28"/>
        </w:rPr>
        <w:t xml:space="preserve">                                  2019年3月29日</w:t>
      </w:r>
    </w:p>
    <w:tbl>
      <w:tblPr>
        <w:tblpPr w:leftFromText="180" w:rightFromText="180" w:tblpX="-265" w:tblpY="-1095"/>
        <w:tblW w:w="15143" w:type="dxa"/>
        <w:tblLayout w:type="fixed"/>
        <w:tblLook w:val="04A0"/>
      </w:tblPr>
      <w:tblGrid>
        <w:gridCol w:w="552"/>
        <w:gridCol w:w="1555"/>
        <w:gridCol w:w="991"/>
        <w:gridCol w:w="1138"/>
        <w:gridCol w:w="1134"/>
        <w:gridCol w:w="2267"/>
        <w:gridCol w:w="992"/>
        <w:gridCol w:w="992"/>
        <w:gridCol w:w="734"/>
        <w:gridCol w:w="117"/>
        <w:gridCol w:w="805"/>
        <w:gridCol w:w="187"/>
        <w:gridCol w:w="850"/>
        <w:gridCol w:w="856"/>
        <w:gridCol w:w="987"/>
        <w:gridCol w:w="986"/>
      </w:tblGrid>
      <w:tr w:rsidR="00224AB1">
        <w:trPr>
          <w:trHeight w:val="90"/>
        </w:trPr>
        <w:tc>
          <w:tcPr>
            <w:tcW w:w="15143" w:type="dxa"/>
            <w:gridSpan w:val="16"/>
            <w:tcBorders>
              <w:top w:val="nil"/>
              <w:left w:val="nil"/>
              <w:bottom w:val="nil"/>
              <w:right w:val="nil"/>
            </w:tcBorders>
            <w:vAlign w:val="bottom"/>
          </w:tcPr>
          <w:p w:rsidR="00224AB1" w:rsidRDefault="00A8780A">
            <w:pPr>
              <w:widowControl/>
              <w:jc w:val="left"/>
              <w:rPr>
                <w:rFonts w:ascii="黑体" w:eastAsia="黑体" w:hAnsi="黑体" w:cs="黑体"/>
                <w:bCs/>
                <w:sz w:val="28"/>
                <w:szCs w:val="28"/>
              </w:rPr>
            </w:pPr>
            <w:r>
              <w:rPr>
                <w:rFonts w:ascii="黑体" w:eastAsia="黑体" w:hAnsi="黑体" w:cs="黑体" w:hint="eastAsia"/>
                <w:bCs/>
                <w:sz w:val="28"/>
                <w:szCs w:val="28"/>
              </w:rPr>
              <w:lastRenderedPageBreak/>
              <w:t>附件一</w:t>
            </w:r>
          </w:p>
          <w:p w:rsidR="00224AB1" w:rsidRDefault="00A8780A">
            <w:pPr>
              <w:widowControl/>
              <w:jc w:val="center"/>
              <w:rPr>
                <w:rFonts w:ascii="宋体"/>
                <w:b/>
                <w:bCs/>
                <w:color w:val="000000"/>
                <w:kern w:val="0"/>
                <w:sz w:val="32"/>
                <w:szCs w:val="32"/>
              </w:rPr>
            </w:pPr>
            <w:r>
              <w:rPr>
                <w:rFonts w:ascii="宋体" w:hAnsi="宋体" w:cs="宋体" w:hint="eastAsia"/>
                <w:b/>
                <w:bCs/>
                <w:color w:val="000000"/>
                <w:kern w:val="0"/>
                <w:sz w:val="32"/>
                <w:szCs w:val="32"/>
              </w:rPr>
              <w:t>拟被担保兖州煤业附属公司基本情况表</w:t>
            </w:r>
          </w:p>
        </w:tc>
      </w:tr>
      <w:tr w:rsidR="00224AB1">
        <w:trPr>
          <w:trHeight w:val="68"/>
        </w:trPr>
        <w:tc>
          <w:tcPr>
            <w:tcW w:w="552" w:type="dxa"/>
            <w:tcBorders>
              <w:top w:val="nil"/>
              <w:left w:val="nil"/>
              <w:bottom w:val="nil"/>
              <w:right w:val="nil"/>
            </w:tcBorders>
            <w:vAlign w:val="center"/>
          </w:tcPr>
          <w:p w:rsidR="00224AB1" w:rsidRDefault="00224AB1">
            <w:pPr>
              <w:widowControl/>
              <w:jc w:val="center"/>
              <w:rPr>
                <w:rFonts w:ascii="宋体"/>
                <w:b/>
                <w:bCs/>
                <w:color w:val="000000"/>
                <w:kern w:val="0"/>
              </w:rPr>
            </w:pPr>
          </w:p>
        </w:tc>
        <w:tc>
          <w:tcPr>
            <w:tcW w:w="1555" w:type="dxa"/>
            <w:tcBorders>
              <w:top w:val="nil"/>
              <w:left w:val="nil"/>
              <w:bottom w:val="nil"/>
              <w:right w:val="nil"/>
            </w:tcBorders>
            <w:vAlign w:val="center"/>
          </w:tcPr>
          <w:p w:rsidR="00224AB1" w:rsidRDefault="00224AB1">
            <w:pPr>
              <w:widowControl/>
              <w:jc w:val="center"/>
              <w:rPr>
                <w:rFonts w:ascii="宋体"/>
                <w:b/>
                <w:bCs/>
                <w:color w:val="000000"/>
                <w:kern w:val="0"/>
              </w:rPr>
            </w:pPr>
          </w:p>
        </w:tc>
        <w:tc>
          <w:tcPr>
            <w:tcW w:w="991" w:type="dxa"/>
            <w:tcBorders>
              <w:top w:val="nil"/>
              <w:left w:val="nil"/>
              <w:bottom w:val="nil"/>
              <w:right w:val="nil"/>
            </w:tcBorders>
            <w:vAlign w:val="center"/>
          </w:tcPr>
          <w:p w:rsidR="00224AB1" w:rsidRDefault="00224AB1">
            <w:pPr>
              <w:widowControl/>
              <w:jc w:val="center"/>
              <w:rPr>
                <w:rFonts w:ascii="宋体"/>
                <w:b/>
                <w:bCs/>
                <w:color w:val="000000"/>
                <w:kern w:val="0"/>
              </w:rPr>
            </w:pPr>
          </w:p>
        </w:tc>
        <w:tc>
          <w:tcPr>
            <w:tcW w:w="1138" w:type="dxa"/>
            <w:tcBorders>
              <w:top w:val="nil"/>
              <w:left w:val="nil"/>
              <w:bottom w:val="nil"/>
              <w:right w:val="nil"/>
            </w:tcBorders>
            <w:vAlign w:val="center"/>
          </w:tcPr>
          <w:p w:rsidR="00224AB1" w:rsidRDefault="00224AB1">
            <w:pPr>
              <w:widowControl/>
              <w:jc w:val="center"/>
              <w:rPr>
                <w:rFonts w:ascii="宋体"/>
                <w:b/>
                <w:bCs/>
                <w:color w:val="000000"/>
                <w:kern w:val="0"/>
              </w:rPr>
            </w:pPr>
          </w:p>
        </w:tc>
        <w:tc>
          <w:tcPr>
            <w:tcW w:w="1134" w:type="dxa"/>
            <w:tcBorders>
              <w:top w:val="nil"/>
              <w:left w:val="nil"/>
              <w:bottom w:val="nil"/>
              <w:right w:val="nil"/>
            </w:tcBorders>
            <w:vAlign w:val="center"/>
          </w:tcPr>
          <w:p w:rsidR="00224AB1" w:rsidRDefault="00224AB1">
            <w:pPr>
              <w:widowControl/>
              <w:jc w:val="center"/>
              <w:rPr>
                <w:rFonts w:ascii="宋体"/>
                <w:b/>
                <w:bCs/>
                <w:color w:val="000000"/>
                <w:kern w:val="0"/>
              </w:rPr>
            </w:pPr>
          </w:p>
        </w:tc>
        <w:tc>
          <w:tcPr>
            <w:tcW w:w="2267" w:type="dxa"/>
            <w:tcBorders>
              <w:top w:val="nil"/>
              <w:left w:val="nil"/>
              <w:bottom w:val="nil"/>
              <w:right w:val="nil"/>
            </w:tcBorders>
            <w:vAlign w:val="center"/>
          </w:tcPr>
          <w:p w:rsidR="00224AB1" w:rsidRDefault="00224AB1">
            <w:pPr>
              <w:widowControl/>
              <w:jc w:val="center"/>
              <w:rPr>
                <w:rFonts w:ascii="宋体"/>
                <w:b/>
                <w:bCs/>
                <w:color w:val="000000"/>
                <w:kern w:val="0"/>
              </w:rPr>
            </w:pPr>
          </w:p>
        </w:tc>
        <w:tc>
          <w:tcPr>
            <w:tcW w:w="2718" w:type="dxa"/>
            <w:gridSpan w:val="3"/>
            <w:tcBorders>
              <w:top w:val="nil"/>
              <w:left w:val="nil"/>
              <w:bottom w:val="nil"/>
              <w:right w:val="nil"/>
            </w:tcBorders>
            <w:vAlign w:val="center"/>
          </w:tcPr>
          <w:p w:rsidR="00224AB1" w:rsidRDefault="00224AB1">
            <w:pPr>
              <w:widowControl/>
              <w:jc w:val="center"/>
              <w:rPr>
                <w:rFonts w:ascii="宋体"/>
                <w:b/>
                <w:bCs/>
                <w:color w:val="000000"/>
                <w:kern w:val="0"/>
              </w:rPr>
            </w:pPr>
          </w:p>
        </w:tc>
        <w:tc>
          <w:tcPr>
            <w:tcW w:w="922" w:type="dxa"/>
            <w:gridSpan w:val="2"/>
            <w:tcBorders>
              <w:top w:val="nil"/>
              <w:left w:val="nil"/>
              <w:bottom w:val="nil"/>
              <w:right w:val="nil"/>
            </w:tcBorders>
            <w:vAlign w:val="center"/>
          </w:tcPr>
          <w:p w:rsidR="00224AB1" w:rsidRDefault="00224AB1">
            <w:pPr>
              <w:widowControl/>
              <w:jc w:val="center"/>
              <w:rPr>
                <w:rFonts w:ascii="宋体"/>
                <w:b/>
                <w:bCs/>
                <w:color w:val="000000"/>
                <w:kern w:val="0"/>
              </w:rPr>
            </w:pPr>
          </w:p>
        </w:tc>
        <w:tc>
          <w:tcPr>
            <w:tcW w:w="1037" w:type="dxa"/>
            <w:gridSpan w:val="2"/>
            <w:tcBorders>
              <w:top w:val="nil"/>
              <w:left w:val="nil"/>
              <w:bottom w:val="nil"/>
              <w:right w:val="nil"/>
            </w:tcBorders>
            <w:vAlign w:val="center"/>
          </w:tcPr>
          <w:p w:rsidR="00224AB1" w:rsidRDefault="00224AB1">
            <w:pPr>
              <w:widowControl/>
              <w:jc w:val="center"/>
              <w:rPr>
                <w:rFonts w:ascii="宋体"/>
                <w:b/>
                <w:bCs/>
                <w:color w:val="000000"/>
                <w:kern w:val="0"/>
              </w:rPr>
            </w:pPr>
          </w:p>
        </w:tc>
        <w:tc>
          <w:tcPr>
            <w:tcW w:w="2829" w:type="dxa"/>
            <w:gridSpan w:val="3"/>
            <w:tcBorders>
              <w:top w:val="nil"/>
              <w:left w:val="nil"/>
              <w:bottom w:val="nil"/>
              <w:right w:val="nil"/>
            </w:tcBorders>
          </w:tcPr>
          <w:p w:rsidR="00224AB1" w:rsidRDefault="00A8780A">
            <w:pPr>
              <w:widowControl/>
              <w:jc w:val="right"/>
              <w:rPr>
                <w:rFonts w:ascii="宋体"/>
                <w:color w:val="000000"/>
                <w:kern w:val="0"/>
              </w:rPr>
            </w:pPr>
            <w:r>
              <w:rPr>
                <w:rFonts w:ascii="宋体" w:hAnsi="宋体" w:cs="宋体" w:hint="eastAsia"/>
                <w:color w:val="000000"/>
                <w:kern w:val="0"/>
                <w:sz w:val="22"/>
                <w:szCs w:val="22"/>
              </w:rPr>
              <w:t>单位：人民币亿元</w:t>
            </w:r>
          </w:p>
        </w:tc>
      </w:tr>
      <w:tr w:rsidR="00224AB1">
        <w:trPr>
          <w:trHeight w:val="347"/>
        </w:trPr>
        <w:tc>
          <w:tcPr>
            <w:tcW w:w="552" w:type="dxa"/>
            <w:vMerge w:val="restart"/>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序号</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公司名称</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注册地</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注册资本</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本公司持股比例</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经营范围</w:t>
            </w:r>
          </w:p>
        </w:tc>
        <w:tc>
          <w:tcPr>
            <w:tcW w:w="5533" w:type="dxa"/>
            <w:gridSpan w:val="8"/>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color w:val="000000"/>
                <w:kern w:val="0"/>
                <w:sz w:val="22"/>
                <w:szCs w:val="22"/>
              </w:rPr>
              <w:t>2018</w:t>
            </w:r>
            <w:r>
              <w:rPr>
                <w:rFonts w:ascii="宋体" w:hAnsi="宋体" w:cs="宋体" w:hint="eastAsia"/>
                <w:color w:val="000000"/>
                <w:kern w:val="0"/>
                <w:sz w:val="22"/>
                <w:szCs w:val="22"/>
              </w:rPr>
              <w:t>年</w:t>
            </w:r>
            <w:r>
              <w:rPr>
                <w:rFonts w:ascii="宋体" w:hAnsi="宋体" w:cs="宋体"/>
                <w:color w:val="000000"/>
                <w:kern w:val="0"/>
                <w:sz w:val="22"/>
                <w:szCs w:val="22"/>
              </w:rPr>
              <w:t>12</w:t>
            </w:r>
            <w:r>
              <w:rPr>
                <w:rFonts w:ascii="宋体" w:hAnsi="宋体" w:cs="宋体" w:hint="eastAsia"/>
                <w:color w:val="000000"/>
                <w:kern w:val="0"/>
                <w:sz w:val="22"/>
                <w:szCs w:val="22"/>
              </w:rPr>
              <w:t>月</w:t>
            </w:r>
            <w:r>
              <w:rPr>
                <w:rFonts w:ascii="宋体" w:hAnsi="宋体" w:cs="宋体"/>
                <w:color w:val="000000"/>
                <w:kern w:val="0"/>
                <w:sz w:val="22"/>
                <w:szCs w:val="22"/>
              </w:rPr>
              <w:t>31</w:t>
            </w:r>
            <w:r>
              <w:rPr>
                <w:rFonts w:ascii="宋体" w:hAnsi="宋体" w:cs="宋体" w:hint="eastAsia"/>
                <w:color w:val="000000"/>
                <w:kern w:val="0"/>
                <w:sz w:val="22"/>
                <w:szCs w:val="22"/>
              </w:rPr>
              <w:t>日</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color w:val="000000"/>
                <w:kern w:val="0"/>
                <w:sz w:val="22"/>
                <w:szCs w:val="22"/>
              </w:rPr>
              <w:t>2018</w:t>
            </w:r>
            <w:r>
              <w:rPr>
                <w:rFonts w:ascii="宋体" w:hAnsi="宋体" w:cs="宋体" w:hint="eastAsia"/>
                <w:color w:val="000000"/>
                <w:kern w:val="0"/>
                <w:sz w:val="22"/>
                <w:szCs w:val="22"/>
              </w:rPr>
              <w:t>年度</w:t>
            </w:r>
          </w:p>
        </w:tc>
      </w:tr>
      <w:tr w:rsidR="00224AB1">
        <w:trPr>
          <w:trHeight w:val="463"/>
        </w:trPr>
        <w:tc>
          <w:tcPr>
            <w:tcW w:w="552"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color w:val="000000"/>
                <w:kern w:val="0"/>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color w:val="000000"/>
                <w:kern w:val="0"/>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color w:val="000000"/>
                <w:kern w:val="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color w:val="000000"/>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color w:val="000000"/>
                <w:kern w:val="0"/>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color w:val="000000"/>
                <w:kern w:val="0"/>
              </w:rPr>
            </w:pP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资产总额</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负债总额</w:t>
            </w:r>
          </w:p>
        </w:tc>
        <w:tc>
          <w:tcPr>
            <w:tcW w:w="851" w:type="dxa"/>
            <w:gridSpan w:val="2"/>
            <w:tcBorders>
              <w:top w:val="nil"/>
              <w:left w:val="nil"/>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净资产</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资产负债率</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hint="eastAsia"/>
                <w:color w:val="000000"/>
                <w:kern w:val="0"/>
                <w:sz w:val="22"/>
                <w:szCs w:val="22"/>
              </w:rPr>
              <w:t>流动    负债</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hint="eastAsia"/>
                <w:color w:val="000000"/>
                <w:kern w:val="0"/>
                <w:sz w:val="22"/>
                <w:szCs w:val="22"/>
              </w:rPr>
              <w:t>银行借款</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营业收入</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宋体"/>
                <w:color w:val="000000"/>
                <w:kern w:val="0"/>
              </w:rPr>
            </w:pPr>
            <w:r>
              <w:rPr>
                <w:rFonts w:ascii="宋体" w:hAnsi="宋体" w:cs="宋体" w:hint="eastAsia"/>
                <w:color w:val="000000"/>
                <w:kern w:val="0"/>
                <w:sz w:val="22"/>
                <w:szCs w:val="22"/>
              </w:rPr>
              <w:t>净利润</w:t>
            </w:r>
          </w:p>
        </w:tc>
      </w:tr>
      <w:tr w:rsidR="00224AB1">
        <w:trPr>
          <w:trHeight w:val="549"/>
        </w:trPr>
        <w:tc>
          <w:tcPr>
            <w:tcW w:w="552"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w:t>
            </w:r>
          </w:p>
        </w:tc>
        <w:tc>
          <w:tcPr>
            <w:tcW w:w="1555" w:type="dxa"/>
            <w:tcBorders>
              <w:top w:val="nil"/>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兖煤澳大利亚有限公司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澳大利亚</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60.27亿</w:t>
            </w:r>
            <w:r>
              <w:rPr>
                <w:rFonts w:asciiTheme="minorEastAsia" w:eastAsiaTheme="minorEastAsia" w:hAnsiTheme="minorEastAsia" w:cs="Arial"/>
                <w:kern w:val="0"/>
                <w:sz w:val="22"/>
                <w:szCs w:val="22"/>
              </w:rPr>
              <w:t>澳元</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62.26%</w:t>
            </w:r>
          </w:p>
        </w:tc>
        <w:tc>
          <w:tcPr>
            <w:tcW w:w="2267" w:type="dxa"/>
            <w:tcBorders>
              <w:top w:val="nil"/>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煤矿</w:t>
            </w:r>
            <w:r>
              <w:rPr>
                <w:rFonts w:asciiTheme="minorEastAsia" w:eastAsiaTheme="minorEastAsia" w:hAnsiTheme="minorEastAsia" w:cs="Arial"/>
                <w:kern w:val="0"/>
                <w:sz w:val="22"/>
                <w:szCs w:val="22"/>
              </w:rPr>
              <w:t>开采</w:t>
            </w:r>
            <w:r>
              <w:rPr>
                <w:rFonts w:asciiTheme="minorEastAsia" w:eastAsiaTheme="minorEastAsia" w:hAnsiTheme="minorEastAsia" w:cs="Arial" w:hint="eastAsia"/>
                <w:kern w:val="0"/>
                <w:sz w:val="22"/>
                <w:szCs w:val="22"/>
              </w:rPr>
              <w:t>、</w:t>
            </w:r>
            <w:r>
              <w:rPr>
                <w:rFonts w:asciiTheme="minorEastAsia" w:eastAsiaTheme="minorEastAsia" w:hAnsiTheme="minorEastAsia" w:cs="Arial"/>
                <w:kern w:val="0"/>
                <w:sz w:val="22"/>
                <w:szCs w:val="22"/>
              </w:rPr>
              <w:t>煤炭销售</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589.26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314.80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274.46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53.42%</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43.79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196.97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232.71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42.73 </w:t>
            </w:r>
          </w:p>
        </w:tc>
      </w:tr>
      <w:tr w:rsidR="00224AB1">
        <w:trPr>
          <w:trHeight w:val="701"/>
        </w:trPr>
        <w:tc>
          <w:tcPr>
            <w:tcW w:w="552"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cs="宋体" w:hint="eastAsia"/>
                <w:color w:val="000000"/>
                <w:kern w:val="0"/>
                <w:sz w:val="22"/>
                <w:szCs w:val="22"/>
              </w:rPr>
              <w:t>2</w:t>
            </w:r>
          </w:p>
        </w:tc>
        <w:tc>
          <w:tcPr>
            <w:tcW w:w="1555" w:type="dxa"/>
            <w:tcBorders>
              <w:top w:val="nil"/>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olor w:val="000000"/>
                <w:kern w:val="0"/>
                <w:szCs w:val="22"/>
              </w:rPr>
            </w:pPr>
            <w:r>
              <w:rPr>
                <w:rFonts w:asciiTheme="minorEastAsia" w:eastAsiaTheme="minorEastAsia" w:hAnsiTheme="minorEastAsia" w:cs="宋体" w:hint="eastAsia"/>
                <w:color w:val="000000"/>
                <w:kern w:val="0"/>
                <w:sz w:val="22"/>
                <w:szCs w:val="22"/>
              </w:rPr>
              <w:t>兖煤国际（控股）有限公司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280万美元</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2267"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对外投资、矿山技术开发、转让与咨询服务、进出口贸易</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121.39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88.10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33.29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72.57%</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66.82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47.99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0.23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5.49 </w:t>
            </w:r>
          </w:p>
        </w:tc>
      </w:tr>
      <w:tr w:rsidR="00224AB1">
        <w:trPr>
          <w:trHeight w:val="629"/>
        </w:trPr>
        <w:tc>
          <w:tcPr>
            <w:tcW w:w="552"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3</w:t>
            </w:r>
          </w:p>
        </w:tc>
        <w:tc>
          <w:tcPr>
            <w:tcW w:w="1555" w:type="dxa"/>
            <w:tcBorders>
              <w:top w:val="nil"/>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兖煤国际贸易有限公司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100万美元</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2267"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进出口贸易</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22.69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21.69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1.00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95.62%</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21.69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238.07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1.02 </w:t>
            </w:r>
          </w:p>
        </w:tc>
      </w:tr>
      <w:tr w:rsidR="00224AB1">
        <w:trPr>
          <w:trHeight w:val="619"/>
        </w:trPr>
        <w:tc>
          <w:tcPr>
            <w:tcW w:w="552"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cs="宋体" w:hint="eastAsia"/>
                <w:color w:val="000000"/>
                <w:kern w:val="0"/>
                <w:sz w:val="22"/>
                <w:szCs w:val="22"/>
              </w:rPr>
              <w:t>4</w:t>
            </w:r>
          </w:p>
        </w:tc>
        <w:tc>
          <w:tcPr>
            <w:tcW w:w="1555" w:type="dxa"/>
            <w:tcBorders>
              <w:top w:val="nil"/>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olor w:val="000000"/>
                <w:kern w:val="0"/>
                <w:szCs w:val="22"/>
              </w:rPr>
            </w:pPr>
            <w:r>
              <w:rPr>
                <w:rFonts w:asciiTheme="minorEastAsia" w:eastAsiaTheme="minorEastAsia" w:hAnsiTheme="minorEastAsia" w:cs="宋体" w:hint="eastAsia"/>
                <w:color w:val="000000"/>
                <w:kern w:val="0"/>
                <w:sz w:val="22"/>
                <w:szCs w:val="22"/>
              </w:rPr>
              <w:t>兖煤国际资源开发有限公司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60万美元</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2267"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矿产资源勘探开发</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74.50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43.03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31.47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57.75%</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13.11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1.29 </w:t>
            </w:r>
          </w:p>
        </w:tc>
      </w:tr>
      <w:tr w:rsidR="00224AB1">
        <w:trPr>
          <w:trHeight w:val="572"/>
        </w:trPr>
        <w:tc>
          <w:tcPr>
            <w:tcW w:w="552"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cs="宋体" w:hint="eastAsia"/>
                <w:color w:val="000000"/>
                <w:kern w:val="0"/>
                <w:sz w:val="22"/>
                <w:szCs w:val="22"/>
              </w:rPr>
              <w:t>5</w:t>
            </w:r>
          </w:p>
        </w:tc>
        <w:tc>
          <w:tcPr>
            <w:tcW w:w="1555" w:type="dxa"/>
            <w:tcBorders>
              <w:top w:val="nil"/>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olor w:val="000000"/>
                <w:kern w:val="0"/>
                <w:szCs w:val="22"/>
              </w:rPr>
            </w:pPr>
            <w:r>
              <w:rPr>
                <w:rFonts w:asciiTheme="minorEastAsia" w:eastAsiaTheme="minorEastAsia" w:hAnsiTheme="minorEastAsia" w:cs="宋体" w:hint="eastAsia"/>
                <w:color w:val="000000"/>
                <w:kern w:val="0"/>
                <w:sz w:val="22"/>
                <w:szCs w:val="22"/>
              </w:rPr>
              <w:t>兖煤国际技术开发有限公司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100万美元</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2267"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矿山开采技术的开发、转让与咨询服务</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8.80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6.39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2.41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72.61%</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6.39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0.16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0.17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中垠融资租赁有限公司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上海</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70亿人民币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融资租赁业务；租赁业务；向国内外购买租赁财产</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121.36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56.62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64.74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46.65%</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40.64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20.58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6.18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2.93 </w:t>
            </w:r>
          </w:p>
        </w:tc>
      </w:tr>
      <w:tr w:rsidR="00224AB1">
        <w:trPr>
          <w:trHeight w:val="866"/>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color w:val="000000"/>
                <w:kern w:val="0"/>
                <w:sz w:val="22"/>
                <w:szCs w:val="22"/>
              </w:rPr>
              <w:t>7</w:t>
            </w:r>
          </w:p>
        </w:tc>
        <w:tc>
          <w:tcPr>
            <w:tcW w:w="1555" w:type="dxa"/>
            <w:tcBorders>
              <w:top w:val="nil"/>
              <w:left w:val="nil"/>
              <w:bottom w:val="single" w:sz="4" w:space="0" w:color="auto"/>
              <w:right w:val="single" w:sz="4" w:space="0" w:color="auto"/>
            </w:tcBorders>
            <w:vAlign w:val="center"/>
          </w:tcPr>
          <w:p w:rsidR="00224AB1" w:rsidRDefault="00A8780A">
            <w:pPr>
              <w:widowControl/>
              <w:adjustRightInd w:val="0"/>
              <w:snapToGrid w:val="0"/>
              <w:spacing w:after="200"/>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青岛中垠瑞丰国际贸易有限公司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山东青岛</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2亿人民币</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51%</w:t>
            </w:r>
          </w:p>
        </w:tc>
        <w:tc>
          <w:tcPr>
            <w:tcW w:w="2267"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国际贸易、转口贸易、自营各类商品的进出口贸易</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36.76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34.11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2.65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92.81%</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34.11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12.93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243.76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0.28 </w:t>
            </w:r>
          </w:p>
        </w:tc>
      </w:tr>
      <w:tr w:rsidR="00224AB1">
        <w:trPr>
          <w:trHeight w:val="702"/>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color w:val="000000"/>
                <w:kern w:val="0"/>
                <w:sz w:val="22"/>
                <w:szCs w:val="22"/>
              </w:rPr>
              <w:t>8</w:t>
            </w:r>
          </w:p>
        </w:tc>
        <w:tc>
          <w:tcPr>
            <w:tcW w:w="1555" w:type="dxa"/>
            <w:tcBorders>
              <w:top w:val="nil"/>
              <w:left w:val="nil"/>
              <w:bottom w:val="single" w:sz="4" w:space="0" w:color="auto"/>
              <w:right w:val="single" w:sz="4" w:space="0" w:color="auto"/>
            </w:tcBorders>
            <w:vAlign w:val="center"/>
          </w:tcPr>
          <w:p w:rsidR="00224AB1" w:rsidRDefault="00A8780A">
            <w:pPr>
              <w:widowControl/>
              <w:adjustRightInd w:val="0"/>
              <w:snapToGrid w:val="0"/>
              <w:spacing w:after="200"/>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中垠瑞丰（香港）有限公司</w:t>
            </w:r>
          </w:p>
        </w:tc>
        <w:tc>
          <w:tcPr>
            <w:tcW w:w="991"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1000万港币</w:t>
            </w:r>
          </w:p>
        </w:tc>
        <w:tc>
          <w:tcPr>
            <w:tcW w:w="1134"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51%</w:t>
            </w:r>
          </w:p>
        </w:tc>
        <w:tc>
          <w:tcPr>
            <w:tcW w:w="2267"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国际贸易、转口贸易、自营各类商品的进出口贸易</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6.41 </w:t>
            </w:r>
          </w:p>
        </w:tc>
        <w:tc>
          <w:tcPr>
            <w:tcW w:w="992"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6.19 </w:t>
            </w:r>
          </w:p>
        </w:tc>
        <w:tc>
          <w:tcPr>
            <w:tcW w:w="851" w:type="dxa"/>
            <w:gridSpan w:val="2"/>
            <w:tcBorders>
              <w:top w:val="nil"/>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0.22 </w:t>
            </w:r>
          </w:p>
        </w:tc>
        <w:tc>
          <w:tcPr>
            <w:tcW w:w="992" w:type="dxa"/>
            <w:gridSpan w:val="2"/>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96.51%</w:t>
            </w:r>
          </w:p>
        </w:tc>
        <w:tc>
          <w:tcPr>
            <w:tcW w:w="850"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6.19 </w:t>
            </w:r>
          </w:p>
        </w:tc>
        <w:tc>
          <w:tcPr>
            <w:tcW w:w="856"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5.66 </w:t>
            </w:r>
          </w:p>
        </w:tc>
        <w:tc>
          <w:tcPr>
            <w:tcW w:w="987" w:type="dxa"/>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67.73 </w:t>
            </w:r>
          </w:p>
        </w:tc>
        <w:tc>
          <w:tcPr>
            <w:tcW w:w="986" w:type="dxa"/>
            <w:tcBorders>
              <w:top w:val="nil"/>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0.04 </w:t>
            </w:r>
          </w:p>
        </w:tc>
      </w:tr>
      <w:tr w:rsidR="00224AB1">
        <w:trPr>
          <w:trHeight w:val="476"/>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color w:val="000000"/>
                <w:kern w:val="0"/>
                <w:sz w:val="22"/>
                <w:szCs w:val="22"/>
              </w:rPr>
              <w:t>9</w:t>
            </w:r>
          </w:p>
        </w:tc>
        <w:tc>
          <w:tcPr>
            <w:tcW w:w="1555"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adjustRightInd w:val="0"/>
              <w:snapToGrid w:val="0"/>
              <w:spacing w:after="200"/>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山东中垠国际贸易有限公司</w:t>
            </w:r>
          </w:p>
        </w:tc>
        <w:tc>
          <w:tcPr>
            <w:tcW w:w="991"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山东济南</w:t>
            </w:r>
          </w:p>
        </w:tc>
        <w:tc>
          <w:tcPr>
            <w:tcW w:w="1138"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3亿人民币</w:t>
            </w:r>
          </w:p>
        </w:tc>
        <w:tc>
          <w:tcPr>
            <w:tcW w:w="1134"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100%</w:t>
            </w:r>
          </w:p>
        </w:tc>
        <w:tc>
          <w:tcPr>
            <w:tcW w:w="226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货物及技术进出口业务；煤炭、煤矿机械</w:t>
            </w:r>
            <w:r>
              <w:rPr>
                <w:rFonts w:asciiTheme="minorEastAsia" w:eastAsiaTheme="minorEastAsia" w:hAnsiTheme="minorEastAsia" w:cs="Arial" w:hint="eastAsia"/>
                <w:kern w:val="0"/>
                <w:sz w:val="22"/>
                <w:szCs w:val="22"/>
              </w:rPr>
              <w:lastRenderedPageBreak/>
              <w:t>设备及配件等的销售</w:t>
            </w:r>
          </w:p>
        </w:tc>
        <w:tc>
          <w:tcPr>
            <w:tcW w:w="99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lastRenderedPageBreak/>
              <w:t xml:space="preserve">10.32 </w:t>
            </w:r>
          </w:p>
        </w:tc>
        <w:tc>
          <w:tcPr>
            <w:tcW w:w="99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6.28 </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4.04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60.80%</w:t>
            </w:r>
          </w:p>
        </w:tc>
        <w:tc>
          <w:tcPr>
            <w:tcW w:w="850"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6.28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130.59 </w:t>
            </w:r>
          </w:p>
        </w:tc>
        <w:tc>
          <w:tcPr>
            <w:tcW w:w="98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1.59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color w:val="000000"/>
                <w:kern w:val="0"/>
                <w:sz w:val="22"/>
                <w:szCs w:val="22"/>
              </w:rPr>
              <w:lastRenderedPageBreak/>
              <w:t>10</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adjustRightInd w:val="0"/>
              <w:snapToGrid w:val="0"/>
              <w:spacing w:after="200"/>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青岛中兖贸易有限公司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山东青岛</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0.5亿人民币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国内大宗商品贸易、国际贸易、转口贸易、代理自营各类商品的进出口贸易</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7.33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6.35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0.98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86.71%</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6.35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3.35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104.83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0.16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color w:val="000000"/>
                <w:kern w:val="0"/>
                <w:sz w:val="22"/>
                <w:szCs w:val="22"/>
              </w:rPr>
              <w:t>1</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中垠（泰安）融资租赁有限公司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山东泰安</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15.93亿人民币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70%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融资租赁业务；租赁业务</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17.12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2.54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14.58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14.83%</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1.20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0.48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0.63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0.37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w:t>
            </w:r>
            <w:r>
              <w:rPr>
                <w:rFonts w:asciiTheme="minorEastAsia" w:eastAsiaTheme="minorEastAsia" w:hAnsiTheme="minorEastAsia" w:cs="宋体"/>
                <w:color w:val="000000"/>
                <w:kern w:val="0"/>
                <w:sz w:val="22"/>
                <w:szCs w:val="22"/>
              </w:rPr>
              <w:t>2</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端信（深圳）投资控股有限公司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100亿人民币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股权投资；受托资产管理；投资管理</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13.02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1.63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11.39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12.56%</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1.63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15.21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0.24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端信商业保理（深圳）有限公司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商业保理业务；贸易业务</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5.07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3.93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1.14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77.49%</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3.93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3.81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0.22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0.06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端信供应链（深圳）有限公司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供应链管理及相关配套服务；贸易业务</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8.37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7.31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1.06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87.27%</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7.31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5.68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14.98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0.06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15</w:t>
            </w:r>
          </w:p>
        </w:tc>
        <w:tc>
          <w:tcPr>
            <w:tcW w:w="1555" w:type="dxa"/>
            <w:tcBorders>
              <w:top w:val="single" w:sz="4" w:space="0" w:color="auto"/>
              <w:left w:val="nil"/>
              <w:bottom w:val="single" w:sz="4" w:space="0" w:color="auto"/>
              <w:right w:val="single" w:sz="4" w:space="0" w:color="auto"/>
            </w:tcBorders>
            <w:vAlign w:val="center"/>
          </w:tcPr>
          <w:p w:rsidR="00224AB1" w:rsidRDefault="00A8780A">
            <w:pPr>
              <w:widowControl/>
              <w:jc w:val="left"/>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兖煤国际（新加坡）有限公司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新加坡</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1000万美金</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经营大宗商品贸易</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0.69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0.002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0.688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0.25%</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0.002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291.23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0.01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16</w:t>
            </w:r>
          </w:p>
        </w:tc>
        <w:tc>
          <w:tcPr>
            <w:tcW w:w="1555" w:type="dxa"/>
            <w:tcBorders>
              <w:top w:val="single" w:sz="4" w:space="0" w:color="auto"/>
              <w:left w:val="nil"/>
              <w:bottom w:val="single" w:sz="4" w:space="0" w:color="auto"/>
              <w:right w:val="single" w:sz="4" w:space="0" w:color="auto"/>
            </w:tcBorders>
          </w:tcPr>
          <w:p w:rsidR="00224AB1" w:rsidRDefault="00A8780A">
            <w:pPr>
              <w:rPr>
                <w:rFonts w:asciiTheme="minorEastAsia" w:eastAsiaTheme="minorEastAsia" w:hAnsiTheme="minorEastAsia"/>
                <w:szCs w:val="22"/>
              </w:rPr>
            </w:pPr>
            <w:r>
              <w:rPr>
                <w:rFonts w:asciiTheme="minorEastAsia" w:eastAsiaTheme="minorEastAsia" w:hAnsiTheme="minorEastAsia" w:hint="eastAsia"/>
                <w:sz w:val="22"/>
                <w:szCs w:val="22"/>
              </w:rPr>
              <w:t>山东省东岳泰恒发展有限公司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山东泰安</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5亿人民币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40%</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经营大宗商品贸易</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4.93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-0.08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5.01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-1.71%</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-0.08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0.43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0.01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17</w:t>
            </w:r>
          </w:p>
        </w:tc>
        <w:tc>
          <w:tcPr>
            <w:tcW w:w="1555" w:type="dxa"/>
            <w:tcBorders>
              <w:top w:val="single" w:sz="4" w:space="0" w:color="auto"/>
              <w:left w:val="nil"/>
              <w:bottom w:val="single" w:sz="4" w:space="0" w:color="auto"/>
              <w:right w:val="single" w:sz="4" w:space="0" w:color="auto"/>
            </w:tcBorders>
          </w:tcPr>
          <w:p w:rsidR="00224AB1" w:rsidRDefault="00A8780A">
            <w:pPr>
              <w:rPr>
                <w:rFonts w:asciiTheme="minorEastAsia" w:eastAsiaTheme="minorEastAsia" w:hAnsiTheme="minorEastAsia"/>
                <w:szCs w:val="22"/>
              </w:rPr>
            </w:pPr>
            <w:r>
              <w:rPr>
                <w:rFonts w:asciiTheme="minorEastAsia" w:eastAsiaTheme="minorEastAsia" w:hAnsiTheme="minorEastAsia" w:hint="eastAsia"/>
                <w:sz w:val="22"/>
                <w:szCs w:val="22"/>
              </w:rPr>
              <w:t>兖矿（海南）智慧物流科技有限公司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海南海口</w:t>
            </w:r>
          </w:p>
        </w:tc>
        <w:tc>
          <w:tcPr>
            <w:tcW w:w="1138"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51%</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经营大宗商品贸易</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4.62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3.62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1.00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78.29%</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3.62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8.66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r>
      <w:tr w:rsidR="00224AB1">
        <w:trPr>
          <w:trHeight w:val="477"/>
        </w:trPr>
        <w:tc>
          <w:tcPr>
            <w:tcW w:w="552"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宋体"/>
                <w:color w:val="000000"/>
                <w:kern w:val="0"/>
                <w:szCs w:val="22"/>
              </w:rPr>
            </w:pPr>
            <w:r>
              <w:rPr>
                <w:rFonts w:asciiTheme="minorEastAsia" w:eastAsiaTheme="minorEastAsia" w:hAnsiTheme="minorEastAsia" w:cs="宋体" w:hint="eastAsia"/>
                <w:color w:val="000000"/>
                <w:kern w:val="0"/>
                <w:sz w:val="22"/>
                <w:szCs w:val="22"/>
              </w:rPr>
              <w:t>18</w:t>
            </w:r>
          </w:p>
        </w:tc>
        <w:tc>
          <w:tcPr>
            <w:tcW w:w="1555" w:type="dxa"/>
            <w:tcBorders>
              <w:top w:val="single" w:sz="4" w:space="0" w:color="auto"/>
              <w:left w:val="nil"/>
              <w:bottom w:val="single" w:sz="4" w:space="0" w:color="auto"/>
              <w:right w:val="single" w:sz="4" w:space="0" w:color="auto"/>
            </w:tcBorders>
          </w:tcPr>
          <w:p w:rsidR="00224AB1" w:rsidRDefault="00A8780A">
            <w:pPr>
              <w:rPr>
                <w:rFonts w:asciiTheme="minorEastAsia" w:eastAsiaTheme="minorEastAsia" w:hAnsiTheme="minorEastAsia"/>
                <w:szCs w:val="22"/>
              </w:rPr>
            </w:pPr>
            <w:r>
              <w:rPr>
                <w:rFonts w:asciiTheme="minorEastAsia" w:eastAsiaTheme="minorEastAsia" w:hAnsiTheme="minorEastAsia" w:hint="eastAsia"/>
                <w:sz w:val="22"/>
                <w:szCs w:val="22"/>
              </w:rPr>
              <w:t>新垠联有限公司</w:t>
            </w:r>
          </w:p>
        </w:tc>
        <w:tc>
          <w:tcPr>
            <w:tcW w:w="991"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新加坡</w:t>
            </w:r>
          </w:p>
        </w:tc>
        <w:tc>
          <w:tcPr>
            <w:tcW w:w="1138" w:type="dxa"/>
            <w:tcBorders>
              <w:top w:val="single" w:sz="4" w:space="0" w:color="auto"/>
              <w:left w:val="nil"/>
              <w:bottom w:val="single" w:sz="4" w:space="0" w:color="auto"/>
              <w:right w:val="single" w:sz="4" w:space="0" w:color="auto"/>
            </w:tcBorders>
            <w:vAlign w:val="center"/>
          </w:tcPr>
          <w:p w:rsidR="00224AB1" w:rsidRDefault="00E74DA5">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6</w:t>
            </w:r>
            <w:r w:rsidR="00A8780A">
              <w:rPr>
                <w:rFonts w:asciiTheme="minorEastAsia" w:eastAsiaTheme="minorEastAsia" w:hAnsiTheme="minorEastAsia" w:cs="Arial" w:hint="eastAsia"/>
                <w:kern w:val="0"/>
                <w:sz w:val="22"/>
                <w:szCs w:val="22"/>
              </w:rPr>
              <w:t>000万美金</w:t>
            </w:r>
          </w:p>
        </w:tc>
        <w:tc>
          <w:tcPr>
            <w:tcW w:w="1134"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51%</w:t>
            </w:r>
          </w:p>
        </w:tc>
        <w:tc>
          <w:tcPr>
            <w:tcW w:w="2267"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经营大宗商品贸易</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8.41 </w:t>
            </w:r>
          </w:p>
        </w:tc>
        <w:tc>
          <w:tcPr>
            <w:tcW w:w="99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7.69 </w:t>
            </w:r>
          </w:p>
        </w:tc>
        <w:tc>
          <w:tcPr>
            <w:tcW w:w="851" w:type="dxa"/>
            <w:gridSpan w:val="2"/>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 xml:space="preserve">0.72 </w:t>
            </w:r>
          </w:p>
        </w:tc>
        <w:tc>
          <w:tcPr>
            <w:tcW w:w="992" w:type="dxa"/>
            <w:gridSpan w:val="2"/>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91.46%</w:t>
            </w:r>
          </w:p>
        </w:tc>
        <w:tc>
          <w:tcPr>
            <w:tcW w:w="850"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7.69 </w:t>
            </w:r>
          </w:p>
        </w:tc>
        <w:tc>
          <w:tcPr>
            <w:tcW w:w="856"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0.00 </w:t>
            </w:r>
          </w:p>
        </w:tc>
        <w:tc>
          <w:tcPr>
            <w:tcW w:w="987"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48.69 </w:t>
            </w:r>
          </w:p>
        </w:tc>
        <w:tc>
          <w:tcPr>
            <w:tcW w:w="986"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 xml:space="preserve">0.03 </w:t>
            </w:r>
          </w:p>
        </w:tc>
      </w:tr>
    </w:tbl>
    <w:p w:rsidR="00224AB1" w:rsidRDefault="00224AB1">
      <w:pPr>
        <w:widowControl/>
        <w:jc w:val="left"/>
        <w:rPr>
          <w:b/>
          <w:sz w:val="28"/>
          <w:szCs w:val="28"/>
        </w:rPr>
      </w:pPr>
    </w:p>
    <w:p w:rsidR="00224AB1" w:rsidRDefault="00A8780A">
      <w:pPr>
        <w:widowControl/>
        <w:jc w:val="left"/>
        <w:rPr>
          <w:rFonts w:ascii="黑体" w:eastAsia="黑体" w:hAnsi="黑体" w:cs="黑体"/>
          <w:bCs/>
          <w:sz w:val="28"/>
          <w:szCs w:val="28"/>
        </w:rPr>
      </w:pPr>
      <w:r>
        <w:rPr>
          <w:rFonts w:ascii="黑体" w:eastAsia="黑体" w:hAnsi="黑体" w:cs="黑体" w:hint="eastAsia"/>
          <w:bCs/>
          <w:sz w:val="28"/>
          <w:szCs w:val="28"/>
        </w:rPr>
        <w:lastRenderedPageBreak/>
        <w:t>附件二</w:t>
      </w:r>
    </w:p>
    <w:p w:rsidR="00224AB1" w:rsidRDefault="00A8780A">
      <w:pPr>
        <w:widowControl/>
        <w:jc w:val="center"/>
        <w:rPr>
          <w:rFonts w:ascii="宋体"/>
          <w:b/>
          <w:bCs/>
          <w:color w:val="000000"/>
          <w:kern w:val="0"/>
          <w:sz w:val="32"/>
          <w:szCs w:val="32"/>
        </w:rPr>
      </w:pPr>
      <w:r>
        <w:rPr>
          <w:rFonts w:ascii="宋体" w:hAnsi="宋体" w:cs="宋体" w:hint="eastAsia"/>
          <w:b/>
          <w:bCs/>
          <w:color w:val="000000"/>
          <w:kern w:val="0"/>
          <w:sz w:val="32"/>
          <w:szCs w:val="32"/>
        </w:rPr>
        <w:t>拟被担保兖煤澳洲附属公司基本情况表</w:t>
      </w:r>
    </w:p>
    <w:tbl>
      <w:tblPr>
        <w:tblW w:w="15959" w:type="dxa"/>
        <w:jc w:val="center"/>
        <w:tblLayout w:type="fixed"/>
        <w:tblLook w:val="04A0"/>
      </w:tblPr>
      <w:tblGrid>
        <w:gridCol w:w="1548"/>
        <w:gridCol w:w="1418"/>
        <w:gridCol w:w="1417"/>
        <w:gridCol w:w="990"/>
        <w:gridCol w:w="1134"/>
        <w:gridCol w:w="1276"/>
        <w:gridCol w:w="1276"/>
        <w:gridCol w:w="1275"/>
        <w:gridCol w:w="993"/>
        <w:gridCol w:w="1372"/>
        <w:gridCol w:w="851"/>
        <w:gridCol w:w="1134"/>
        <w:gridCol w:w="1275"/>
      </w:tblGrid>
      <w:tr w:rsidR="00224AB1">
        <w:trPr>
          <w:trHeight w:val="585"/>
          <w:jc w:val="center"/>
        </w:trPr>
        <w:tc>
          <w:tcPr>
            <w:tcW w:w="1548" w:type="dxa"/>
            <w:tcBorders>
              <w:top w:val="nil"/>
              <w:left w:val="nil"/>
              <w:bottom w:val="nil"/>
              <w:right w:val="nil"/>
            </w:tcBorders>
            <w:shd w:val="clear" w:color="auto" w:fill="auto"/>
            <w:vAlign w:val="bottom"/>
          </w:tcPr>
          <w:p w:rsidR="00224AB1" w:rsidRDefault="00224AB1">
            <w:pPr>
              <w:widowControl/>
              <w:jc w:val="left"/>
              <w:rPr>
                <w:rFonts w:ascii="宋体" w:hAnsi="宋体" w:cs="Arial"/>
                <w:color w:val="000000"/>
                <w:kern w:val="0"/>
              </w:rPr>
            </w:pPr>
          </w:p>
        </w:tc>
        <w:tc>
          <w:tcPr>
            <w:tcW w:w="1418" w:type="dxa"/>
            <w:tcBorders>
              <w:top w:val="nil"/>
              <w:left w:val="nil"/>
              <w:bottom w:val="nil"/>
              <w:right w:val="nil"/>
            </w:tcBorders>
            <w:shd w:val="clear" w:color="auto" w:fill="auto"/>
            <w:noWrap/>
            <w:vAlign w:val="bottom"/>
          </w:tcPr>
          <w:p w:rsidR="00224AB1" w:rsidRDefault="00224AB1">
            <w:pPr>
              <w:widowControl/>
              <w:jc w:val="left"/>
              <w:rPr>
                <w:rFonts w:ascii="Arial" w:hAnsi="Arial" w:cs="Arial"/>
                <w:kern w:val="0"/>
                <w:sz w:val="20"/>
              </w:rPr>
            </w:pPr>
          </w:p>
        </w:tc>
        <w:tc>
          <w:tcPr>
            <w:tcW w:w="1417" w:type="dxa"/>
            <w:tcBorders>
              <w:top w:val="nil"/>
              <w:left w:val="nil"/>
              <w:bottom w:val="nil"/>
              <w:right w:val="nil"/>
            </w:tcBorders>
            <w:shd w:val="clear" w:color="auto" w:fill="auto"/>
            <w:vAlign w:val="bottom"/>
          </w:tcPr>
          <w:p w:rsidR="00224AB1" w:rsidRDefault="00224AB1">
            <w:pPr>
              <w:widowControl/>
              <w:jc w:val="left"/>
              <w:rPr>
                <w:rFonts w:ascii="宋体" w:hAnsi="宋体" w:cs="Arial"/>
                <w:color w:val="000000"/>
                <w:kern w:val="0"/>
              </w:rPr>
            </w:pPr>
          </w:p>
        </w:tc>
        <w:tc>
          <w:tcPr>
            <w:tcW w:w="990"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134" w:type="dxa"/>
            <w:tcBorders>
              <w:top w:val="nil"/>
              <w:left w:val="nil"/>
              <w:bottom w:val="nil"/>
              <w:right w:val="nil"/>
            </w:tcBorders>
            <w:shd w:val="clear" w:color="auto" w:fill="auto"/>
            <w:vAlign w:val="bottom"/>
          </w:tcPr>
          <w:p w:rsidR="00224AB1" w:rsidRDefault="00224AB1">
            <w:pPr>
              <w:widowControl/>
              <w:jc w:val="left"/>
              <w:rPr>
                <w:rFonts w:ascii="宋体" w:hAnsi="宋体" w:cs="Arial"/>
                <w:color w:val="000000"/>
                <w:kern w:val="0"/>
              </w:rPr>
            </w:pPr>
          </w:p>
        </w:tc>
        <w:tc>
          <w:tcPr>
            <w:tcW w:w="1276"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276"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275" w:type="dxa"/>
            <w:tcBorders>
              <w:top w:val="nil"/>
              <w:left w:val="nil"/>
              <w:bottom w:val="nil"/>
              <w:right w:val="nil"/>
            </w:tcBorders>
            <w:shd w:val="clear" w:color="auto" w:fill="auto"/>
            <w:vAlign w:val="bottom"/>
          </w:tcPr>
          <w:p w:rsidR="00224AB1" w:rsidRDefault="00224AB1">
            <w:pPr>
              <w:widowControl/>
              <w:rPr>
                <w:rFonts w:ascii="宋体" w:hAnsi="宋体" w:cs="Arial"/>
                <w:color w:val="000000"/>
                <w:kern w:val="0"/>
              </w:rPr>
            </w:pPr>
          </w:p>
        </w:tc>
        <w:tc>
          <w:tcPr>
            <w:tcW w:w="993"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372" w:type="dxa"/>
            <w:tcBorders>
              <w:top w:val="nil"/>
              <w:left w:val="nil"/>
              <w:bottom w:val="single" w:sz="4" w:space="0" w:color="auto"/>
              <w:right w:val="nil"/>
            </w:tcBorders>
          </w:tcPr>
          <w:p w:rsidR="00224AB1" w:rsidRDefault="00224AB1">
            <w:pPr>
              <w:widowControl/>
              <w:ind w:right="840"/>
              <w:rPr>
                <w:rFonts w:ascii="宋体" w:hAnsi="宋体" w:cs="Arial"/>
                <w:color w:val="000000"/>
                <w:kern w:val="0"/>
              </w:rPr>
            </w:pPr>
          </w:p>
        </w:tc>
        <w:tc>
          <w:tcPr>
            <w:tcW w:w="851" w:type="dxa"/>
            <w:tcBorders>
              <w:top w:val="nil"/>
              <w:left w:val="nil"/>
              <w:bottom w:val="single" w:sz="4" w:space="0" w:color="auto"/>
              <w:right w:val="nil"/>
            </w:tcBorders>
          </w:tcPr>
          <w:p w:rsidR="00224AB1" w:rsidRDefault="00224AB1">
            <w:pPr>
              <w:widowControl/>
              <w:jc w:val="right"/>
              <w:rPr>
                <w:rFonts w:ascii="宋体" w:hAnsi="宋体" w:cs="Arial"/>
                <w:color w:val="000000"/>
                <w:kern w:val="0"/>
              </w:rPr>
            </w:pPr>
          </w:p>
        </w:tc>
        <w:tc>
          <w:tcPr>
            <w:tcW w:w="2409" w:type="dxa"/>
            <w:gridSpan w:val="2"/>
            <w:tcBorders>
              <w:top w:val="nil"/>
              <w:left w:val="nil"/>
              <w:bottom w:val="single" w:sz="4" w:space="0" w:color="auto"/>
              <w:right w:val="nil"/>
            </w:tcBorders>
            <w:shd w:val="clear" w:color="auto" w:fill="auto"/>
            <w:vAlign w:val="bottom"/>
          </w:tcPr>
          <w:p w:rsidR="00224AB1" w:rsidRDefault="00A8780A">
            <w:pPr>
              <w:widowControl/>
              <w:ind w:right="660"/>
              <w:jc w:val="right"/>
              <w:rPr>
                <w:rFonts w:ascii="宋体" w:hAnsi="宋体" w:cs="Arial"/>
                <w:color w:val="000000"/>
                <w:kern w:val="0"/>
              </w:rPr>
            </w:pPr>
            <w:r>
              <w:rPr>
                <w:rFonts w:ascii="宋体" w:hAnsi="宋体" w:cs="Arial" w:hint="eastAsia"/>
                <w:color w:val="000000"/>
                <w:kern w:val="0"/>
                <w:sz w:val="22"/>
                <w:szCs w:val="22"/>
              </w:rPr>
              <w:t>单位：亿澳元</w:t>
            </w:r>
          </w:p>
        </w:tc>
      </w:tr>
      <w:tr w:rsidR="00224AB1">
        <w:trPr>
          <w:trHeight w:val="300"/>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公司名称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注册地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注册资本</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本公司持股比例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经营范围</w:t>
            </w:r>
          </w:p>
        </w:tc>
        <w:tc>
          <w:tcPr>
            <w:tcW w:w="7043" w:type="dxa"/>
            <w:gridSpan w:val="6"/>
            <w:tcBorders>
              <w:top w:val="single" w:sz="4" w:space="0" w:color="auto"/>
              <w:left w:val="nil"/>
              <w:bottom w:val="single" w:sz="4" w:space="0" w:color="auto"/>
              <w:right w:val="single" w:sz="4" w:space="0" w:color="auto"/>
            </w:tcBorders>
            <w:shd w:val="clear" w:color="auto" w:fill="auto"/>
            <w:vAlign w:val="bottom"/>
          </w:tcPr>
          <w:p w:rsidR="00224AB1" w:rsidRDefault="00A8780A">
            <w:pPr>
              <w:widowControl/>
              <w:jc w:val="center"/>
              <w:rPr>
                <w:rFonts w:cs="Arial"/>
                <w:color w:val="000000"/>
                <w:kern w:val="0"/>
              </w:rPr>
            </w:pPr>
            <w:r>
              <w:rPr>
                <w:rFonts w:cs="Arial"/>
                <w:color w:val="000000"/>
                <w:kern w:val="0"/>
                <w:sz w:val="22"/>
                <w:szCs w:val="22"/>
              </w:rPr>
              <w:t>2018</w:t>
            </w:r>
            <w:r>
              <w:rPr>
                <w:rFonts w:cs="Arial"/>
                <w:color w:val="000000"/>
                <w:kern w:val="0"/>
                <w:sz w:val="22"/>
                <w:szCs w:val="22"/>
              </w:rPr>
              <w:t>年</w:t>
            </w:r>
            <w:r>
              <w:rPr>
                <w:rFonts w:cs="Arial"/>
                <w:color w:val="000000"/>
                <w:kern w:val="0"/>
                <w:sz w:val="22"/>
                <w:szCs w:val="22"/>
              </w:rPr>
              <w:t>12</w:t>
            </w:r>
            <w:r>
              <w:rPr>
                <w:rFonts w:cs="Arial"/>
                <w:color w:val="000000"/>
                <w:kern w:val="0"/>
                <w:sz w:val="22"/>
                <w:szCs w:val="22"/>
              </w:rPr>
              <w:t>月</w:t>
            </w:r>
            <w:r>
              <w:rPr>
                <w:rFonts w:cs="Arial"/>
                <w:color w:val="000000"/>
                <w:kern w:val="0"/>
                <w:sz w:val="22"/>
                <w:szCs w:val="22"/>
              </w:rPr>
              <w:t>31</w:t>
            </w:r>
            <w:r>
              <w:rPr>
                <w:rFonts w:cs="Arial"/>
                <w:color w:val="000000"/>
                <w:kern w:val="0"/>
                <w:sz w:val="22"/>
                <w:szCs w:val="22"/>
              </w:rPr>
              <w:t>日</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4AB1" w:rsidRDefault="00A8780A">
            <w:pPr>
              <w:widowControl/>
              <w:jc w:val="center"/>
              <w:rPr>
                <w:rFonts w:cs="Arial"/>
                <w:color w:val="000000"/>
                <w:kern w:val="0"/>
              </w:rPr>
            </w:pPr>
            <w:r>
              <w:rPr>
                <w:rFonts w:cs="Arial"/>
                <w:color w:val="000000"/>
                <w:kern w:val="0"/>
                <w:sz w:val="22"/>
                <w:szCs w:val="22"/>
              </w:rPr>
              <w:t>2018</w:t>
            </w:r>
            <w:r>
              <w:rPr>
                <w:rFonts w:cs="Arial" w:hint="eastAsia"/>
                <w:color w:val="000000"/>
                <w:kern w:val="0"/>
                <w:sz w:val="22"/>
                <w:szCs w:val="22"/>
              </w:rPr>
              <w:t>年度</w:t>
            </w:r>
          </w:p>
        </w:tc>
      </w:tr>
      <w:tr w:rsidR="00224AB1">
        <w:trPr>
          <w:trHeight w:val="526"/>
          <w:jc w:val="center"/>
        </w:trPr>
        <w:tc>
          <w:tcPr>
            <w:tcW w:w="1548"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left"/>
              <w:rPr>
                <w:rFonts w:ascii="宋体" w:hAnsi="宋体" w:cs="Arial"/>
                <w:color w:val="000000"/>
                <w:kern w:val="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left"/>
              <w:rPr>
                <w:rFonts w:cs="Arial"/>
                <w:color w:val="000000"/>
                <w:kern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left"/>
              <w:rPr>
                <w:rFonts w:cs="Arial"/>
                <w:color w:val="000000"/>
                <w:kern w:val="0"/>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left"/>
              <w:rPr>
                <w:rFonts w:cs="Arial"/>
                <w:color w:val="000000"/>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left"/>
              <w:rPr>
                <w:rFonts w:cs="Arial"/>
                <w:color w:val="000000"/>
                <w:kern w:val="0"/>
              </w:rPr>
            </w:pP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资产总额</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负债总额</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净资产</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资产负债率</w:t>
            </w:r>
          </w:p>
        </w:tc>
        <w:tc>
          <w:tcPr>
            <w:tcW w:w="1372" w:type="dxa"/>
            <w:tcBorders>
              <w:top w:val="single" w:sz="4" w:space="0" w:color="auto"/>
              <w:left w:val="nil"/>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hint="eastAsia"/>
                <w:color w:val="000000"/>
                <w:kern w:val="0"/>
                <w:sz w:val="22"/>
                <w:szCs w:val="22"/>
              </w:rPr>
              <w:t>流动负债</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hint="eastAsia"/>
                <w:color w:val="000000"/>
                <w:kern w:val="0"/>
                <w:sz w:val="22"/>
                <w:szCs w:val="22"/>
              </w:rPr>
              <w:t>银行借款</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营业收入</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净利润</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艾诗顿煤炭合营公司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非法人合资企业</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不适用</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7.62</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4.05</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3.57</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53.12%</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2.15</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2.24</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0.11</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澳思达煤矿有限公司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维多利亚州</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64,000,000澳元</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4.63</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4.14</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0.50</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89.31%</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0.24</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0.82</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0.27</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唐纳森煤矿有限公司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3,636,115.53澳元</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5.26</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5.39</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-0.13</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102.47%</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0.06</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0.02</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0.11</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杜拉里煤矿有限公司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2澳元</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1.48</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4.76</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-3.28</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321.01%</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4.76</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0.02</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hint="eastAsia"/>
                <w:bCs/>
                <w:kern w:val="0"/>
                <w:sz w:val="22"/>
                <w:szCs w:val="22"/>
              </w:rPr>
              <w:t>斯特拉特福煤矿有限公司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西澳</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10澳元</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3.29</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20.95</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-17.65</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636.18%</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20.74</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0.15</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0.21</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莫拉本合营公司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非法人合资企业</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不适用</w:t>
            </w:r>
          </w:p>
        </w:tc>
        <w:tc>
          <w:tcPr>
            <w:tcW w:w="990" w:type="dxa"/>
            <w:tcBorders>
              <w:top w:val="nil"/>
              <w:left w:val="nil"/>
              <w:bottom w:val="single" w:sz="4" w:space="0" w:color="auto"/>
              <w:right w:val="single" w:sz="4" w:space="0" w:color="auto"/>
            </w:tcBorders>
            <w:shd w:val="clear" w:color="auto" w:fill="auto"/>
            <w:vAlign w:val="center"/>
          </w:tcPr>
          <w:p w:rsidR="00224AB1" w:rsidRDefault="00A8780A" w:rsidP="00E74DA5">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8</w:t>
            </w:r>
            <w:r w:rsidR="00E74DA5">
              <w:rPr>
                <w:rFonts w:asciiTheme="minorEastAsia" w:eastAsiaTheme="minorEastAsia" w:hAnsiTheme="minorEastAsia" w:cs="Arial" w:hint="eastAsia"/>
                <w:kern w:val="0"/>
                <w:sz w:val="22"/>
                <w:szCs w:val="22"/>
              </w:rPr>
              <w:t>5</w:t>
            </w:r>
            <w:r>
              <w:rPr>
                <w:rFonts w:asciiTheme="minorEastAsia" w:eastAsiaTheme="minorEastAsia" w:hAnsiTheme="minorEastAsia" w:cs="Arial"/>
                <w:kern w:val="0"/>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17.72</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2.07</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15.65</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11.68%</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2.40</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2.10</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0.81</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兖煤资源有限公司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444,712,130澳元</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hint="eastAsia"/>
                <w:kern w:val="0"/>
                <w:sz w:val="22"/>
                <w:szCs w:val="22"/>
              </w:rPr>
              <w:t>煤炭开采、勘探</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9.28</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4.63</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4.65</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49.89%</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0.38</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4.25</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0.00</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0.59</w:t>
            </w:r>
          </w:p>
        </w:tc>
      </w:tr>
      <w:tr w:rsidR="00224AB1">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bCs/>
                <w:kern w:val="0"/>
                <w:szCs w:val="22"/>
              </w:rPr>
            </w:pPr>
            <w:r>
              <w:rPr>
                <w:rFonts w:asciiTheme="minorEastAsia" w:eastAsiaTheme="minorEastAsia" w:hAnsiTheme="minorEastAsia" w:cs="Arial"/>
                <w:bCs/>
                <w:kern w:val="0"/>
                <w:sz w:val="22"/>
                <w:szCs w:val="22"/>
              </w:rPr>
              <w:t>雅若碧煤炭有限公司</w:t>
            </w:r>
          </w:p>
        </w:tc>
        <w:tc>
          <w:tcPr>
            <w:tcW w:w="141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昆士兰州</w:t>
            </w:r>
          </w:p>
        </w:tc>
        <w:tc>
          <w:tcPr>
            <w:tcW w:w="1417"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92,080澳元</w:t>
            </w:r>
          </w:p>
        </w:tc>
        <w:tc>
          <w:tcPr>
            <w:tcW w:w="990"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8.21</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3.71</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4.50</w:t>
            </w:r>
          </w:p>
        </w:tc>
        <w:tc>
          <w:tcPr>
            <w:tcW w:w="993"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45.24%</w:t>
            </w:r>
          </w:p>
        </w:tc>
        <w:tc>
          <w:tcPr>
            <w:tcW w:w="1372" w:type="dxa"/>
            <w:tcBorders>
              <w:top w:val="single" w:sz="4" w:space="0" w:color="auto"/>
              <w:left w:val="nil"/>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2.21</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4.47</w:t>
            </w:r>
          </w:p>
        </w:tc>
        <w:tc>
          <w:tcPr>
            <w:tcW w:w="1275" w:type="dxa"/>
            <w:tcBorders>
              <w:top w:val="nil"/>
              <w:left w:val="nil"/>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-0.65</w:t>
            </w:r>
          </w:p>
        </w:tc>
      </w:tr>
      <w:tr w:rsidR="00224AB1">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hint="eastAsia"/>
                <w:color w:val="000000"/>
                <w:sz w:val="22"/>
                <w:szCs w:val="22"/>
              </w:rPr>
              <w:t>猎人谷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hint="eastAsia"/>
                <w:color w:val="000000"/>
                <w:sz w:val="22"/>
                <w:szCs w:val="22"/>
              </w:rPr>
              <w:t>67.60%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olor w:val="000000"/>
                <w:kern w:val="0"/>
                <w:szCs w:val="22"/>
              </w:rPr>
            </w:pPr>
            <w:r>
              <w:rPr>
                <w:rFonts w:asciiTheme="minorEastAsia" w:eastAsiaTheme="minorEastAsia" w:hAnsiTheme="minorEastAsia"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25.92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6.54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19.38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25.24%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3.10</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11.35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5.17</w:t>
            </w:r>
          </w:p>
        </w:tc>
      </w:tr>
      <w:tr w:rsidR="00224AB1">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沃克山联营公司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15.90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13.53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14.93%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0.30</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9.43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8.46</w:t>
            </w:r>
          </w:p>
        </w:tc>
      </w:tr>
      <w:tr w:rsidR="00224AB1">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lastRenderedPageBreak/>
              <w:t>索利山联营公司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Theme="minorEastAsia" w:eastAsiaTheme="minorEastAsia" w:hAnsiTheme="minorEastAsia" w:cs="Arial"/>
                <w:kern w:val="0"/>
                <w:szCs w:val="22"/>
              </w:rPr>
            </w:pPr>
            <w:r>
              <w:rPr>
                <w:rFonts w:asciiTheme="minorEastAsia" w:eastAsiaTheme="minorEastAsia" w:hAnsiTheme="minorEastAsia"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color w:val="000000"/>
                <w:szCs w:val="22"/>
              </w:rPr>
            </w:pPr>
            <w:r>
              <w:rPr>
                <w:rFonts w:asciiTheme="minorEastAsia" w:eastAsiaTheme="minorEastAsia" w:hAnsiTheme="minorEastAsia"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7.24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1.51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5.73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20.91%</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0.67</w:t>
            </w:r>
          </w:p>
        </w:tc>
        <w:tc>
          <w:tcPr>
            <w:tcW w:w="851" w:type="dxa"/>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4.76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jc w:val="center"/>
              <w:rPr>
                <w:rFonts w:asciiTheme="minorEastAsia" w:eastAsiaTheme="minorEastAsia" w:hAnsiTheme="minorEastAsia"/>
                <w:szCs w:val="22"/>
              </w:rPr>
            </w:pPr>
            <w:r>
              <w:rPr>
                <w:rFonts w:asciiTheme="minorEastAsia" w:eastAsiaTheme="minorEastAsia" w:hAnsiTheme="minorEastAsia"/>
                <w:sz w:val="22"/>
                <w:szCs w:val="22"/>
              </w:rPr>
              <w:t>2.80</w:t>
            </w:r>
          </w:p>
        </w:tc>
      </w:tr>
    </w:tbl>
    <w:p w:rsidR="00224AB1" w:rsidRDefault="00224AB1">
      <w:pPr>
        <w:widowControl/>
        <w:jc w:val="left"/>
        <w:rPr>
          <w:rFonts w:ascii="黑体" w:eastAsia="黑体" w:hAnsi="黑体" w:cs="黑体"/>
          <w:bCs/>
          <w:sz w:val="28"/>
          <w:szCs w:val="28"/>
        </w:rPr>
      </w:pPr>
    </w:p>
    <w:p w:rsidR="00224AB1" w:rsidRDefault="00A8780A">
      <w:pPr>
        <w:widowControl/>
        <w:jc w:val="left"/>
        <w:rPr>
          <w:rFonts w:ascii="黑体" w:eastAsia="黑体" w:hAnsi="黑体" w:cs="黑体"/>
          <w:bCs/>
          <w:sz w:val="28"/>
          <w:szCs w:val="28"/>
        </w:rPr>
      </w:pPr>
      <w:r>
        <w:rPr>
          <w:rFonts w:ascii="黑体" w:eastAsia="黑体" w:hAnsi="黑体" w:cs="黑体" w:hint="eastAsia"/>
          <w:bCs/>
          <w:sz w:val="28"/>
          <w:szCs w:val="28"/>
        </w:rPr>
        <w:t>附件三</w:t>
      </w:r>
    </w:p>
    <w:p w:rsidR="00224AB1" w:rsidRDefault="00A8780A">
      <w:pPr>
        <w:widowControl/>
        <w:jc w:val="center"/>
        <w:rPr>
          <w:rFonts w:ascii="宋体"/>
          <w:b/>
          <w:bCs/>
          <w:color w:val="000000"/>
          <w:kern w:val="0"/>
          <w:sz w:val="32"/>
          <w:szCs w:val="32"/>
        </w:rPr>
      </w:pPr>
      <w:r>
        <w:rPr>
          <w:rFonts w:ascii="宋体" w:hAnsi="宋体" w:cs="宋体" w:hint="eastAsia"/>
          <w:b/>
          <w:bCs/>
          <w:color w:val="000000"/>
          <w:kern w:val="0"/>
          <w:sz w:val="32"/>
          <w:szCs w:val="32"/>
        </w:rPr>
        <w:t>拟被担保兖煤国际附属公司基本情况表</w:t>
      </w:r>
    </w:p>
    <w:tbl>
      <w:tblPr>
        <w:tblW w:w="15834" w:type="dxa"/>
        <w:tblInd w:w="-926" w:type="dxa"/>
        <w:tblLayout w:type="fixed"/>
        <w:tblLook w:val="04A0"/>
      </w:tblPr>
      <w:tblGrid>
        <w:gridCol w:w="228"/>
        <w:gridCol w:w="1236"/>
        <w:gridCol w:w="628"/>
        <w:gridCol w:w="611"/>
        <w:gridCol w:w="1332"/>
        <w:gridCol w:w="747"/>
        <w:gridCol w:w="406"/>
        <w:gridCol w:w="231"/>
        <w:gridCol w:w="1013"/>
        <w:gridCol w:w="1276"/>
        <w:gridCol w:w="1406"/>
        <w:gridCol w:w="882"/>
        <w:gridCol w:w="314"/>
        <w:gridCol w:w="958"/>
        <w:gridCol w:w="1257"/>
        <w:gridCol w:w="433"/>
        <w:gridCol w:w="409"/>
        <w:gridCol w:w="1143"/>
        <w:gridCol w:w="1276"/>
        <w:gridCol w:w="48"/>
      </w:tblGrid>
      <w:tr w:rsidR="00224AB1">
        <w:trPr>
          <w:gridBefore w:val="1"/>
          <w:wBefore w:w="228" w:type="dxa"/>
          <w:trHeight w:val="460"/>
        </w:trPr>
        <w:tc>
          <w:tcPr>
            <w:tcW w:w="1236" w:type="dxa"/>
            <w:tcBorders>
              <w:top w:val="nil"/>
              <w:left w:val="nil"/>
              <w:bottom w:val="nil"/>
              <w:right w:val="nil"/>
            </w:tcBorders>
            <w:shd w:val="clear" w:color="auto" w:fill="auto"/>
            <w:vAlign w:val="bottom"/>
          </w:tcPr>
          <w:p w:rsidR="00224AB1" w:rsidRDefault="00224AB1">
            <w:pPr>
              <w:widowControl/>
              <w:jc w:val="left"/>
              <w:rPr>
                <w:rFonts w:ascii="宋体" w:hAnsi="宋体" w:cs="Arial"/>
                <w:color w:val="000000"/>
                <w:kern w:val="0"/>
              </w:rPr>
            </w:pPr>
          </w:p>
        </w:tc>
        <w:tc>
          <w:tcPr>
            <w:tcW w:w="628" w:type="dxa"/>
            <w:tcBorders>
              <w:top w:val="nil"/>
              <w:left w:val="nil"/>
              <w:bottom w:val="nil"/>
              <w:right w:val="nil"/>
            </w:tcBorders>
            <w:shd w:val="clear" w:color="auto" w:fill="auto"/>
            <w:noWrap/>
            <w:vAlign w:val="bottom"/>
          </w:tcPr>
          <w:p w:rsidR="00224AB1" w:rsidRDefault="00224AB1">
            <w:pPr>
              <w:widowControl/>
              <w:jc w:val="left"/>
              <w:rPr>
                <w:rFonts w:ascii="Arial" w:hAnsi="Arial" w:cs="Arial"/>
                <w:kern w:val="0"/>
                <w:sz w:val="20"/>
              </w:rPr>
            </w:pPr>
          </w:p>
        </w:tc>
        <w:tc>
          <w:tcPr>
            <w:tcW w:w="2690" w:type="dxa"/>
            <w:gridSpan w:val="3"/>
            <w:tcBorders>
              <w:top w:val="nil"/>
              <w:left w:val="nil"/>
              <w:bottom w:val="nil"/>
              <w:right w:val="nil"/>
            </w:tcBorders>
            <w:shd w:val="clear" w:color="auto" w:fill="auto"/>
            <w:vAlign w:val="bottom"/>
          </w:tcPr>
          <w:p w:rsidR="00224AB1" w:rsidRDefault="00224AB1">
            <w:pPr>
              <w:widowControl/>
              <w:jc w:val="left"/>
              <w:rPr>
                <w:rFonts w:ascii="宋体" w:hAnsi="宋体" w:cs="Arial"/>
                <w:color w:val="000000"/>
                <w:kern w:val="0"/>
              </w:rPr>
            </w:pPr>
          </w:p>
        </w:tc>
        <w:tc>
          <w:tcPr>
            <w:tcW w:w="637" w:type="dxa"/>
            <w:gridSpan w:val="2"/>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013" w:type="dxa"/>
            <w:tcBorders>
              <w:top w:val="nil"/>
              <w:left w:val="nil"/>
              <w:bottom w:val="nil"/>
              <w:right w:val="nil"/>
            </w:tcBorders>
            <w:shd w:val="clear" w:color="auto" w:fill="auto"/>
            <w:vAlign w:val="bottom"/>
          </w:tcPr>
          <w:p w:rsidR="00224AB1" w:rsidRDefault="00224AB1">
            <w:pPr>
              <w:widowControl/>
              <w:jc w:val="left"/>
              <w:rPr>
                <w:rFonts w:ascii="宋体" w:hAnsi="宋体" w:cs="Arial"/>
                <w:color w:val="000000"/>
                <w:kern w:val="0"/>
              </w:rPr>
            </w:pPr>
          </w:p>
        </w:tc>
        <w:tc>
          <w:tcPr>
            <w:tcW w:w="1276"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406"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882" w:type="dxa"/>
            <w:tcBorders>
              <w:top w:val="nil"/>
              <w:left w:val="nil"/>
              <w:bottom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1272" w:type="dxa"/>
            <w:gridSpan w:val="2"/>
            <w:tcBorders>
              <w:top w:val="nil"/>
              <w:left w:val="nil"/>
              <w:bottom w:val="nil"/>
              <w:right w:val="nil"/>
            </w:tcBorders>
          </w:tcPr>
          <w:p w:rsidR="00224AB1" w:rsidRDefault="00224AB1">
            <w:pPr>
              <w:widowControl/>
              <w:jc w:val="center"/>
              <w:rPr>
                <w:rFonts w:ascii="宋体" w:hAnsi="宋体" w:cs="Arial"/>
                <w:color w:val="000000"/>
                <w:kern w:val="0"/>
              </w:rPr>
            </w:pPr>
          </w:p>
        </w:tc>
        <w:tc>
          <w:tcPr>
            <w:tcW w:w="1690" w:type="dxa"/>
            <w:gridSpan w:val="2"/>
            <w:tcBorders>
              <w:top w:val="nil"/>
              <w:left w:val="nil"/>
              <w:bottom w:val="nil"/>
              <w:right w:val="nil"/>
            </w:tcBorders>
          </w:tcPr>
          <w:p w:rsidR="00224AB1" w:rsidRDefault="00224AB1">
            <w:pPr>
              <w:widowControl/>
              <w:jc w:val="center"/>
              <w:rPr>
                <w:rFonts w:ascii="宋体" w:hAnsi="宋体" w:cs="Arial"/>
                <w:color w:val="000000"/>
                <w:kern w:val="0"/>
              </w:rPr>
            </w:pPr>
          </w:p>
        </w:tc>
        <w:tc>
          <w:tcPr>
            <w:tcW w:w="409" w:type="dxa"/>
            <w:tcBorders>
              <w:top w:val="nil"/>
              <w:left w:val="nil"/>
              <w:right w:val="nil"/>
            </w:tcBorders>
            <w:shd w:val="clear" w:color="auto" w:fill="auto"/>
            <w:vAlign w:val="bottom"/>
          </w:tcPr>
          <w:p w:rsidR="00224AB1" w:rsidRDefault="00224AB1">
            <w:pPr>
              <w:widowControl/>
              <w:jc w:val="center"/>
              <w:rPr>
                <w:rFonts w:ascii="宋体" w:hAnsi="宋体" w:cs="Arial"/>
                <w:color w:val="000000"/>
                <w:kern w:val="0"/>
              </w:rPr>
            </w:pPr>
          </w:p>
        </w:tc>
        <w:tc>
          <w:tcPr>
            <w:tcW w:w="2467" w:type="dxa"/>
            <w:gridSpan w:val="3"/>
            <w:tcBorders>
              <w:top w:val="nil"/>
              <w:left w:val="nil"/>
              <w:right w:val="nil"/>
            </w:tcBorders>
            <w:shd w:val="clear" w:color="auto" w:fill="auto"/>
            <w:vAlign w:val="bottom"/>
          </w:tcPr>
          <w:p w:rsidR="00224AB1" w:rsidRDefault="00A8780A">
            <w:pPr>
              <w:widowControl/>
              <w:tabs>
                <w:tab w:val="left" w:pos="2279"/>
              </w:tabs>
              <w:ind w:right="195"/>
              <w:jc w:val="right"/>
              <w:rPr>
                <w:rFonts w:ascii="宋体" w:hAnsi="宋体" w:cs="Arial"/>
                <w:color w:val="000000"/>
                <w:kern w:val="0"/>
              </w:rPr>
            </w:pPr>
            <w:r>
              <w:rPr>
                <w:rFonts w:ascii="宋体" w:hAnsi="宋体" w:cs="Arial" w:hint="eastAsia"/>
                <w:color w:val="000000"/>
                <w:kern w:val="0"/>
                <w:sz w:val="22"/>
              </w:rPr>
              <w:t>单位：亿澳元</w:t>
            </w:r>
          </w:p>
        </w:tc>
      </w:tr>
      <w:tr w:rsidR="00224AB1">
        <w:trPr>
          <w:gridAfter w:val="1"/>
          <w:wAfter w:w="48" w:type="dxa"/>
          <w:trHeight w:val="382"/>
        </w:trPr>
        <w:tc>
          <w:tcPr>
            <w:tcW w:w="14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被担保公司</w:t>
            </w:r>
          </w:p>
        </w:tc>
        <w:tc>
          <w:tcPr>
            <w:tcW w:w="12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注册地</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注册资本</w:t>
            </w:r>
          </w:p>
        </w:tc>
        <w:tc>
          <w:tcPr>
            <w:tcW w:w="11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本公司持股比例</w:t>
            </w:r>
          </w:p>
        </w:tc>
        <w:tc>
          <w:tcPr>
            <w:tcW w:w="12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经营范围</w:t>
            </w:r>
          </w:p>
        </w:tc>
        <w:tc>
          <w:tcPr>
            <w:tcW w:w="6935" w:type="dxa"/>
            <w:gridSpan w:val="8"/>
            <w:tcBorders>
              <w:top w:val="single" w:sz="4" w:space="0" w:color="auto"/>
              <w:left w:val="nil"/>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2018</w:t>
            </w:r>
            <w:r>
              <w:rPr>
                <w:rFonts w:cs="Arial"/>
                <w:color w:val="000000"/>
                <w:kern w:val="0"/>
                <w:sz w:val="22"/>
                <w:szCs w:val="22"/>
              </w:rPr>
              <w:t>年</w:t>
            </w:r>
            <w:r>
              <w:rPr>
                <w:rFonts w:cs="Arial"/>
                <w:color w:val="000000"/>
                <w:kern w:val="0"/>
                <w:sz w:val="22"/>
                <w:szCs w:val="22"/>
              </w:rPr>
              <w:t>12</w:t>
            </w:r>
            <w:r>
              <w:rPr>
                <w:rFonts w:cs="Arial"/>
                <w:color w:val="000000"/>
                <w:kern w:val="0"/>
                <w:sz w:val="22"/>
                <w:szCs w:val="22"/>
              </w:rPr>
              <w:t>月</w:t>
            </w:r>
            <w:r>
              <w:rPr>
                <w:rFonts w:cs="Arial"/>
                <w:color w:val="000000"/>
                <w:kern w:val="0"/>
                <w:sz w:val="22"/>
                <w:szCs w:val="22"/>
              </w:rPr>
              <w:t>31</w:t>
            </w:r>
            <w:r>
              <w:rPr>
                <w:rFonts w:cs="Arial"/>
                <w:color w:val="000000"/>
                <w:kern w:val="0"/>
                <w:sz w:val="22"/>
                <w:szCs w:val="22"/>
              </w:rPr>
              <w:t>日</w:t>
            </w:r>
          </w:p>
        </w:tc>
        <w:tc>
          <w:tcPr>
            <w:tcW w:w="2419" w:type="dxa"/>
            <w:gridSpan w:val="2"/>
            <w:tcBorders>
              <w:top w:val="single" w:sz="4" w:space="0" w:color="auto"/>
              <w:left w:val="nil"/>
              <w:bottom w:val="single" w:sz="4" w:space="0" w:color="auto"/>
              <w:right w:val="single" w:sz="4" w:space="0" w:color="auto"/>
            </w:tcBorders>
            <w:shd w:val="clear" w:color="auto" w:fill="auto"/>
            <w:vAlign w:val="center"/>
          </w:tcPr>
          <w:p w:rsidR="00224AB1" w:rsidRDefault="00A8780A">
            <w:pPr>
              <w:widowControl/>
              <w:jc w:val="center"/>
              <w:rPr>
                <w:rFonts w:cs="Arial"/>
                <w:color w:val="000000"/>
                <w:kern w:val="0"/>
              </w:rPr>
            </w:pPr>
            <w:r>
              <w:rPr>
                <w:rFonts w:cs="Arial"/>
                <w:color w:val="000000"/>
                <w:kern w:val="0"/>
                <w:sz w:val="22"/>
                <w:szCs w:val="22"/>
              </w:rPr>
              <w:t>2018</w:t>
            </w:r>
            <w:r>
              <w:rPr>
                <w:rFonts w:ascii="宋体" w:hAnsi="宋体" w:cs="Arial" w:hint="eastAsia"/>
                <w:color w:val="000000"/>
                <w:kern w:val="0"/>
                <w:sz w:val="22"/>
                <w:szCs w:val="22"/>
              </w:rPr>
              <w:t>年度</w:t>
            </w:r>
          </w:p>
        </w:tc>
      </w:tr>
      <w:tr w:rsidR="00224AB1">
        <w:trPr>
          <w:gridAfter w:val="1"/>
          <w:wAfter w:w="48" w:type="dxa"/>
          <w:trHeight w:val="779"/>
        </w:trPr>
        <w:tc>
          <w:tcPr>
            <w:tcW w:w="1464" w:type="dxa"/>
            <w:gridSpan w:val="2"/>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hAnsi="宋体" w:cs="Arial"/>
                <w:color w:val="000000"/>
                <w:kern w:val="0"/>
              </w:rPr>
            </w:pPr>
          </w:p>
        </w:tc>
        <w:tc>
          <w:tcPr>
            <w:tcW w:w="1239" w:type="dxa"/>
            <w:gridSpan w:val="2"/>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hAnsi="宋体" w:cs="Arial"/>
                <w:color w:val="000000"/>
                <w:kern w:val="0"/>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hAnsi="宋体" w:cs="Arial"/>
                <w:color w:val="000000"/>
                <w:kern w:val="0"/>
              </w:rPr>
            </w:pPr>
          </w:p>
        </w:tc>
        <w:tc>
          <w:tcPr>
            <w:tcW w:w="1153" w:type="dxa"/>
            <w:gridSpan w:val="2"/>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hAnsi="宋体" w:cs="Arial"/>
                <w:color w:val="000000"/>
                <w:kern w:val="0"/>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tcPr>
          <w:p w:rsidR="00224AB1" w:rsidRDefault="00224AB1">
            <w:pPr>
              <w:widowControl/>
              <w:jc w:val="center"/>
              <w:rPr>
                <w:rFonts w:ascii="宋体" w:hAnsi="宋体" w:cs="Arial"/>
                <w:color w:val="000000"/>
                <w:kern w:val="0"/>
              </w:rPr>
            </w:pP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资产总额</w:t>
            </w:r>
          </w:p>
        </w:tc>
        <w:tc>
          <w:tcPr>
            <w:tcW w:w="1406"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负债总额</w:t>
            </w:r>
          </w:p>
        </w:tc>
        <w:tc>
          <w:tcPr>
            <w:tcW w:w="1196" w:type="dxa"/>
            <w:gridSpan w:val="2"/>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净资产</w:t>
            </w:r>
          </w:p>
        </w:tc>
        <w:tc>
          <w:tcPr>
            <w:tcW w:w="958"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资产负债率</w:t>
            </w:r>
          </w:p>
        </w:tc>
        <w:tc>
          <w:tcPr>
            <w:tcW w:w="1257" w:type="dxa"/>
            <w:tcBorders>
              <w:top w:val="nil"/>
              <w:left w:val="nil"/>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hint="eastAsia"/>
                <w:color w:val="000000"/>
                <w:kern w:val="0"/>
                <w:sz w:val="22"/>
                <w:szCs w:val="22"/>
              </w:rPr>
              <w:t>流动负债</w:t>
            </w:r>
          </w:p>
        </w:tc>
        <w:tc>
          <w:tcPr>
            <w:tcW w:w="842" w:type="dxa"/>
            <w:gridSpan w:val="2"/>
            <w:tcBorders>
              <w:top w:val="nil"/>
              <w:left w:val="single" w:sz="4" w:space="0" w:color="auto"/>
              <w:bottom w:val="single" w:sz="4" w:space="0" w:color="auto"/>
              <w:right w:val="single" w:sz="4" w:space="0" w:color="auto"/>
            </w:tcBorders>
            <w:vAlign w:val="center"/>
          </w:tcPr>
          <w:p w:rsidR="00224AB1" w:rsidRDefault="00A8780A">
            <w:pPr>
              <w:widowControl/>
              <w:jc w:val="center"/>
              <w:rPr>
                <w:rFonts w:ascii="宋体" w:hAnsi="宋体" w:cs="宋体"/>
                <w:color w:val="000000"/>
                <w:kern w:val="0"/>
              </w:rPr>
            </w:pPr>
            <w:r>
              <w:rPr>
                <w:rFonts w:ascii="宋体" w:hAnsi="宋体" w:cs="宋体" w:hint="eastAsia"/>
                <w:color w:val="000000"/>
                <w:kern w:val="0"/>
                <w:sz w:val="22"/>
                <w:szCs w:val="22"/>
              </w:rPr>
              <w:t>银行借款</w:t>
            </w:r>
          </w:p>
        </w:tc>
        <w:tc>
          <w:tcPr>
            <w:tcW w:w="1143" w:type="dxa"/>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收入</w:t>
            </w:r>
          </w:p>
        </w:tc>
        <w:tc>
          <w:tcPr>
            <w:tcW w:w="1276"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color w:val="000000"/>
                <w:kern w:val="0"/>
              </w:rPr>
            </w:pPr>
            <w:r>
              <w:rPr>
                <w:rFonts w:ascii="宋体" w:hAnsi="宋体" w:cs="Arial" w:hint="eastAsia"/>
                <w:color w:val="000000"/>
                <w:kern w:val="0"/>
                <w:sz w:val="22"/>
                <w:szCs w:val="22"/>
              </w:rPr>
              <w:t>净利润</w:t>
            </w:r>
          </w:p>
        </w:tc>
      </w:tr>
      <w:tr w:rsidR="00224AB1">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亚森纳合营公司</w:t>
            </w:r>
          </w:p>
        </w:tc>
        <w:tc>
          <w:tcPr>
            <w:tcW w:w="1239"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非法人合资企业</w:t>
            </w:r>
          </w:p>
        </w:tc>
        <w:tc>
          <w:tcPr>
            <w:tcW w:w="1332" w:type="dxa"/>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不适用</w:t>
            </w:r>
          </w:p>
        </w:tc>
        <w:tc>
          <w:tcPr>
            <w:tcW w:w="1153"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51%</w:t>
            </w:r>
          </w:p>
        </w:tc>
        <w:tc>
          <w:tcPr>
            <w:tcW w:w="1244"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0.08</w:t>
            </w:r>
          </w:p>
        </w:tc>
        <w:tc>
          <w:tcPr>
            <w:tcW w:w="140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c>
          <w:tcPr>
            <w:tcW w:w="1196" w:type="dxa"/>
            <w:gridSpan w:val="2"/>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0.08</w:t>
            </w:r>
          </w:p>
        </w:tc>
        <w:tc>
          <w:tcPr>
            <w:tcW w:w="958"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2.09%</w:t>
            </w:r>
          </w:p>
        </w:tc>
        <w:tc>
          <w:tcPr>
            <w:tcW w:w="1257" w:type="dxa"/>
            <w:tcBorders>
              <w:top w:val="single" w:sz="4" w:space="0" w:color="auto"/>
              <w:left w:val="nil"/>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0.00</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0.00</w:t>
            </w:r>
          </w:p>
        </w:tc>
        <w:tc>
          <w:tcPr>
            <w:tcW w:w="1143" w:type="dxa"/>
            <w:tcBorders>
              <w:top w:val="nil"/>
              <w:left w:val="single" w:sz="4" w:space="0" w:color="auto"/>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r>
      <w:tr w:rsidR="00224AB1">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普瑞马煤炭有限公司</w:t>
            </w:r>
          </w:p>
        </w:tc>
        <w:tc>
          <w:tcPr>
            <w:tcW w:w="1239"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西澳</w:t>
            </w:r>
          </w:p>
        </w:tc>
        <w:tc>
          <w:tcPr>
            <w:tcW w:w="1332"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3,885,679      澳元</w:t>
            </w:r>
          </w:p>
        </w:tc>
        <w:tc>
          <w:tcPr>
            <w:tcW w:w="1153"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煤炭开采、洗选</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3.38</w:t>
            </w:r>
          </w:p>
        </w:tc>
        <w:tc>
          <w:tcPr>
            <w:tcW w:w="140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1.66</w:t>
            </w:r>
          </w:p>
        </w:tc>
        <w:tc>
          <w:tcPr>
            <w:tcW w:w="1196" w:type="dxa"/>
            <w:gridSpan w:val="2"/>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1.72</w:t>
            </w:r>
          </w:p>
        </w:tc>
        <w:tc>
          <w:tcPr>
            <w:tcW w:w="958"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49.00%</w:t>
            </w:r>
          </w:p>
        </w:tc>
        <w:tc>
          <w:tcPr>
            <w:tcW w:w="1257" w:type="dxa"/>
            <w:tcBorders>
              <w:top w:val="single" w:sz="4" w:space="0" w:color="auto"/>
              <w:left w:val="nil"/>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1.22</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0.00</w:t>
            </w:r>
          </w:p>
        </w:tc>
        <w:tc>
          <w:tcPr>
            <w:tcW w:w="1143" w:type="dxa"/>
            <w:tcBorders>
              <w:top w:val="nil"/>
              <w:left w:val="single" w:sz="4" w:space="0" w:color="auto"/>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2.16</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-0.14</w:t>
            </w:r>
          </w:p>
        </w:tc>
      </w:tr>
      <w:tr w:rsidR="00224AB1">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新泰克资源有限公司</w:t>
            </w:r>
          </w:p>
        </w:tc>
        <w:tc>
          <w:tcPr>
            <w:tcW w:w="1239"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新南威尔士州</w:t>
            </w:r>
          </w:p>
        </w:tc>
        <w:tc>
          <w:tcPr>
            <w:tcW w:w="1332"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64,826.90         澳元</w:t>
            </w:r>
          </w:p>
        </w:tc>
        <w:tc>
          <w:tcPr>
            <w:tcW w:w="1153"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煤炭开采、洗选</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6.54</w:t>
            </w:r>
          </w:p>
        </w:tc>
        <w:tc>
          <w:tcPr>
            <w:tcW w:w="140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4.80</w:t>
            </w:r>
          </w:p>
        </w:tc>
        <w:tc>
          <w:tcPr>
            <w:tcW w:w="1196" w:type="dxa"/>
            <w:gridSpan w:val="2"/>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1.73</w:t>
            </w:r>
          </w:p>
        </w:tc>
        <w:tc>
          <w:tcPr>
            <w:tcW w:w="958"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73.51%</w:t>
            </w:r>
          </w:p>
        </w:tc>
        <w:tc>
          <w:tcPr>
            <w:tcW w:w="1257" w:type="dxa"/>
            <w:tcBorders>
              <w:top w:val="single" w:sz="4" w:space="0" w:color="auto"/>
              <w:left w:val="nil"/>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4.61</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0.00</w:t>
            </w:r>
          </w:p>
        </w:tc>
        <w:tc>
          <w:tcPr>
            <w:tcW w:w="1143" w:type="dxa"/>
            <w:tcBorders>
              <w:top w:val="nil"/>
              <w:left w:val="single" w:sz="4" w:space="0" w:color="auto"/>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2.83</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0.62</w:t>
            </w:r>
          </w:p>
        </w:tc>
      </w:tr>
      <w:tr w:rsidR="00224AB1">
        <w:trPr>
          <w:gridAfter w:val="1"/>
          <w:wAfter w:w="48" w:type="dxa"/>
          <w:trHeight w:val="689"/>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汤佛控股有限公司</w:t>
            </w:r>
          </w:p>
        </w:tc>
        <w:tc>
          <w:tcPr>
            <w:tcW w:w="1239"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维多利亚州</w:t>
            </w:r>
          </w:p>
        </w:tc>
        <w:tc>
          <w:tcPr>
            <w:tcW w:w="1332"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46,407,918        澳元</w:t>
            </w:r>
          </w:p>
        </w:tc>
        <w:tc>
          <w:tcPr>
            <w:tcW w:w="1153"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0.65</w:t>
            </w:r>
          </w:p>
        </w:tc>
        <w:tc>
          <w:tcPr>
            <w:tcW w:w="140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0.28</w:t>
            </w:r>
          </w:p>
        </w:tc>
        <w:tc>
          <w:tcPr>
            <w:tcW w:w="1196" w:type="dxa"/>
            <w:gridSpan w:val="2"/>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0.37</w:t>
            </w:r>
          </w:p>
        </w:tc>
        <w:tc>
          <w:tcPr>
            <w:tcW w:w="958"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42.60%</w:t>
            </w:r>
          </w:p>
        </w:tc>
        <w:tc>
          <w:tcPr>
            <w:tcW w:w="1257" w:type="dxa"/>
            <w:tcBorders>
              <w:top w:val="single" w:sz="4" w:space="0" w:color="auto"/>
              <w:left w:val="nil"/>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0.11</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0.00</w:t>
            </w:r>
          </w:p>
        </w:tc>
        <w:tc>
          <w:tcPr>
            <w:tcW w:w="1143" w:type="dxa"/>
            <w:tcBorders>
              <w:top w:val="nil"/>
              <w:left w:val="single" w:sz="4" w:space="0" w:color="auto"/>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r>
      <w:tr w:rsidR="00224AB1">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威尔平那控股有限公司</w:t>
            </w:r>
          </w:p>
        </w:tc>
        <w:tc>
          <w:tcPr>
            <w:tcW w:w="1239"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维多利亚州</w:t>
            </w:r>
          </w:p>
        </w:tc>
        <w:tc>
          <w:tcPr>
            <w:tcW w:w="1332" w:type="dxa"/>
            <w:tcBorders>
              <w:top w:val="nil"/>
              <w:left w:val="nil"/>
              <w:bottom w:val="single" w:sz="4" w:space="0" w:color="auto"/>
              <w:right w:val="single" w:sz="4" w:space="0" w:color="auto"/>
            </w:tcBorders>
            <w:shd w:val="clear" w:color="auto" w:fill="auto"/>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3,457,382        澳元</w:t>
            </w:r>
          </w:p>
        </w:tc>
        <w:tc>
          <w:tcPr>
            <w:tcW w:w="1153"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rsidR="00224AB1" w:rsidRDefault="00A8780A">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0.10</w:t>
            </w:r>
          </w:p>
        </w:tc>
        <w:tc>
          <w:tcPr>
            <w:tcW w:w="140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0.08</w:t>
            </w:r>
          </w:p>
        </w:tc>
        <w:tc>
          <w:tcPr>
            <w:tcW w:w="1196" w:type="dxa"/>
            <w:gridSpan w:val="2"/>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0.02</w:t>
            </w:r>
          </w:p>
        </w:tc>
        <w:tc>
          <w:tcPr>
            <w:tcW w:w="958"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78.42%</w:t>
            </w:r>
          </w:p>
        </w:tc>
        <w:tc>
          <w:tcPr>
            <w:tcW w:w="1257" w:type="dxa"/>
            <w:tcBorders>
              <w:top w:val="single" w:sz="4" w:space="0" w:color="auto"/>
              <w:left w:val="nil"/>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0.02</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224AB1" w:rsidRDefault="00A8780A">
            <w:pPr>
              <w:jc w:val="center"/>
              <w:rPr>
                <w:rFonts w:ascii="宋体" w:hAnsi="宋体"/>
                <w:szCs w:val="22"/>
              </w:rPr>
            </w:pPr>
            <w:r>
              <w:rPr>
                <w:rFonts w:ascii="宋体" w:hAnsi="宋体"/>
                <w:sz w:val="22"/>
                <w:szCs w:val="22"/>
              </w:rPr>
              <w:t>0.00</w:t>
            </w:r>
          </w:p>
        </w:tc>
        <w:tc>
          <w:tcPr>
            <w:tcW w:w="1143" w:type="dxa"/>
            <w:tcBorders>
              <w:top w:val="nil"/>
              <w:left w:val="single" w:sz="4" w:space="0" w:color="auto"/>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c>
          <w:tcPr>
            <w:tcW w:w="1276" w:type="dxa"/>
            <w:tcBorders>
              <w:top w:val="nil"/>
              <w:left w:val="nil"/>
              <w:bottom w:val="single" w:sz="4" w:space="0" w:color="auto"/>
              <w:right w:val="single" w:sz="4" w:space="0" w:color="auto"/>
            </w:tcBorders>
            <w:shd w:val="clear" w:color="auto" w:fill="auto"/>
            <w:noWrap/>
            <w:vAlign w:val="center"/>
          </w:tcPr>
          <w:p w:rsidR="00224AB1" w:rsidRDefault="00A8780A">
            <w:pPr>
              <w:jc w:val="center"/>
              <w:rPr>
                <w:rFonts w:ascii="宋体" w:hAnsi="宋体"/>
                <w:szCs w:val="22"/>
              </w:rPr>
            </w:pPr>
            <w:r>
              <w:rPr>
                <w:rFonts w:ascii="宋体" w:hAnsi="宋体"/>
                <w:sz w:val="22"/>
                <w:szCs w:val="22"/>
              </w:rPr>
              <w:t>0.00</w:t>
            </w:r>
          </w:p>
        </w:tc>
      </w:tr>
    </w:tbl>
    <w:p w:rsidR="00224AB1" w:rsidRDefault="00224AB1">
      <w:pPr>
        <w:widowControl/>
        <w:jc w:val="left"/>
        <w:rPr>
          <w:b/>
          <w:sz w:val="28"/>
          <w:szCs w:val="28"/>
        </w:rPr>
      </w:pPr>
    </w:p>
    <w:p w:rsidR="00224AB1" w:rsidRDefault="00224AB1">
      <w:pPr>
        <w:widowControl/>
        <w:jc w:val="left"/>
        <w:rPr>
          <w:b/>
          <w:sz w:val="28"/>
          <w:szCs w:val="28"/>
        </w:rPr>
      </w:pPr>
    </w:p>
    <w:p w:rsidR="00224AB1" w:rsidRDefault="00224AB1">
      <w:pPr>
        <w:widowControl/>
        <w:tabs>
          <w:tab w:val="left" w:pos="630"/>
        </w:tabs>
        <w:jc w:val="left"/>
        <w:rPr>
          <w:rFonts w:ascii="宋体" w:hAnsi="宋体"/>
          <w:color w:val="000000"/>
          <w:sz w:val="28"/>
        </w:rPr>
      </w:pPr>
    </w:p>
    <w:sectPr w:rsidR="00224AB1" w:rsidSect="00224AB1">
      <w:pgSz w:w="16838" w:h="11906" w:orient="landscape"/>
      <w:pgMar w:top="1276" w:right="1440" w:bottom="1701"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A85" w:rsidRDefault="00EA2A85" w:rsidP="00224AB1">
      <w:r>
        <w:separator/>
      </w:r>
    </w:p>
  </w:endnote>
  <w:endnote w:type="continuationSeparator" w:id="1">
    <w:p w:rsidR="00EA2A85" w:rsidRDefault="00EA2A85" w:rsidP="00224A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B1" w:rsidRDefault="00222902">
    <w:pPr>
      <w:pStyle w:val="a9"/>
      <w:framePr w:wrap="around" w:vAnchor="text" w:hAnchor="margin" w:xAlign="center" w:y="1"/>
      <w:rPr>
        <w:rStyle w:val="ad"/>
      </w:rPr>
    </w:pPr>
    <w:r>
      <w:rPr>
        <w:rStyle w:val="ad"/>
      </w:rPr>
      <w:fldChar w:fldCharType="begin"/>
    </w:r>
    <w:r w:rsidR="00A8780A">
      <w:rPr>
        <w:rStyle w:val="ad"/>
      </w:rPr>
      <w:instrText xml:space="preserve">PAGE  </w:instrText>
    </w:r>
    <w:r>
      <w:rPr>
        <w:rStyle w:val="ad"/>
      </w:rPr>
      <w:fldChar w:fldCharType="separate"/>
    </w:r>
    <w:r w:rsidR="00A8780A">
      <w:rPr>
        <w:rStyle w:val="ad"/>
      </w:rPr>
      <w:t>1</w:t>
    </w:r>
    <w:r>
      <w:rPr>
        <w:rStyle w:val="ad"/>
      </w:rPr>
      <w:fldChar w:fldCharType="end"/>
    </w:r>
  </w:p>
  <w:p w:rsidR="00224AB1" w:rsidRDefault="00224AB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B1" w:rsidRDefault="00222902">
    <w:pPr>
      <w:pStyle w:val="a9"/>
      <w:framePr w:wrap="around" w:vAnchor="text" w:hAnchor="margin" w:xAlign="center" w:y="1"/>
      <w:rPr>
        <w:rStyle w:val="ad"/>
      </w:rPr>
    </w:pPr>
    <w:r>
      <w:rPr>
        <w:rStyle w:val="ad"/>
      </w:rPr>
      <w:fldChar w:fldCharType="begin"/>
    </w:r>
    <w:r w:rsidR="00A8780A">
      <w:rPr>
        <w:rStyle w:val="ad"/>
      </w:rPr>
      <w:instrText xml:space="preserve">PAGE  </w:instrText>
    </w:r>
    <w:r>
      <w:rPr>
        <w:rStyle w:val="ad"/>
      </w:rPr>
      <w:fldChar w:fldCharType="separate"/>
    </w:r>
    <w:r w:rsidR="004E046C">
      <w:rPr>
        <w:rStyle w:val="ad"/>
        <w:noProof/>
      </w:rPr>
      <w:t>10</w:t>
    </w:r>
    <w:r>
      <w:rPr>
        <w:rStyle w:val="ad"/>
      </w:rPr>
      <w:fldChar w:fldCharType="end"/>
    </w:r>
  </w:p>
  <w:p w:rsidR="00224AB1" w:rsidRDefault="00224AB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A85" w:rsidRDefault="00EA2A85" w:rsidP="00224AB1">
      <w:r>
        <w:separator/>
      </w:r>
    </w:p>
  </w:footnote>
  <w:footnote w:type="continuationSeparator" w:id="1">
    <w:p w:rsidR="00EA2A85" w:rsidRDefault="00EA2A85" w:rsidP="00224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22525"/>
    <w:multiLevelType w:val="multilevel"/>
    <w:tmpl w:val="61722525"/>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1166A"/>
    <w:rsid w:val="00004217"/>
    <w:rsid w:val="00004F54"/>
    <w:rsid w:val="00010C7D"/>
    <w:rsid w:val="000116A3"/>
    <w:rsid w:val="00011EA4"/>
    <w:rsid w:val="00014E26"/>
    <w:rsid w:val="000233E3"/>
    <w:rsid w:val="0002426E"/>
    <w:rsid w:val="00024379"/>
    <w:rsid w:val="00026422"/>
    <w:rsid w:val="0002731B"/>
    <w:rsid w:val="000352B0"/>
    <w:rsid w:val="000370A7"/>
    <w:rsid w:val="00044496"/>
    <w:rsid w:val="000476C8"/>
    <w:rsid w:val="00050B16"/>
    <w:rsid w:val="000511F3"/>
    <w:rsid w:val="000528FA"/>
    <w:rsid w:val="00056E40"/>
    <w:rsid w:val="00061BB9"/>
    <w:rsid w:val="0006259E"/>
    <w:rsid w:val="00062790"/>
    <w:rsid w:val="00072E86"/>
    <w:rsid w:val="00081501"/>
    <w:rsid w:val="0008169E"/>
    <w:rsid w:val="0008173A"/>
    <w:rsid w:val="00082F21"/>
    <w:rsid w:val="00086404"/>
    <w:rsid w:val="000918E3"/>
    <w:rsid w:val="00093159"/>
    <w:rsid w:val="000932BB"/>
    <w:rsid w:val="00097BE1"/>
    <w:rsid w:val="000A2DA2"/>
    <w:rsid w:val="000B50E0"/>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FFC"/>
    <w:rsid w:val="00113684"/>
    <w:rsid w:val="001317E5"/>
    <w:rsid w:val="00133FF0"/>
    <w:rsid w:val="00136497"/>
    <w:rsid w:val="00140ECB"/>
    <w:rsid w:val="00142007"/>
    <w:rsid w:val="001424F3"/>
    <w:rsid w:val="00145AE1"/>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3DCA"/>
    <w:rsid w:val="001A3F2B"/>
    <w:rsid w:val="001A6684"/>
    <w:rsid w:val="001B03E7"/>
    <w:rsid w:val="001C1B8A"/>
    <w:rsid w:val="001C476B"/>
    <w:rsid w:val="001C4C53"/>
    <w:rsid w:val="001C5E45"/>
    <w:rsid w:val="001D095A"/>
    <w:rsid w:val="001D1FD8"/>
    <w:rsid w:val="001D4E3E"/>
    <w:rsid w:val="001D4F36"/>
    <w:rsid w:val="001D601E"/>
    <w:rsid w:val="001E04EB"/>
    <w:rsid w:val="001E140B"/>
    <w:rsid w:val="001E1DDA"/>
    <w:rsid w:val="001E1F75"/>
    <w:rsid w:val="001E2596"/>
    <w:rsid w:val="001E4B66"/>
    <w:rsid w:val="001E4F6B"/>
    <w:rsid w:val="001F0B26"/>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3D16"/>
    <w:rsid w:val="0025011E"/>
    <w:rsid w:val="00254979"/>
    <w:rsid w:val="002567CF"/>
    <w:rsid w:val="00261DB6"/>
    <w:rsid w:val="00264439"/>
    <w:rsid w:val="00267C65"/>
    <w:rsid w:val="00270B3B"/>
    <w:rsid w:val="00273A15"/>
    <w:rsid w:val="00277115"/>
    <w:rsid w:val="002832A0"/>
    <w:rsid w:val="002861A8"/>
    <w:rsid w:val="002909AA"/>
    <w:rsid w:val="00294979"/>
    <w:rsid w:val="002965E2"/>
    <w:rsid w:val="0029667A"/>
    <w:rsid w:val="002A1CB2"/>
    <w:rsid w:val="002A36EF"/>
    <w:rsid w:val="002A3AA7"/>
    <w:rsid w:val="002A49BC"/>
    <w:rsid w:val="002A6867"/>
    <w:rsid w:val="002B0825"/>
    <w:rsid w:val="002B0BDE"/>
    <w:rsid w:val="002C2B5C"/>
    <w:rsid w:val="002C6AA6"/>
    <w:rsid w:val="002D0095"/>
    <w:rsid w:val="002D331B"/>
    <w:rsid w:val="002D413C"/>
    <w:rsid w:val="002D738C"/>
    <w:rsid w:val="002F11CA"/>
    <w:rsid w:val="002F13A1"/>
    <w:rsid w:val="002F1D7A"/>
    <w:rsid w:val="002F45BA"/>
    <w:rsid w:val="002F61B8"/>
    <w:rsid w:val="003002F6"/>
    <w:rsid w:val="00300970"/>
    <w:rsid w:val="00302BC8"/>
    <w:rsid w:val="0030466A"/>
    <w:rsid w:val="00304D9D"/>
    <w:rsid w:val="003053D8"/>
    <w:rsid w:val="00305F47"/>
    <w:rsid w:val="00307EC1"/>
    <w:rsid w:val="00312FF2"/>
    <w:rsid w:val="003141DD"/>
    <w:rsid w:val="00315E7D"/>
    <w:rsid w:val="00317B58"/>
    <w:rsid w:val="00324490"/>
    <w:rsid w:val="00325B7D"/>
    <w:rsid w:val="00341AE8"/>
    <w:rsid w:val="00342EC4"/>
    <w:rsid w:val="003468C1"/>
    <w:rsid w:val="003475E3"/>
    <w:rsid w:val="003504E3"/>
    <w:rsid w:val="003517CB"/>
    <w:rsid w:val="00353B50"/>
    <w:rsid w:val="00354828"/>
    <w:rsid w:val="00356C7A"/>
    <w:rsid w:val="0036105B"/>
    <w:rsid w:val="00361481"/>
    <w:rsid w:val="00362B84"/>
    <w:rsid w:val="00365905"/>
    <w:rsid w:val="00370C02"/>
    <w:rsid w:val="0037389C"/>
    <w:rsid w:val="00382979"/>
    <w:rsid w:val="003832E6"/>
    <w:rsid w:val="00383CEA"/>
    <w:rsid w:val="00386052"/>
    <w:rsid w:val="003866E8"/>
    <w:rsid w:val="00390DB7"/>
    <w:rsid w:val="0039344E"/>
    <w:rsid w:val="0039366A"/>
    <w:rsid w:val="00397E1A"/>
    <w:rsid w:val="003B4E49"/>
    <w:rsid w:val="003B6E18"/>
    <w:rsid w:val="003C0976"/>
    <w:rsid w:val="003C5316"/>
    <w:rsid w:val="003E2E2D"/>
    <w:rsid w:val="003E5142"/>
    <w:rsid w:val="003E540E"/>
    <w:rsid w:val="003E5742"/>
    <w:rsid w:val="003E60F3"/>
    <w:rsid w:val="003E73D3"/>
    <w:rsid w:val="003E7428"/>
    <w:rsid w:val="00400593"/>
    <w:rsid w:val="00400EF7"/>
    <w:rsid w:val="004046A1"/>
    <w:rsid w:val="00406881"/>
    <w:rsid w:val="00406A8B"/>
    <w:rsid w:val="00407613"/>
    <w:rsid w:val="00410104"/>
    <w:rsid w:val="00414278"/>
    <w:rsid w:val="00416E45"/>
    <w:rsid w:val="0042031E"/>
    <w:rsid w:val="00420EFC"/>
    <w:rsid w:val="00421A81"/>
    <w:rsid w:val="0042469F"/>
    <w:rsid w:val="00430734"/>
    <w:rsid w:val="00431198"/>
    <w:rsid w:val="00435781"/>
    <w:rsid w:val="00450237"/>
    <w:rsid w:val="00450DA1"/>
    <w:rsid w:val="004547D2"/>
    <w:rsid w:val="00461A88"/>
    <w:rsid w:val="00464520"/>
    <w:rsid w:val="00470AE7"/>
    <w:rsid w:val="00470CA9"/>
    <w:rsid w:val="00471C27"/>
    <w:rsid w:val="00472A24"/>
    <w:rsid w:val="0047354B"/>
    <w:rsid w:val="004777C3"/>
    <w:rsid w:val="00481DBE"/>
    <w:rsid w:val="00482903"/>
    <w:rsid w:val="00485459"/>
    <w:rsid w:val="00486F95"/>
    <w:rsid w:val="004A343E"/>
    <w:rsid w:val="004A6538"/>
    <w:rsid w:val="004B1950"/>
    <w:rsid w:val="004B69FD"/>
    <w:rsid w:val="004C0FC7"/>
    <w:rsid w:val="004C2F57"/>
    <w:rsid w:val="004C5846"/>
    <w:rsid w:val="004D00C4"/>
    <w:rsid w:val="004D01F4"/>
    <w:rsid w:val="004D0FF2"/>
    <w:rsid w:val="004D2C88"/>
    <w:rsid w:val="004D663B"/>
    <w:rsid w:val="004D739C"/>
    <w:rsid w:val="004E046C"/>
    <w:rsid w:val="004E0E6F"/>
    <w:rsid w:val="004E4202"/>
    <w:rsid w:val="004E66DB"/>
    <w:rsid w:val="004E70DE"/>
    <w:rsid w:val="004E7356"/>
    <w:rsid w:val="004F29D3"/>
    <w:rsid w:val="00502CFD"/>
    <w:rsid w:val="00506E57"/>
    <w:rsid w:val="0051345D"/>
    <w:rsid w:val="00514A04"/>
    <w:rsid w:val="00516ABB"/>
    <w:rsid w:val="00517019"/>
    <w:rsid w:val="00520220"/>
    <w:rsid w:val="00523F7D"/>
    <w:rsid w:val="00525D0D"/>
    <w:rsid w:val="00527D17"/>
    <w:rsid w:val="005321DA"/>
    <w:rsid w:val="00534537"/>
    <w:rsid w:val="00537657"/>
    <w:rsid w:val="005379B1"/>
    <w:rsid w:val="0054020E"/>
    <w:rsid w:val="00541232"/>
    <w:rsid w:val="005459D5"/>
    <w:rsid w:val="00552727"/>
    <w:rsid w:val="005541B3"/>
    <w:rsid w:val="005567F4"/>
    <w:rsid w:val="00563524"/>
    <w:rsid w:val="005649E0"/>
    <w:rsid w:val="00567AB8"/>
    <w:rsid w:val="005708E3"/>
    <w:rsid w:val="00571FD8"/>
    <w:rsid w:val="00573AD2"/>
    <w:rsid w:val="00574F1D"/>
    <w:rsid w:val="00577366"/>
    <w:rsid w:val="0057774B"/>
    <w:rsid w:val="00577DF3"/>
    <w:rsid w:val="00582424"/>
    <w:rsid w:val="00582B21"/>
    <w:rsid w:val="0058649F"/>
    <w:rsid w:val="0059077E"/>
    <w:rsid w:val="00596403"/>
    <w:rsid w:val="00597142"/>
    <w:rsid w:val="005A0FE1"/>
    <w:rsid w:val="005A274A"/>
    <w:rsid w:val="005B5482"/>
    <w:rsid w:val="005B7EC3"/>
    <w:rsid w:val="005C147B"/>
    <w:rsid w:val="005C2F10"/>
    <w:rsid w:val="005C4795"/>
    <w:rsid w:val="005C5A2A"/>
    <w:rsid w:val="005C6C6B"/>
    <w:rsid w:val="005D138E"/>
    <w:rsid w:val="005D26EE"/>
    <w:rsid w:val="005D48C5"/>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3574"/>
    <w:rsid w:val="006342C4"/>
    <w:rsid w:val="00635DC6"/>
    <w:rsid w:val="006377E1"/>
    <w:rsid w:val="0064200D"/>
    <w:rsid w:val="0064327D"/>
    <w:rsid w:val="006451E9"/>
    <w:rsid w:val="006509C3"/>
    <w:rsid w:val="006512DA"/>
    <w:rsid w:val="006519FA"/>
    <w:rsid w:val="006547DE"/>
    <w:rsid w:val="00654DD7"/>
    <w:rsid w:val="00661699"/>
    <w:rsid w:val="00661969"/>
    <w:rsid w:val="00670363"/>
    <w:rsid w:val="00672693"/>
    <w:rsid w:val="00682F53"/>
    <w:rsid w:val="006835FC"/>
    <w:rsid w:val="00684AF6"/>
    <w:rsid w:val="0069159A"/>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78C3"/>
    <w:rsid w:val="00723650"/>
    <w:rsid w:val="00723BA1"/>
    <w:rsid w:val="00734DB0"/>
    <w:rsid w:val="0074016A"/>
    <w:rsid w:val="00740A9E"/>
    <w:rsid w:val="00746966"/>
    <w:rsid w:val="00753D4A"/>
    <w:rsid w:val="007601CD"/>
    <w:rsid w:val="00763737"/>
    <w:rsid w:val="00764713"/>
    <w:rsid w:val="007647B9"/>
    <w:rsid w:val="00764BE2"/>
    <w:rsid w:val="00765FE5"/>
    <w:rsid w:val="00770663"/>
    <w:rsid w:val="0077592E"/>
    <w:rsid w:val="00777BD6"/>
    <w:rsid w:val="00777CCA"/>
    <w:rsid w:val="0078750B"/>
    <w:rsid w:val="00793A51"/>
    <w:rsid w:val="007944F2"/>
    <w:rsid w:val="00794620"/>
    <w:rsid w:val="00795BF6"/>
    <w:rsid w:val="007A1165"/>
    <w:rsid w:val="007A5ACB"/>
    <w:rsid w:val="007A5FC6"/>
    <w:rsid w:val="007A6B1B"/>
    <w:rsid w:val="007B06B3"/>
    <w:rsid w:val="007B10D1"/>
    <w:rsid w:val="007B42A1"/>
    <w:rsid w:val="007B4552"/>
    <w:rsid w:val="007C5C3B"/>
    <w:rsid w:val="007D12E9"/>
    <w:rsid w:val="007D4568"/>
    <w:rsid w:val="007D562B"/>
    <w:rsid w:val="007E0C66"/>
    <w:rsid w:val="007E261D"/>
    <w:rsid w:val="007E5616"/>
    <w:rsid w:val="007E6AA1"/>
    <w:rsid w:val="007E71B2"/>
    <w:rsid w:val="007E7438"/>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44E22"/>
    <w:rsid w:val="00845CC3"/>
    <w:rsid w:val="008470A3"/>
    <w:rsid w:val="008515BA"/>
    <w:rsid w:val="00851ECF"/>
    <w:rsid w:val="00852468"/>
    <w:rsid w:val="0085266A"/>
    <w:rsid w:val="00853ECD"/>
    <w:rsid w:val="00854468"/>
    <w:rsid w:val="008556BB"/>
    <w:rsid w:val="0085666E"/>
    <w:rsid w:val="00856CBD"/>
    <w:rsid w:val="0085707D"/>
    <w:rsid w:val="00862959"/>
    <w:rsid w:val="0086318B"/>
    <w:rsid w:val="00866FCA"/>
    <w:rsid w:val="00867617"/>
    <w:rsid w:val="00873477"/>
    <w:rsid w:val="00873EA2"/>
    <w:rsid w:val="00873F02"/>
    <w:rsid w:val="008754C9"/>
    <w:rsid w:val="00877C86"/>
    <w:rsid w:val="00883811"/>
    <w:rsid w:val="00884B8F"/>
    <w:rsid w:val="008864A2"/>
    <w:rsid w:val="0088713A"/>
    <w:rsid w:val="00890012"/>
    <w:rsid w:val="00894BC9"/>
    <w:rsid w:val="008A72B2"/>
    <w:rsid w:val="008B4BE6"/>
    <w:rsid w:val="008C04EB"/>
    <w:rsid w:val="008C07AE"/>
    <w:rsid w:val="008C0D2C"/>
    <w:rsid w:val="008C3203"/>
    <w:rsid w:val="008C3858"/>
    <w:rsid w:val="008C3905"/>
    <w:rsid w:val="008C5934"/>
    <w:rsid w:val="008C7396"/>
    <w:rsid w:val="008D1528"/>
    <w:rsid w:val="008D4A93"/>
    <w:rsid w:val="008D709C"/>
    <w:rsid w:val="008E05A5"/>
    <w:rsid w:val="008E3D99"/>
    <w:rsid w:val="008E476B"/>
    <w:rsid w:val="008E567F"/>
    <w:rsid w:val="008E5A9F"/>
    <w:rsid w:val="008F235D"/>
    <w:rsid w:val="008F2DDB"/>
    <w:rsid w:val="008F703B"/>
    <w:rsid w:val="009009E0"/>
    <w:rsid w:val="00900B2B"/>
    <w:rsid w:val="0090211E"/>
    <w:rsid w:val="00913BDF"/>
    <w:rsid w:val="009204E7"/>
    <w:rsid w:val="009210CF"/>
    <w:rsid w:val="00922772"/>
    <w:rsid w:val="00923ED4"/>
    <w:rsid w:val="00927C54"/>
    <w:rsid w:val="009307E8"/>
    <w:rsid w:val="00932C48"/>
    <w:rsid w:val="0093627E"/>
    <w:rsid w:val="009364EC"/>
    <w:rsid w:val="00936793"/>
    <w:rsid w:val="00937780"/>
    <w:rsid w:val="00952E18"/>
    <w:rsid w:val="00954C54"/>
    <w:rsid w:val="00956618"/>
    <w:rsid w:val="00956820"/>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C9F"/>
    <w:rsid w:val="009C6448"/>
    <w:rsid w:val="009C74B0"/>
    <w:rsid w:val="009D2963"/>
    <w:rsid w:val="009D2CCF"/>
    <w:rsid w:val="009D2EF6"/>
    <w:rsid w:val="009D73F1"/>
    <w:rsid w:val="009D7E9A"/>
    <w:rsid w:val="009D7EA2"/>
    <w:rsid w:val="009E42CB"/>
    <w:rsid w:val="009E4682"/>
    <w:rsid w:val="009E4D5A"/>
    <w:rsid w:val="009E7113"/>
    <w:rsid w:val="009F161B"/>
    <w:rsid w:val="009F2CE8"/>
    <w:rsid w:val="009F553D"/>
    <w:rsid w:val="009F6E60"/>
    <w:rsid w:val="00A0628B"/>
    <w:rsid w:val="00A06566"/>
    <w:rsid w:val="00A0668C"/>
    <w:rsid w:val="00A0738D"/>
    <w:rsid w:val="00A12EC8"/>
    <w:rsid w:val="00A15339"/>
    <w:rsid w:val="00A17BA9"/>
    <w:rsid w:val="00A21321"/>
    <w:rsid w:val="00A213F4"/>
    <w:rsid w:val="00A330AF"/>
    <w:rsid w:val="00A33830"/>
    <w:rsid w:val="00A35F0D"/>
    <w:rsid w:val="00A37682"/>
    <w:rsid w:val="00A41B1C"/>
    <w:rsid w:val="00A42181"/>
    <w:rsid w:val="00A523A6"/>
    <w:rsid w:val="00A54F7B"/>
    <w:rsid w:val="00A5723C"/>
    <w:rsid w:val="00A62602"/>
    <w:rsid w:val="00A63773"/>
    <w:rsid w:val="00A66231"/>
    <w:rsid w:val="00A75632"/>
    <w:rsid w:val="00A77E6D"/>
    <w:rsid w:val="00A86A82"/>
    <w:rsid w:val="00A8780A"/>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7B93"/>
    <w:rsid w:val="00AE0F8F"/>
    <w:rsid w:val="00AE16C9"/>
    <w:rsid w:val="00AE4A7A"/>
    <w:rsid w:val="00AE5EF6"/>
    <w:rsid w:val="00AF0D5C"/>
    <w:rsid w:val="00AF0FA9"/>
    <w:rsid w:val="00AF1450"/>
    <w:rsid w:val="00AF277A"/>
    <w:rsid w:val="00AF5A17"/>
    <w:rsid w:val="00AF7672"/>
    <w:rsid w:val="00AF7B47"/>
    <w:rsid w:val="00B01D34"/>
    <w:rsid w:val="00B04CAA"/>
    <w:rsid w:val="00B053E5"/>
    <w:rsid w:val="00B05FD1"/>
    <w:rsid w:val="00B1166A"/>
    <w:rsid w:val="00B12462"/>
    <w:rsid w:val="00B1426D"/>
    <w:rsid w:val="00B20093"/>
    <w:rsid w:val="00B219D9"/>
    <w:rsid w:val="00B266B5"/>
    <w:rsid w:val="00B30DF2"/>
    <w:rsid w:val="00B3324E"/>
    <w:rsid w:val="00B361A4"/>
    <w:rsid w:val="00B3688A"/>
    <w:rsid w:val="00B37012"/>
    <w:rsid w:val="00B41A34"/>
    <w:rsid w:val="00B42464"/>
    <w:rsid w:val="00B60411"/>
    <w:rsid w:val="00B60906"/>
    <w:rsid w:val="00B63297"/>
    <w:rsid w:val="00B63472"/>
    <w:rsid w:val="00B7141E"/>
    <w:rsid w:val="00B75E3D"/>
    <w:rsid w:val="00B76FDB"/>
    <w:rsid w:val="00B865EE"/>
    <w:rsid w:val="00B87065"/>
    <w:rsid w:val="00B90CDA"/>
    <w:rsid w:val="00B933B6"/>
    <w:rsid w:val="00B95AF3"/>
    <w:rsid w:val="00B95EA4"/>
    <w:rsid w:val="00B96AE4"/>
    <w:rsid w:val="00B97154"/>
    <w:rsid w:val="00BA14CC"/>
    <w:rsid w:val="00BA3DB8"/>
    <w:rsid w:val="00BB669A"/>
    <w:rsid w:val="00BB6A7D"/>
    <w:rsid w:val="00BB6B10"/>
    <w:rsid w:val="00BB7248"/>
    <w:rsid w:val="00BB72D1"/>
    <w:rsid w:val="00BC1AF5"/>
    <w:rsid w:val="00BC4566"/>
    <w:rsid w:val="00BC4FED"/>
    <w:rsid w:val="00BD1562"/>
    <w:rsid w:val="00BD182C"/>
    <w:rsid w:val="00BD2533"/>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346EF"/>
    <w:rsid w:val="00C42DAC"/>
    <w:rsid w:val="00C4532B"/>
    <w:rsid w:val="00C50C5F"/>
    <w:rsid w:val="00C629A4"/>
    <w:rsid w:val="00C629CB"/>
    <w:rsid w:val="00C641D3"/>
    <w:rsid w:val="00C6632D"/>
    <w:rsid w:val="00C73585"/>
    <w:rsid w:val="00C803E9"/>
    <w:rsid w:val="00C83A92"/>
    <w:rsid w:val="00C8572E"/>
    <w:rsid w:val="00C86766"/>
    <w:rsid w:val="00C90E2C"/>
    <w:rsid w:val="00C9105F"/>
    <w:rsid w:val="00C92529"/>
    <w:rsid w:val="00C93B56"/>
    <w:rsid w:val="00C942FE"/>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E7F"/>
    <w:rsid w:val="00D26880"/>
    <w:rsid w:val="00D27A0E"/>
    <w:rsid w:val="00D302AD"/>
    <w:rsid w:val="00D31D4B"/>
    <w:rsid w:val="00D33FD4"/>
    <w:rsid w:val="00D34423"/>
    <w:rsid w:val="00D35780"/>
    <w:rsid w:val="00D358D2"/>
    <w:rsid w:val="00D4746D"/>
    <w:rsid w:val="00D47753"/>
    <w:rsid w:val="00D51B9E"/>
    <w:rsid w:val="00D53199"/>
    <w:rsid w:val="00D55D5C"/>
    <w:rsid w:val="00D567CA"/>
    <w:rsid w:val="00D57322"/>
    <w:rsid w:val="00D606AE"/>
    <w:rsid w:val="00D82F5B"/>
    <w:rsid w:val="00D9094C"/>
    <w:rsid w:val="00DA3F9C"/>
    <w:rsid w:val="00DA41AC"/>
    <w:rsid w:val="00DA4F79"/>
    <w:rsid w:val="00DA57FE"/>
    <w:rsid w:val="00DA6A65"/>
    <w:rsid w:val="00DB3971"/>
    <w:rsid w:val="00DB4672"/>
    <w:rsid w:val="00DB7B0A"/>
    <w:rsid w:val="00DC024C"/>
    <w:rsid w:val="00DC1CA9"/>
    <w:rsid w:val="00DC3862"/>
    <w:rsid w:val="00DD2F96"/>
    <w:rsid w:val="00DD38A2"/>
    <w:rsid w:val="00DD6018"/>
    <w:rsid w:val="00DE17A1"/>
    <w:rsid w:val="00DE523A"/>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20E67"/>
    <w:rsid w:val="00E223A7"/>
    <w:rsid w:val="00E25109"/>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E7B"/>
    <w:rsid w:val="00EA1962"/>
    <w:rsid w:val="00EA2A85"/>
    <w:rsid w:val="00EA3FC5"/>
    <w:rsid w:val="00EA568D"/>
    <w:rsid w:val="00EA5F1D"/>
    <w:rsid w:val="00EB00B3"/>
    <w:rsid w:val="00EB1194"/>
    <w:rsid w:val="00EB2D08"/>
    <w:rsid w:val="00EB7F64"/>
    <w:rsid w:val="00ED1340"/>
    <w:rsid w:val="00ED1540"/>
    <w:rsid w:val="00ED2E0B"/>
    <w:rsid w:val="00ED3790"/>
    <w:rsid w:val="00ED4917"/>
    <w:rsid w:val="00EE4DEA"/>
    <w:rsid w:val="00EF1DF0"/>
    <w:rsid w:val="00EF4B72"/>
    <w:rsid w:val="00EF5786"/>
    <w:rsid w:val="00EF57F6"/>
    <w:rsid w:val="00EF74AA"/>
    <w:rsid w:val="00F034E8"/>
    <w:rsid w:val="00F07FFE"/>
    <w:rsid w:val="00F10A4D"/>
    <w:rsid w:val="00F1122F"/>
    <w:rsid w:val="00F11A8C"/>
    <w:rsid w:val="00F259FF"/>
    <w:rsid w:val="00F260E9"/>
    <w:rsid w:val="00F2675B"/>
    <w:rsid w:val="00F3237F"/>
    <w:rsid w:val="00F3646B"/>
    <w:rsid w:val="00F42221"/>
    <w:rsid w:val="00F43DDB"/>
    <w:rsid w:val="00F50752"/>
    <w:rsid w:val="00F56B99"/>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71B4"/>
    <w:rsid w:val="00FA7FA8"/>
    <w:rsid w:val="00FB2B44"/>
    <w:rsid w:val="00FB4AEA"/>
    <w:rsid w:val="00FB56E8"/>
    <w:rsid w:val="00FB7A96"/>
    <w:rsid w:val="00FB7EEB"/>
    <w:rsid w:val="00FC2965"/>
    <w:rsid w:val="00FC61C9"/>
    <w:rsid w:val="00FC76A6"/>
    <w:rsid w:val="00FD3F89"/>
    <w:rsid w:val="00FD41FA"/>
    <w:rsid w:val="00FD5CCA"/>
    <w:rsid w:val="00FE02BF"/>
    <w:rsid w:val="00FE2AE6"/>
    <w:rsid w:val="00FE3F87"/>
    <w:rsid w:val="00FE4CBF"/>
    <w:rsid w:val="00FE746C"/>
    <w:rsid w:val="00FE793B"/>
    <w:rsid w:val="00FE7CBC"/>
    <w:rsid w:val="00FF1D0A"/>
    <w:rsid w:val="1130228A"/>
    <w:rsid w:val="176470DA"/>
    <w:rsid w:val="234A2E0A"/>
    <w:rsid w:val="48947988"/>
    <w:rsid w:val="5D5D3774"/>
    <w:rsid w:val="5DE007BC"/>
    <w:rsid w:val="75CD7A22"/>
    <w:rsid w:val="76FF13B0"/>
    <w:rsid w:val="7B2A7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semiHidden="1" w:uiPriority="99"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olorful 2" w:qFormat="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4AB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24AB1"/>
    <w:pPr>
      <w:shd w:val="clear" w:color="auto" w:fill="000080"/>
    </w:pPr>
  </w:style>
  <w:style w:type="paragraph" w:styleId="a4">
    <w:name w:val="annotation text"/>
    <w:basedOn w:val="a"/>
    <w:link w:val="Char"/>
    <w:uiPriority w:val="99"/>
    <w:semiHidden/>
    <w:qFormat/>
    <w:rsid w:val="00224AB1"/>
    <w:pPr>
      <w:jc w:val="left"/>
    </w:pPr>
  </w:style>
  <w:style w:type="paragraph" w:styleId="a5">
    <w:name w:val="Body Text Indent"/>
    <w:basedOn w:val="a"/>
    <w:qFormat/>
    <w:rsid w:val="00224AB1"/>
    <w:pPr>
      <w:spacing w:line="480" w:lineRule="exact"/>
      <w:ind w:firstLine="560"/>
    </w:pPr>
    <w:rPr>
      <w:rFonts w:ascii="宋体" w:hAnsi="宋体"/>
    </w:rPr>
  </w:style>
  <w:style w:type="paragraph" w:styleId="a6">
    <w:name w:val="Plain Text"/>
    <w:basedOn w:val="a"/>
    <w:qFormat/>
    <w:rsid w:val="00224AB1"/>
    <w:rPr>
      <w:rFonts w:ascii="宋体" w:hAnsi="Courier New"/>
    </w:rPr>
  </w:style>
  <w:style w:type="paragraph" w:styleId="a7">
    <w:name w:val="Date"/>
    <w:basedOn w:val="a"/>
    <w:next w:val="a"/>
    <w:link w:val="Char0"/>
    <w:qFormat/>
    <w:rsid w:val="00224AB1"/>
    <w:rPr>
      <w:sz w:val="24"/>
    </w:rPr>
  </w:style>
  <w:style w:type="paragraph" w:styleId="2">
    <w:name w:val="Body Text Indent 2"/>
    <w:basedOn w:val="a"/>
    <w:qFormat/>
    <w:rsid w:val="00224AB1"/>
    <w:pPr>
      <w:ind w:firstLine="539"/>
    </w:pPr>
    <w:rPr>
      <w:color w:val="FF0000"/>
    </w:rPr>
  </w:style>
  <w:style w:type="paragraph" w:styleId="a8">
    <w:name w:val="Balloon Text"/>
    <w:basedOn w:val="a"/>
    <w:semiHidden/>
    <w:qFormat/>
    <w:rsid w:val="00224AB1"/>
    <w:rPr>
      <w:sz w:val="18"/>
      <w:szCs w:val="18"/>
    </w:rPr>
  </w:style>
  <w:style w:type="paragraph" w:styleId="a9">
    <w:name w:val="footer"/>
    <w:basedOn w:val="a"/>
    <w:qFormat/>
    <w:rsid w:val="00224AB1"/>
    <w:pPr>
      <w:tabs>
        <w:tab w:val="center" w:pos="4153"/>
        <w:tab w:val="right" w:pos="8306"/>
      </w:tabs>
      <w:snapToGrid w:val="0"/>
      <w:jc w:val="left"/>
    </w:pPr>
    <w:rPr>
      <w:sz w:val="18"/>
    </w:rPr>
  </w:style>
  <w:style w:type="paragraph" w:styleId="aa">
    <w:name w:val="header"/>
    <w:basedOn w:val="a"/>
    <w:link w:val="Char1"/>
    <w:qFormat/>
    <w:rsid w:val="00224AB1"/>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224AB1"/>
    <w:pPr>
      <w:spacing w:line="440" w:lineRule="exact"/>
      <w:ind w:firstLine="480"/>
    </w:pPr>
    <w:rPr>
      <w:rFonts w:ascii="宋体" w:hAnsi="宋体"/>
      <w:sz w:val="24"/>
    </w:rPr>
  </w:style>
  <w:style w:type="paragraph" w:styleId="1">
    <w:name w:val="index 1"/>
    <w:basedOn w:val="a"/>
    <w:next w:val="a"/>
    <w:qFormat/>
    <w:rsid w:val="00224AB1"/>
    <w:rPr>
      <w:rFonts w:eastAsia="楷体_GB2312"/>
      <w:sz w:val="28"/>
      <w:szCs w:val="24"/>
    </w:rPr>
  </w:style>
  <w:style w:type="paragraph" w:styleId="ab">
    <w:name w:val="annotation subject"/>
    <w:basedOn w:val="a4"/>
    <w:next w:val="a4"/>
    <w:semiHidden/>
    <w:qFormat/>
    <w:rsid w:val="00224AB1"/>
    <w:rPr>
      <w:b/>
      <w:bCs/>
    </w:rPr>
  </w:style>
  <w:style w:type="table" w:styleId="ac">
    <w:name w:val="Table Grid"/>
    <w:basedOn w:val="a1"/>
    <w:qFormat/>
    <w:rsid w:val="00224A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224AB1"/>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d">
    <w:name w:val="page number"/>
    <w:basedOn w:val="a0"/>
    <w:qFormat/>
    <w:rsid w:val="00224AB1"/>
  </w:style>
  <w:style w:type="character" w:styleId="ae">
    <w:name w:val="FollowedHyperlink"/>
    <w:qFormat/>
    <w:rsid w:val="00224AB1"/>
    <w:rPr>
      <w:color w:val="800080"/>
      <w:u w:val="single"/>
    </w:rPr>
  </w:style>
  <w:style w:type="character" w:styleId="af">
    <w:name w:val="Hyperlink"/>
    <w:qFormat/>
    <w:rsid w:val="00224AB1"/>
    <w:rPr>
      <w:color w:val="0000FF"/>
      <w:u w:val="single"/>
    </w:rPr>
  </w:style>
  <w:style w:type="character" w:styleId="af0">
    <w:name w:val="annotation reference"/>
    <w:semiHidden/>
    <w:qFormat/>
    <w:rsid w:val="00224AB1"/>
    <w:rPr>
      <w:sz w:val="21"/>
      <w:szCs w:val="21"/>
    </w:rPr>
  </w:style>
  <w:style w:type="paragraph" w:customStyle="1" w:styleId="10">
    <w:name w:val="正文1"/>
    <w:qFormat/>
    <w:rsid w:val="00224AB1"/>
    <w:pPr>
      <w:jc w:val="both"/>
    </w:pPr>
    <w:rPr>
      <w:rFonts w:ascii="Times New Roman" w:eastAsia="PMingLiU" w:hAnsi="Times New Roman" w:cs="Times New Roman"/>
      <w:kern w:val="2"/>
      <w:sz w:val="24"/>
      <w:lang w:eastAsia="zh-TW"/>
    </w:rPr>
  </w:style>
  <w:style w:type="paragraph" w:customStyle="1" w:styleId="ParaCharCharCharCharCharCharChar">
    <w:name w:val="默认段落字体 Para Char Char Char Char Char Char Char"/>
    <w:basedOn w:val="a"/>
    <w:qFormat/>
    <w:rsid w:val="00224AB1"/>
    <w:rPr>
      <w:rFonts w:ascii="Tahoma" w:hAnsi="Tahoma"/>
      <w:sz w:val="24"/>
    </w:rPr>
  </w:style>
  <w:style w:type="paragraph" w:customStyle="1" w:styleId="CharCharCharCharCharChar">
    <w:name w:val="Char Char Char Char 字元 字元 Char Char 字元 字元"/>
    <w:basedOn w:val="a"/>
    <w:qFormat/>
    <w:rsid w:val="00224AB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224AB1"/>
    <w:pPr>
      <w:widowControl w:val="0"/>
      <w:autoSpaceDE w:val="0"/>
      <w:autoSpaceDN w:val="0"/>
      <w:adjustRightInd w:val="0"/>
    </w:pPr>
    <w:rPr>
      <w:rFonts w:ascii=".." w:eastAsia=".." w:hAnsi="Times New Roman" w:cs="Times New Roman"/>
      <w:color w:val="000000"/>
      <w:sz w:val="24"/>
      <w:szCs w:val="24"/>
    </w:rPr>
  </w:style>
  <w:style w:type="paragraph" w:customStyle="1" w:styleId="CharCharChar1Char">
    <w:name w:val="Char Char Char1 Char"/>
    <w:basedOn w:val="a3"/>
    <w:qFormat/>
    <w:rsid w:val="00224AB1"/>
    <w:pPr>
      <w:adjustRightInd w:val="0"/>
      <w:spacing w:line="436" w:lineRule="exact"/>
      <w:ind w:left="357"/>
      <w:jc w:val="left"/>
      <w:outlineLvl w:val="3"/>
    </w:pPr>
    <w:rPr>
      <w:rFonts w:ascii="Tahoma" w:hAnsi="Tahoma"/>
      <w:b/>
      <w:sz w:val="24"/>
      <w:szCs w:val="28"/>
    </w:rPr>
  </w:style>
  <w:style w:type="character" w:customStyle="1" w:styleId="Char1">
    <w:name w:val="页眉 Char"/>
    <w:link w:val="aa"/>
    <w:qFormat/>
    <w:rsid w:val="00224AB1"/>
    <w:rPr>
      <w:kern w:val="2"/>
      <w:sz w:val="18"/>
      <w:szCs w:val="18"/>
    </w:rPr>
  </w:style>
  <w:style w:type="character" w:customStyle="1" w:styleId="Char">
    <w:name w:val="批注文字 Char"/>
    <w:link w:val="a4"/>
    <w:uiPriority w:val="99"/>
    <w:semiHidden/>
    <w:qFormat/>
    <w:rsid w:val="00224AB1"/>
    <w:rPr>
      <w:kern w:val="2"/>
      <w:sz w:val="21"/>
    </w:rPr>
  </w:style>
  <w:style w:type="character" w:customStyle="1" w:styleId="Char0">
    <w:name w:val="日期 Char"/>
    <w:link w:val="a7"/>
    <w:qFormat/>
    <w:rsid w:val="00224AB1"/>
    <w:rPr>
      <w:kern w:val="2"/>
      <w:sz w:val="24"/>
    </w:rPr>
  </w:style>
  <w:style w:type="paragraph" w:customStyle="1" w:styleId="11">
    <w:name w:val="修订1"/>
    <w:hidden/>
    <w:uiPriority w:val="99"/>
    <w:semiHidden/>
    <w:qFormat/>
    <w:rsid w:val="00224AB1"/>
    <w:rPr>
      <w:rFonts w:ascii="Times New Roman" w:eastAsia="宋体" w:hAnsi="Times New Roman" w:cs="Times New Roman"/>
      <w:kern w:val="2"/>
      <w:sz w:val="21"/>
    </w:rPr>
  </w:style>
  <w:style w:type="paragraph" w:styleId="af1">
    <w:name w:val="List Paragraph"/>
    <w:basedOn w:val="a"/>
    <w:uiPriority w:val="34"/>
    <w:qFormat/>
    <w:rsid w:val="00224AB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F5512-074B-4295-B7BA-040AC2F3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975</Words>
  <Characters>5559</Characters>
  <Application>Microsoft Office Word</Application>
  <DocSecurity>0</DocSecurity>
  <Lines>46</Lines>
  <Paragraphs>13</Paragraphs>
  <ScaleCrop>false</ScaleCrop>
  <Company>csc</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44</cp:revision>
  <cp:lastPrinted>2019-03-21T23:54:00Z</cp:lastPrinted>
  <dcterms:created xsi:type="dcterms:W3CDTF">2017-03-29T14:48:00Z</dcterms:created>
  <dcterms:modified xsi:type="dcterms:W3CDTF">2019-03-29T01:25:00Z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