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DD" w:rsidRDefault="008C271A">
      <w:pPr>
        <w:spacing w:line="560" w:lineRule="exact"/>
        <w:jc w:val="center"/>
        <w:rPr>
          <w:rFonts w:eastAsia="黑体"/>
        </w:rPr>
      </w:pPr>
      <w:r>
        <w:rPr>
          <w:rFonts w:eastAsia="黑体"/>
        </w:rPr>
        <w:t>股票代码：</w:t>
      </w:r>
      <w:r>
        <w:rPr>
          <w:rFonts w:eastAsia="黑体"/>
        </w:rPr>
        <w:t xml:space="preserve">600188            </w:t>
      </w:r>
      <w:r>
        <w:rPr>
          <w:rFonts w:eastAsia="黑体"/>
        </w:rPr>
        <w:t>股票简称：兖州煤业</w:t>
      </w:r>
      <w:r>
        <w:rPr>
          <w:rFonts w:eastAsia="黑体"/>
        </w:rPr>
        <w:t xml:space="preserve">            </w:t>
      </w:r>
      <w:r>
        <w:rPr>
          <w:rFonts w:ascii="黑体" w:eastAsia="黑体" w:hAnsi="黑体" w:cs="黑体" w:hint="eastAsia"/>
        </w:rPr>
        <w:t>编号：临2018-08</w:t>
      </w:r>
      <w:r w:rsidR="00225699">
        <w:rPr>
          <w:rFonts w:ascii="黑体" w:eastAsia="黑体" w:hAnsi="黑体" w:cs="黑体" w:hint="eastAsia"/>
        </w:rPr>
        <w:t>8</w:t>
      </w:r>
    </w:p>
    <w:p w:rsidR="00DE77DD" w:rsidRDefault="00DE77DD">
      <w:pPr>
        <w:spacing w:line="560" w:lineRule="exact"/>
        <w:jc w:val="center"/>
        <w:rPr>
          <w:rFonts w:eastAsia="黑体"/>
          <w:color w:val="000000"/>
        </w:rPr>
      </w:pPr>
      <w:bookmarkStart w:id="0" w:name="_GoBack"/>
      <w:bookmarkEnd w:id="0"/>
    </w:p>
    <w:p w:rsidR="00DE77DD" w:rsidRDefault="008C271A">
      <w:pPr>
        <w:spacing w:line="560" w:lineRule="exact"/>
        <w:jc w:val="center"/>
        <w:rPr>
          <w:rFonts w:ascii="黑体" w:eastAsia="黑体"/>
          <w:b/>
          <w:bCs/>
          <w:color w:val="FF0000"/>
          <w:sz w:val="36"/>
          <w:szCs w:val="36"/>
        </w:rPr>
      </w:pPr>
      <w:r>
        <w:rPr>
          <w:rFonts w:ascii="黑体" w:eastAsia="黑体" w:hint="eastAsia"/>
          <w:b/>
          <w:bCs/>
          <w:color w:val="FF0000"/>
          <w:sz w:val="36"/>
          <w:szCs w:val="36"/>
        </w:rPr>
        <w:t>关于控股子公司兖煤澳洲双地上市的进展公告</w:t>
      </w:r>
    </w:p>
    <w:p w:rsidR="00DE77DD" w:rsidRDefault="007047ED">
      <w:pPr>
        <w:spacing w:line="560" w:lineRule="exact"/>
        <w:rPr>
          <w:b/>
          <w:bCs/>
          <w:color w:val="000000"/>
          <w:sz w:val="28"/>
        </w:rPr>
      </w:pPr>
      <w:r>
        <w:rPr>
          <w:b/>
          <w:bCs/>
          <w:color w:val="000000"/>
          <w:sz w:val="28"/>
        </w:rPr>
        <w:pict>
          <v:shapetype id="_x0000_t202" coordsize="21600,21600" o:spt="202" path="m,l,21600r21600,l21600,xe">
            <v:stroke joinstyle="miter"/>
            <v:path gradientshapeok="t" o:connecttype="rect"/>
          </v:shapetype>
          <v:shape id="_x0000_s1026" type="#_x0000_t202" style="position:absolute;left:0;text-align:left;margin-left:.5pt;margin-top:26pt;width:423pt;height:77.2pt;z-index:251659264" o:gfxdata="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0&#10;lHUC1wAAAAgBAAAPAAAAAAAAAAEAIAAAACIAAABkcnMvZG93bnJldi54bWxQSwECFAAUAAAACACH&#10;TuJACgEcsiUCAAA5BAAADgAAAAAAAAABACAAAAAmAQAAZHJzL2Uyb0RvYy54bWxQSwUGAAAAAAYA&#10;BgBZAQAAvQUAAAAA&#10;">
            <v:textbox>
              <w:txbxContent>
                <w:p w:rsidR="00DE77DD" w:rsidRDefault="008C271A">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DE77DD" w:rsidRDefault="008C271A">
      <w:pPr>
        <w:pBdr>
          <w:top w:val="single" w:sz="4" w:space="1" w:color="auto"/>
          <w:left w:val="single" w:sz="4" w:space="4" w:color="auto"/>
          <w:bottom w:val="single" w:sz="4" w:space="1" w:color="auto"/>
          <w:right w:val="single" w:sz="4" w:space="4" w:color="auto"/>
        </w:pBdr>
        <w:adjustRightInd w:val="0"/>
        <w:spacing w:line="560" w:lineRule="exact"/>
        <w:ind w:leftChars="171" w:left="359"/>
        <w:rPr>
          <w:color w:val="FF0000"/>
          <w:sz w:val="24"/>
          <w:szCs w:val="24"/>
        </w:rPr>
      </w:pPr>
      <w:r>
        <w:rPr>
          <w:sz w:val="24"/>
          <w:szCs w:val="24"/>
        </w:rPr>
        <w:t>本公司董事会及全体董事保证本公告内容不存在任何虚假记载、误导性陈述或者重大遗漏，并对其内容的真实性、准确性和完整性承担个别及连带责任。</w:t>
      </w:r>
    </w:p>
    <w:p w:rsidR="00DE77DD" w:rsidRDefault="00DE77DD">
      <w:pPr>
        <w:spacing w:line="560" w:lineRule="exact"/>
        <w:rPr>
          <w:b/>
          <w:bCs/>
          <w:sz w:val="24"/>
        </w:rPr>
      </w:pPr>
    </w:p>
    <w:p w:rsidR="00DE77DD" w:rsidRDefault="008C271A" w:rsidP="00840C74">
      <w:pPr>
        <w:adjustRightInd w:val="0"/>
        <w:snapToGrid w:val="0"/>
        <w:spacing w:line="500" w:lineRule="exact"/>
        <w:ind w:firstLineChars="200" w:firstLine="560"/>
        <w:rPr>
          <w:rFonts w:ascii="宋体" w:hAnsi="宋体"/>
          <w:sz w:val="28"/>
          <w:szCs w:val="28"/>
        </w:rPr>
      </w:pPr>
      <w:bookmarkStart w:id="1" w:name="继续"/>
      <w:bookmarkEnd w:id="1"/>
      <w:r>
        <w:rPr>
          <w:rFonts w:ascii="宋体" w:hAnsi="宋体"/>
          <w:sz w:val="28"/>
          <w:szCs w:val="28"/>
        </w:rPr>
        <w:t>经兖州煤业股份有限公司（</w:t>
      </w:r>
      <w:r>
        <w:rPr>
          <w:rFonts w:ascii="宋体" w:hAnsi="宋体" w:hint="eastAsia"/>
          <w:sz w:val="28"/>
          <w:szCs w:val="28"/>
        </w:rPr>
        <w:t>“公司”</w:t>
      </w:r>
      <w:r>
        <w:rPr>
          <w:rFonts w:ascii="宋体" w:hAnsi="宋体"/>
          <w:sz w:val="28"/>
          <w:szCs w:val="28"/>
        </w:rPr>
        <w:t>）于</w:t>
      </w:r>
      <w:r>
        <w:rPr>
          <w:rFonts w:ascii="宋体" w:hAnsi="宋体" w:hint="eastAsia"/>
          <w:sz w:val="28"/>
          <w:szCs w:val="28"/>
        </w:rPr>
        <w:t>2</w:t>
      </w:r>
      <w:r>
        <w:rPr>
          <w:rFonts w:ascii="宋体" w:hAnsi="宋体"/>
          <w:sz w:val="28"/>
          <w:szCs w:val="28"/>
        </w:rPr>
        <w:t>018</w:t>
      </w:r>
      <w:r>
        <w:rPr>
          <w:rFonts w:ascii="宋体" w:hAnsi="宋体" w:hint="eastAsia"/>
          <w:sz w:val="28"/>
          <w:szCs w:val="28"/>
        </w:rPr>
        <w:t>年6月29日召开的第七届董事会第十五次会议审议批准，兖州煤业澳大利亚有限公司（“兖煤澳洲”）于2018年6月29日向香港联合交易所有限公司（“香港联交所”）保密递交了上市申请，拟在澳大利亚证券交易所和香港联交所实现双地上市（“双地上市”）。</w:t>
      </w:r>
      <w:r w:rsidR="002B6D4B">
        <w:rPr>
          <w:rFonts w:ascii="宋体" w:hAnsi="宋体" w:hint="eastAsia"/>
          <w:sz w:val="28"/>
          <w:szCs w:val="28"/>
        </w:rPr>
        <w:t>2018年10月1日</w:t>
      </w:r>
      <w:r w:rsidR="00EE3D0E">
        <w:rPr>
          <w:rFonts w:ascii="宋体" w:hAnsi="宋体" w:hint="eastAsia"/>
          <w:sz w:val="28"/>
          <w:szCs w:val="28"/>
        </w:rPr>
        <w:t>、2018年11月22日</w:t>
      </w:r>
      <w:r w:rsidR="002B6D4B">
        <w:rPr>
          <w:rFonts w:ascii="宋体" w:hAnsi="宋体" w:hint="eastAsia"/>
          <w:sz w:val="28"/>
          <w:szCs w:val="28"/>
        </w:rPr>
        <w:t>兖煤澳洲</w:t>
      </w:r>
      <w:r w:rsidR="00EE3D0E">
        <w:rPr>
          <w:rFonts w:ascii="宋体" w:hAnsi="宋体" w:hint="eastAsia"/>
          <w:sz w:val="28"/>
          <w:szCs w:val="28"/>
        </w:rPr>
        <w:t>分别</w:t>
      </w:r>
      <w:r w:rsidR="002B6D4B">
        <w:rPr>
          <w:rFonts w:ascii="宋体" w:hAnsi="宋体" w:hint="eastAsia"/>
          <w:sz w:val="28"/>
          <w:szCs w:val="28"/>
        </w:rPr>
        <w:t>向香港联交所递交了聆讯后资料集</w:t>
      </w:r>
      <w:r w:rsidR="00EE3D0E">
        <w:rPr>
          <w:rFonts w:ascii="宋体" w:hAnsi="宋体" w:hint="eastAsia"/>
          <w:sz w:val="28"/>
          <w:szCs w:val="28"/>
        </w:rPr>
        <w:t>和经修订</w:t>
      </w:r>
      <w:r w:rsidR="009024EA">
        <w:rPr>
          <w:rFonts w:ascii="宋体" w:hAnsi="宋体" w:hint="eastAsia"/>
          <w:sz w:val="28"/>
          <w:szCs w:val="28"/>
        </w:rPr>
        <w:t>的聆讯后资料集，</w:t>
      </w:r>
      <w:r w:rsidR="002B6D4B">
        <w:rPr>
          <w:rFonts w:ascii="宋体" w:hAnsi="宋体" w:hint="eastAsia"/>
          <w:sz w:val="28"/>
          <w:szCs w:val="28"/>
        </w:rPr>
        <w:t>并在香港联交所网站刊载。</w:t>
      </w:r>
    </w:p>
    <w:p w:rsidR="008F07B5" w:rsidRDefault="008C271A" w:rsidP="00DD1980">
      <w:pPr>
        <w:adjustRightInd w:val="0"/>
        <w:snapToGrid w:val="0"/>
        <w:spacing w:beforeLines="50" w:afterLines="50" w:line="500" w:lineRule="exact"/>
        <w:ind w:firstLineChars="200" w:firstLine="560"/>
        <w:rPr>
          <w:rFonts w:ascii="楷体_GB2312" w:eastAsia="楷体_GB2312" w:hAnsi="楷体_GB2312" w:cs="楷体_GB2312"/>
          <w:sz w:val="28"/>
          <w:szCs w:val="28"/>
        </w:rPr>
      </w:pPr>
      <w:r>
        <w:rPr>
          <w:rFonts w:ascii="楷体_GB2312" w:eastAsia="楷体_GB2312" w:hAnsi="楷体_GB2312" w:cs="楷体_GB2312" w:hint="eastAsia"/>
          <w:sz w:val="28"/>
          <w:szCs w:val="28"/>
        </w:rPr>
        <w:t>有关详情请参见日期为</w:t>
      </w:r>
      <w:r>
        <w:rPr>
          <w:rFonts w:ascii="楷体_GB2312" w:eastAsia="楷体_GB2312" w:hAnsi="楷体_GB2312" w:cs="楷体_GB2312"/>
          <w:sz w:val="28"/>
          <w:szCs w:val="28"/>
        </w:rPr>
        <w:t>2018</w:t>
      </w:r>
      <w:r>
        <w:rPr>
          <w:rFonts w:ascii="楷体_GB2312" w:eastAsia="楷体_GB2312" w:hAnsi="楷体_GB2312" w:cs="楷体_GB2312" w:hint="eastAsia"/>
          <w:sz w:val="28"/>
          <w:szCs w:val="28"/>
        </w:rPr>
        <w:t>年</w:t>
      </w:r>
      <w:r>
        <w:rPr>
          <w:rFonts w:ascii="楷体_GB2312" w:eastAsia="楷体_GB2312" w:hAnsi="楷体_GB2312" w:cs="楷体_GB2312"/>
          <w:sz w:val="28"/>
          <w:szCs w:val="28"/>
        </w:rPr>
        <w:t>6月29日的《兖州煤业股份有限公司第七届董事会第十五次会议决议公告》</w:t>
      </w:r>
      <w:r w:rsidR="002B6D4B">
        <w:rPr>
          <w:rFonts w:ascii="楷体_GB2312" w:eastAsia="楷体_GB2312" w:hAnsi="楷体_GB2312" w:cs="楷体_GB2312" w:hint="eastAsia"/>
          <w:sz w:val="28"/>
          <w:szCs w:val="28"/>
        </w:rPr>
        <w:t>、</w:t>
      </w:r>
      <w:r>
        <w:rPr>
          <w:rFonts w:ascii="楷体_GB2312" w:eastAsia="楷体_GB2312" w:hAnsi="楷体_GB2312" w:cs="楷体_GB2312"/>
          <w:sz w:val="28"/>
          <w:szCs w:val="28"/>
        </w:rPr>
        <w:t>《兖州煤业股份有限公司关于控股子公司兖州煤业澳大利亚有限公司拟向香港联交所申请双地上市的提示性公告》</w:t>
      </w:r>
      <w:r w:rsidR="002B6D4B">
        <w:rPr>
          <w:rFonts w:ascii="楷体_GB2312" w:eastAsia="楷体_GB2312" w:hAnsi="楷体_GB2312" w:cs="楷体_GB2312" w:hint="eastAsia"/>
          <w:sz w:val="28"/>
          <w:szCs w:val="28"/>
        </w:rPr>
        <w:t>，日期为2018年10月1日</w:t>
      </w:r>
      <w:r w:rsidR="009024EA">
        <w:rPr>
          <w:rFonts w:ascii="楷体_GB2312" w:eastAsia="楷体_GB2312" w:hAnsi="楷体_GB2312" w:cs="楷体_GB2312" w:hint="eastAsia"/>
          <w:sz w:val="28"/>
          <w:szCs w:val="28"/>
        </w:rPr>
        <w:t>、</w:t>
      </w:r>
      <w:r w:rsidR="002B6D4B">
        <w:rPr>
          <w:rFonts w:ascii="楷体_GB2312" w:eastAsia="楷体_GB2312" w:hAnsi="楷体_GB2312" w:cs="楷体_GB2312" w:hint="eastAsia"/>
          <w:sz w:val="28"/>
          <w:szCs w:val="28"/>
        </w:rPr>
        <w:t>2018年10月7日</w:t>
      </w:r>
      <w:r w:rsidR="009024EA">
        <w:rPr>
          <w:rFonts w:ascii="楷体_GB2312" w:eastAsia="楷体_GB2312" w:hAnsi="楷体_GB2312" w:cs="楷体_GB2312" w:hint="eastAsia"/>
          <w:sz w:val="28"/>
          <w:szCs w:val="28"/>
        </w:rPr>
        <w:t>及2018年11月22日</w:t>
      </w:r>
      <w:r w:rsidR="002B6D4B">
        <w:rPr>
          <w:rFonts w:ascii="楷体_GB2312" w:eastAsia="楷体_GB2312" w:hAnsi="楷体_GB2312" w:cs="楷体_GB2312" w:hint="eastAsia"/>
          <w:sz w:val="28"/>
          <w:szCs w:val="28"/>
        </w:rPr>
        <w:t>的</w:t>
      </w:r>
      <w:r w:rsidR="002B6D4B">
        <w:rPr>
          <w:rFonts w:ascii="楷体_GB2312" w:eastAsia="楷体_GB2312" w:hAnsi="楷体_GB2312" w:cs="楷体_GB2312"/>
          <w:sz w:val="28"/>
          <w:szCs w:val="28"/>
        </w:rPr>
        <w:t>《</w:t>
      </w:r>
      <w:r w:rsidR="002B6D4B">
        <w:rPr>
          <w:rFonts w:ascii="楷体_GB2312" w:eastAsia="楷体_GB2312" w:hAnsi="楷体_GB2312" w:cs="楷体_GB2312" w:hint="eastAsia"/>
          <w:sz w:val="28"/>
          <w:szCs w:val="28"/>
        </w:rPr>
        <w:t>关于控股子公司兖煤澳洲双地上市的进展公</w:t>
      </w:r>
      <w:r w:rsidR="002B6D4B">
        <w:rPr>
          <w:rFonts w:ascii="楷体_GB2312" w:eastAsia="楷体_GB2312" w:hAnsi="楷体_GB2312" w:cs="楷体_GB2312"/>
          <w:sz w:val="28"/>
          <w:szCs w:val="28"/>
        </w:rPr>
        <w:t>告》</w:t>
      </w:r>
      <w:r>
        <w:rPr>
          <w:rFonts w:ascii="楷体_GB2312" w:eastAsia="楷体_GB2312" w:hAnsi="楷体_GB2312" w:cs="楷体_GB2312"/>
          <w:sz w:val="28"/>
          <w:szCs w:val="28"/>
        </w:rPr>
        <w:t>。该等公告刊载于上海证券交易所网站、香港联交所网站、公司网站及/或中国境内《中国证券报》、《上海证券报》、《证券时报》。</w:t>
      </w:r>
    </w:p>
    <w:p w:rsidR="000048C5" w:rsidRDefault="008C271A" w:rsidP="00840C74">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公司接到兖煤澳洲通知，兖煤澳洲</w:t>
      </w:r>
      <w:r w:rsidR="009024EA">
        <w:rPr>
          <w:rFonts w:ascii="宋体" w:hAnsi="宋体" w:hint="eastAsia"/>
          <w:sz w:val="28"/>
          <w:szCs w:val="28"/>
        </w:rPr>
        <w:t>董事会已确定</w:t>
      </w:r>
      <w:r w:rsidR="00491755">
        <w:rPr>
          <w:rFonts w:ascii="宋体" w:hAnsi="宋体" w:hint="eastAsia"/>
          <w:sz w:val="28"/>
          <w:szCs w:val="28"/>
        </w:rPr>
        <w:t>，为实现双地上市</w:t>
      </w:r>
      <w:r w:rsidR="00075721">
        <w:rPr>
          <w:rFonts w:ascii="宋体" w:hAnsi="宋体" w:hint="eastAsia"/>
          <w:sz w:val="28"/>
          <w:szCs w:val="28"/>
        </w:rPr>
        <w:t>而</w:t>
      </w:r>
      <w:r w:rsidR="00EE3D0E">
        <w:rPr>
          <w:rFonts w:ascii="宋体" w:hAnsi="宋体" w:hint="eastAsia"/>
          <w:sz w:val="28"/>
          <w:szCs w:val="28"/>
        </w:rPr>
        <w:t>将要</w:t>
      </w:r>
      <w:r w:rsidR="00B00827">
        <w:rPr>
          <w:rFonts w:ascii="宋体" w:hAnsi="宋体" w:hint="eastAsia"/>
          <w:sz w:val="28"/>
          <w:szCs w:val="28"/>
        </w:rPr>
        <w:t>发售（</w:t>
      </w:r>
      <w:r w:rsidR="00B00827">
        <w:rPr>
          <w:rFonts w:ascii="宋体" w:hAnsi="宋体"/>
          <w:sz w:val="28"/>
          <w:szCs w:val="28"/>
        </w:rPr>
        <w:t>“</w:t>
      </w:r>
      <w:r w:rsidR="00B00827">
        <w:rPr>
          <w:rFonts w:ascii="宋体" w:hAnsi="宋体" w:hint="eastAsia"/>
          <w:sz w:val="28"/>
          <w:szCs w:val="28"/>
        </w:rPr>
        <w:t>全球发售</w:t>
      </w:r>
      <w:r w:rsidR="00B00827">
        <w:rPr>
          <w:rFonts w:ascii="宋体" w:hAnsi="宋体"/>
          <w:sz w:val="28"/>
          <w:szCs w:val="28"/>
        </w:rPr>
        <w:t>”</w:t>
      </w:r>
      <w:r w:rsidR="00B00827">
        <w:rPr>
          <w:rFonts w:ascii="宋体" w:hAnsi="宋体" w:hint="eastAsia"/>
          <w:sz w:val="28"/>
          <w:szCs w:val="28"/>
        </w:rPr>
        <w:t>）的兖煤澳洲股份的发售价格将在每股23.48至25.84</w:t>
      </w:r>
      <w:r w:rsidR="004D6121">
        <w:rPr>
          <w:rFonts w:ascii="宋体" w:hAnsi="宋体" w:hint="eastAsia"/>
          <w:sz w:val="28"/>
          <w:szCs w:val="28"/>
        </w:rPr>
        <w:t>港元</w:t>
      </w:r>
      <w:r w:rsidR="00B00827">
        <w:rPr>
          <w:rFonts w:ascii="宋体" w:hAnsi="宋体" w:hint="eastAsia"/>
          <w:sz w:val="28"/>
          <w:szCs w:val="28"/>
        </w:rPr>
        <w:t>区间内（“发售价格区间”）。如果全球发售成功，兖煤澳洲股份的每股最终发售价格（“最终发售价格”）</w:t>
      </w:r>
      <w:r w:rsidR="00A119CE" w:rsidRPr="00DD1980">
        <w:rPr>
          <w:rFonts w:ascii="宋体" w:hAnsi="宋体" w:hint="eastAsia"/>
          <w:sz w:val="28"/>
          <w:szCs w:val="28"/>
        </w:rPr>
        <w:t>将</w:t>
      </w:r>
      <w:r w:rsidR="00B00827" w:rsidRPr="00DD1980">
        <w:rPr>
          <w:rFonts w:ascii="宋体" w:hAnsi="宋体" w:hint="eastAsia"/>
          <w:sz w:val="28"/>
          <w:szCs w:val="28"/>
        </w:rPr>
        <w:t>于2018年11月29日</w:t>
      </w:r>
      <w:r w:rsidR="00102FD2" w:rsidRPr="00DD1980">
        <w:rPr>
          <w:rFonts w:ascii="宋体" w:hAnsi="宋体" w:hint="eastAsia"/>
          <w:sz w:val="28"/>
          <w:szCs w:val="28"/>
        </w:rPr>
        <w:t>(最晚不迟于2018年12月5日)</w:t>
      </w:r>
      <w:r w:rsidR="004D6121" w:rsidRPr="00DD1980">
        <w:rPr>
          <w:rFonts w:ascii="SimSun" w:hAnsi="SimSun" w:hint="eastAsia"/>
          <w:sz w:val="28"/>
          <w:szCs w:val="28"/>
        </w:rPr>
        <w:t>在发售价格区间</w:t>
      </w:r>
      <w:r w:rsidR="004D6121" w:rsidRPr="00DD1980">
        <w:rPr>
          <w:rFonts w:ascii="宋体" w:hAnsi="宋体" w:hint="eastAsia"/>
          <w:sz w:val="28"/>
          <w:szCs w:val="28"/>
        </w:rPr>
        <w:t>内确定（除</w:t>
      </w:r>
      <w:r w:rsidR="004D6121" w:rsidRPr="00DD1980">
        <w:rPr>
          <w:rFonts w:ascii="宋体" w:hAnsi="宋体" w:hint="eastAsia"/>
          <w:sz w:val="28"/>
          <w:szCs w:val="28"/>
        </w:rPr>
        <w:lastRenderedPageBreak/>
        <w:t>非另行公告）</w:t>
      </w:r>
      <w:r w:rsidR="00B00827" w:rsidRPr="00DD1980">
        <w:rPr>
          <w:rFonts w:ascii="宋体" w:hAnsi="宋体" w:hint="eastAsia"/>
          <w:sz w:val="28"/>
          <w:szCs w:val="28"/>
        </w:rPr>
        <w:t>。</w:t>
      </w:r>
    </w:p>
    <w:p w:rsidR="00B00827" w:rsidRDefault="00EE3D0E" w:rsidP="00840C74">
      <w:pPr>
        <w:adjustRightInd w:val="0"/>
        <w:snapToGrid w:val="0"/>
        <w:spacing w:line="500" w:lineRule="exact"/>
        <w:ind w:firstLineChars="200" w:firstLine="560"/>
        <w:rPr>
          <w:rFonts w:ascii="宋体" w:hAnsi="宋体"/>
          <w:sz w:val="28"/>
          <w:szCs w:val="28"/>
        </w:rPr>
      </w:pPr>
      <w:r>
        <w:rPr>
          <w:rFonts w:ascii="宋体" w:hAnsi="宋体" w:hint="eastAsia"/>
          <w:sz w:val="28"/>
          <w:szCs w:val="28"/>
        </w:rPr>
        <w:t>全球发售将包括最初发售59,441,900股兖煤澳洲股份</w:t>
      </w:r>
      <w:r w:rsidR="00075721">
        <w:rPr>
          <w:rFonts w:ascii="宋体" w:hAnsi="宋体" w:hint="eastAsia"/>
          <w:sz w:val="28"/>
          <w:szCs w:val="28"/>
        </w:rPr>
        <w:t>（不包括行使超额配股权而发售的兖煤澳洲股份），</w:t>
      </w:r>
      <w:r>
        <w:rPr>
          <w:rFonts w:ascii="宋体" w:hAnsi="宋体" w:hint="eastAsia"/>
          <w:sz w:val="28"/>
          <w:szCs w:val="28"/>
        </w:rPr>
        <w:t>若行使超额配股权，全球发售最多额外发行8,916,200股兖煤澳洲股份。</w:t>
      </w:r>
    </w:p>
    <w:p w:rsidR="00EE3D0E" w:rsidRPr="00EE3D0E" w:rsidRDefault="00EE3D0E" w:rsidP="00840C74">
      <w:pPr>
        <w:spacing w:line="500" w:lineRule="exact"/>
        <w:ind w:firstLineChars="200" w:firstLine="560"/>
        <w:rPr>
          <w:rFonts w:ascii="宋体" w:hAnsi="宋体"/>
          <w:sz w:val="28"/>
          <w:szCs w:val="28"/>
        </w:rPr>
      </w:pPr>
      <w:r w:rsidRPr="00EE3D0E">
        <w:rPr>
          <w:rFonts w:ascii="宋体" w:hAnsi="宋体" w:hint="eastAsia"/>
          <w:sz w:val="28"/>
          <w:szCs w:val="28"/>
        </w:rPr>
        <w:t>兖煤澳洲</w:t>
      </w:r>
      <w:r w:rsidR="00075721">
        <w:rPr>
          <w:rFonts w:ascii="宋体" w:hAnsi="宋体" w:hint="eastAsia"/>
          <w:sz w:val="28"/>
          <w:szCs w:val="28"/>
        </w:rPr>
        <w:t>本次</w:t>
      </w:r>
      <w:r w:rsidRPr="00EE3D0E">
        <w:rPr>
          <w:rFonts w:ascii="宋体" w:hAnsi="宋体" w:hint="eastAsia"/>
          <w:sz w:val="28"/>
          <w:szCs w:val="28"/>
        </w:rPr>
        <w:t>全球发售</w:t>
      </w:r>
      <w:r w:rsidR="00075721">
        <w:rPr>
          <w:rFonts w:ascii="宋体" w:hAnsi="宋体" w:hint="eastAsia"/>
          <w:sz w:val="28"/>
          <w:szCs w:val="28"/>
        </w:rPr>
        <w:t>拟与</w:t>
      </w:r>
      <w:r w:rsidRPr="00EE3D0E">
        <w:rPr>
          <w:rFonts w:ascii="宋体" w:hAnsi="宋体" w:hint="eastAsia"/>
          <w:sz w:val="28"/>
          <w:szCs w:val="28"/>
        </w:rPr>
        <w:t>融资一并进行，融资涉及按照全球发售的最终发售价格进行配股（</w:t>
      </w:r>
      <w:r w:rsidR="00075721">
        <w:rPr>
          <w:rFonts w:ascii="宋体" w:hAnsi="宋体" w:hint="eastAsia"/>
          <w:sz w:val="28"/>
          <w:szCs w:val="28"/>
        </w:rPr>
        <w:t>“</w:t>
      </w:r>
      <w:r w:rsidRPr="00EE3D0E">
        <w:rPr>
          <w:rFonts w:ascii="宋体" w:hAnsi="宋体" w:hint="eastAsia"/>
          <w:sz w:val="28"/>
          <w:szCs w:val="28"/>
        </w:rPr>
        <w:t>配股</w:t>
      </w:r>
      <w:r w:rsidR="00075721">
        <w:rPr>
          <w:rFonts w:ascii="宋体" w:hAnsi="宋体" w:hint="eastAsia"/>
          <w:sz w:val="28"/>
          <w:szCs w:val="28"/>
        </w:rPr>
        <w:t>”</w:t>
      </w:r>
      <w:r w:rsidRPr="00EE3D0E">
        <w:rPr>
          <w:rFonts w:ascii="宋体" w:hAnsi="宋体" w:hint="eastAsia"/>
          <w:sz w:val="28"/>
          <w:szCs w:val="28"/>
        </w:rPr>
        <w:t>）。公司</w:t>
      </w:r>
      <w:r w:rsidR="00075721">
        <w:rPr>
          <w:rFonts w:ascii="宋体" w:hAnsi="宋体" w:hint="eastAsia"/>
          <w:sz w:val="28"/>
          <w:szCs w:val="28"/>
        </w:rPr>
        <w:t>及</w:t>
      </w:r>
      <w:r w:rsidR="00075721" w:rsidRPr="00EE3D0E">
        <w:rPr>
          <w:rFonts w:ascii="宋体" w:hAnsi="宋体" w:hint="eastAsia"/>
          <w:sz w:val="28"/>
          <w:szCs w:val="28"/>
        </w:rPr>
        <w:t>兖煤澳洲的</w:t>
      </w:r>
      <w:r w:rsidR="00075721">
        <w:rPr>
          <w:rFonts w:ascii="宋体" w:hAnsi="宋体" w:hint="eastAsia"/>
          <w:sz w:val="28"/>
          <w:szCs w:val="28"/>
        </w:rPr>
        <w:t>另外</w:t>
      </w:r>
      <w:r w:rsidR="00075721" w:rsidRPr="00EE3D0E">
        <w:rPr>
          <w:rFonts w:ascii="宋体" w:hAnsi="宋体" w:hint="eastAsia"/>
          <w:sz w:val="28"/>
          <w:szCs w:val="28"/>
        </w:rPr>
        <w:t>两位主要股东</w:t>
      </w:r>
      <w:r w:rsidR="00075721">
        <w:rPr>
          <w:rFonts w:ascii="宋体" w:hAnsi="宋体" w:hint="eastAsia"/>
          <w:sz w:val="28"/>
          <w:szCs w:val="28"/>
        </w:rPr>
        <w:t>（</w:t>
      </w:r>
      <w:r w:rsidR="00075721" w:rsidRPr="00EE3D0E">
        <w:rPr>
          <w:rFonts w:ascii="宋体" w:hAnsi="宋体" w:hint="eastAsia"/>
          <w:sz w:val="28"/>
          <w:szCs w:val="28"/>
        </w:rPr>
        <w:t>鲁信投资有限公司</w:t>
      </w:r>
      <w:r w:rsidR="00075721">
        <w:rPr>
          <w:rFonts w:ascii="宋体" w:hAnsi="宋体" w:hint="eastAsia"/>
          <w:sz w:val="28"/>
          <w:szCs w:val="28"/>
        </w:rPr>
        <w:t>、</w:t>
      </w:r>
      <w:r w:rsidR="00075721" w:rsidRPr="00EE3D0E">
        <w:rPr>
          <w:rFonts w:ascii="宋体" w:hAnsi="宋体" w:hint="eastAsia"/>
          <w:sz w:val="28"/>
          <w:szCs w:val="28"/>
        </w:rPr>
        <w:t>信达国际</w:t>
      </w:r>
      <w:r w:rsidR="00075721" w:rsidRPr="00EE3D0E">
        <w:rPr>
          <w:rFonts w:ascii="宋体" w:hAnsi="宋体"/>
          <w:sz w:val="28"/>
          <w:szCs w:val="28"/>
        </w:rPr>
        <w:t>HGB</w:t>
      </w:r>
      <w:r w:rsidR="00075721" w:rsidRPr="00EE3D0E">
        <w:rPr>
          <w:rFonts w:ascii="宋体" w:hAnsi="宋体" w:hint="eastAsia"/>
          <w:sz w:val="28"/>
          <w:szCs w:val="28"/>
        </w:rPr>
        <w:t>投资（英国）有限公司</w:t>
      </w:r>
      <w:r w:rsidR="00075721">
        <w:rPr>
          <w:rFonts w:ascii="宋体" w:hAnsi="宋体" w:hint="eastAsia"/>
          <w:sz w:val="28"/>
          <w:szCs w:val="28"/>
        </w:rPr>
        <w:t>）</w:t>
      </w:r>
      <w:r w:rsidRPr="00EE3D0E">
        <w:rPr>
          <w:rFonts w:ascii="宋体" w:hAnsi="宋体" w:hint="eastAsia"/>
          <w:sz w:val="28"/>
          <w:szCs w:val="28"/>
        </w:rPr>
        <w:t>将承诺放弃其于配股项下的权利</w:t>
      </w:r>
      <w:r w:rsidR="00361FCF">
        <w:rPr>
          <w:rFonts w:ascii="宋体" w:hAnsi="宋体" w:hint="eastAsia"/>
          <w:sz w:val="28"/>
          <w:szCs w:val="28"/>
        </w:rPr>
        <w:t>（即认购配股额度为59,441,900股的兖煤澳洲股份）</w:t>
      </w:r>
      <w:r w:rsidRPr="00EE3D0E">
        <w:rPr>
          <w:rFonts w:ascii="宋体" w:hAnsi="宋体" w:hint="eastAsia"/>
          <w:sz w:val="28"/>
          <w:szCs w:val="28"/>
        </w:rPr>
        <w:t>，以</w:t>
      </w:r>
      <w:r w:rsidR="00592BE1">
        <w:rPr>
          <w:rFonts w:ascii="宋体" w:hAnsi="宋体" w:hint="eastAsia"/>
          <w:sz w:val="28"/>
          <w:szCs w:val="28"/>
        </w:rPr>
        <w:t>满足</w:t>
      </w:r>
      <w:r w:rsidRPr="00EE3D0E">
        <w:rPr>
          <w:rFonts w:ascii="宋体" w:hAnsi="宋体" w:hint="eastAsia"/>
          <w:sz w:val="28"/>
          <w:szCs w:val="28"/>
        </w:rPr>
        <w:t>全球发售投资者</w:t>
      </w:r>
      <w:r w:rsidR="00592BE1">
        <w:rPr>
          <w:rFonts w:ascii="宋体" w:hAnsi="宋体" w:hint="eastAsia"/>
          <w:sz w:val="28"/>
          <w:szCs w:val="28"/>
        </w:rPr>
        <w:t>的需求</w:t>
      </w:r>
      <w:r w:rsidRPr="00EE3D0E">
        <w:rPr>
          <w:rFonts w:ascii="宋体" w:hAnsi="宋体" w:hint="eastAsia"/>
          <w:sz w:val="28"/>
          <w:szCs w:val="28"/>
        </w:rPr>
        <w:t>。</w:t>
      </w:r>
      <w:r w:rsidR="00361FCF">
        <w:rPr>
          <w:rFonts w:ascii="宋体" w:hAnsi="宋体" w:hint="eastAsia"/>
          <w:sz w:val="28"/>
          <w:szCs w:val="28"/>
        </w:rPr>
        <w:t>前述股东放弃的认购配股额度即为全球发售</w:t>
      </w:r>
      <w:r w:rsidR="00A34623">
        <w:rPr>
          <w:rFonts w:ascii="宋体" w:hAnsi="宋体" w:hint="eastAsia"/>
          <w:sz w:val="28"/>
          <w:szCs w:val="28"/>
        </w:rPr>
        <w:t>所包括</w:t>
      </w:r>
      <w:r w:rsidR="00A34623">
        <w:rPr>
          <w:rFonts w:ascii="宋体" w:hAnsi="宋体"/>
          <w:sz w:val="28"/>
          <w:szCs w:val="28"/>
        </w:rPr>
        <w:t>的最初发售</w:t>
      </w:r>
      <w:r w:rsidR="00361FCF">
        <w:rPr>
          <w:rFonts w:ascii="宋体" w:hAnsi="宋体" w:hint="eastAsia"/>
          <w:sz w:val="28"/>
          <w:szCs w:val="28"/>
        </w:rPr>
        <w:t>兖煤澳洲股份。</w:t>
      </w:r>
    </w:p>
    <w:p w:rsidR="00EE3D0E" w:rsidRPr="00EE3D0E" w:rsidRDefault="00592BE1" w:rsidP="00840C74">
      <w:pPr>
        <w:spacing w:line="500" w:lineRule="exact"/>
        <w:ind w:firstLineChars="200" w:firstLine="560"/>
        <w:rPr>
          <w:rFonts w:ascii="宋体" w:hAnsi="宋体"/>
          <w:sz w:val="28"/>
          <w:szCs w:val="28"/>
        </w:rPr>
      </w:pPr>
      <w:r>
        <w:rPr>
          <w:rFonts w:ascii="宋体" w:hAnsi="宋体" w:hint="eastAsia"/>
          <w:sz w:val="28"/>
          <w:szCs w:val="28"/>
        </w:rPr>
        <w:t>如果兖煤澳洲的其他合资格股东</w:t>
      </w:r>
      <w:r w:rsidR="00EE3D0E" w:rsidRPr="00EE3D0E">
        <w:rPr>
          <w:rFonts w:ascii="宋体" w:hAnsi="宋体" w:hint="eastAsia"/>
          <w:sz w:val="28"/>
          <w:szCs w:val="28"/>
        </w:rPr>
        <w:t>认购其配股额度，则兖煤澳洲将额外发行不</w:t>
      </w:r>
      <w:r w:rsidR="00104D45">
        <w:rPr>
          <w:rFonts w:ascii="宋体" w:hAnsi="宋体" w:hint="eastAsia"/>
          <w:sz w:val="28"/>
          <w:szCs w:val="28"/>
        </w:rPr>
        <w:t>超过</w:t>
      </w:r>
      <w:r>
        <w:rPr>
          <w:rFonts w:ascii="宋体" w:hAnsi="宋体"/>
          <w:sz w:val="28"/>
          <w:szCs w:val="28"/>
        </w:rPr>
        <w:t>8,225,509</w:t>
      </w:r>
      <w:r w:rsidR="00EE3D0E" w:rsidRPr="00EE3D0E">
        <w:rPr>
          <w:rFonts w:ascii="宋体" w:hAnsi="宋体" w:hint="eastAsia"/>
          <w:sz w:val="28"/>
          <w:szCs w:val="28"/>
        </w:rPr>
        <w:t>股兖煤澳洲股份。</w:t>
      </w:r>
    </w:p>
    <w:p w:rsidR="00DE77DD" w:rsidRDefault="008C271A" w:rsidP="00840C74">
      <w:pPr>
        <w:adjustRightInd w:val="0"/>
        <w:snapToGrid w:val="0"/>
        <w:spacing w:line="500" w:lineRule="exact"/>
        <w:ind w:firstLineChars="200" w:firstLine="560"/>
        <w:rPr>
          <w:rFonts w:ascii="宋体" w:hAnsi="宋体"/>
          <w:sz w:val="28"/>
          <w:szCs w:val="28"/>
        </w:rPr>
      </w:pPr>
      <w:r>
        <w:rPr>
          <w:rFonts w:ascii="宋体" w:hAnsi="宋体" w:hint="eastAsia"/>
          <w:sz w:val="28"/>
          <w:szCs w:val="28"/>
        </w:rPr>
        <w:t>兖煤澳洲双地上市受限于香港联交所批准、市场情况及其他因素的影响，</w:t>
      </w:r>
      <w:r>
        <w:rPr>
          <w:rFonts w:ascii="宋体" w:hAnsi="宋体" w:hint="eastAsia"/>
          <w:kern w:val="0"/>
          <w:sz w:val="28"/>
          <w:szCs w:val="28"/>
        </w:rPr>
        <w:t>该事项的继续推进存在不确定性</w:t>
      </w:r>
      <w:r>
        <w:rPr>
          <w:rFonts w:ascii="宋体" w:hAnsi="宋体" w:hint="eastAsia"/>
          <w:sz w:val="28"/>
          <w:szCs w:val="28"/>
        </w:rPr>
        <w:t>。公司敬请股东及潜在投资者在买卖公司的股份或其他证券时审慎行事，注意投资风险。</w:t>
      </w:r>
    </w:p>
    <w:p w:rsidR="00DE77DD" w:rsidRDefault="008C271A">
      <w:pPr>
        <w:adjustRightInd w:val="0"/>
        <w:snapToGrid w:val="0"/>
        <w:spacing w:line="500" w:lineRule="exact"/>
        <w:ind w:firstLineChars="200" w:firstLine="560"/>
        <w:rPr>
          <w:rFonts w:ascii="宋体" w:hAnsi="宋体"/>
          <w:sz w:val="28"/>
          <w:szCs w:val="28"/>
        </w:rPr>
      </w:pPr>
      <w:r>
        <w:rPr>
          <w:rFonts w:ascii="宋体" w:hAnsi="宋体" w:hint="eastAsia"/>
          <w:sz w:val="28"/>
          <w:szCs w:val="28"/>
        </w:rPr>
        <w:t>公司将根据兖煤澳洲双地上市的进展情况，及时发布相关公告。</w:t>
      </w:r>
    </w:p>
    <w:p w:rsidR="00DE77DD" w:rsidRDefault="00DE77DD">
      <w:pPr>
        <w:adjustRightInd w:val="0"/>
        <w:snapToGrid w:val="0"/>
        <w:spacing w:line="500" w:lineRule="exact"/>
        <w:ind w:firstLineChars="200" w:firstLine="560"/>
        <w:rPr>
          <w:rFonts w:ascii="宋体" w:hAnsi="宋体"/>
          <w:sz w:val="28"/>
          <w:szCs w:val="28"/>
        </w:rPr>
      </w:pPr>
    </w:p>
    <w:p w:rsidR="00DE77DD" w:rsidRDefault="008C271A">
      <w:pPr>
        <w:adjustRightInd w:val="0"/>
        <w:snapToGrid w:val="0"/>
        <w:spacing w:line="520" w:lineRule="exact"/>
        <w:ind w:firstLine="539"/>
        <w:rPr>
          <w:rFonts w:ascii="宋体" w:hAnsi="宋体"/>
          <w:sz w:val="28"/>
          <w:szCs w:val="28"/>
        </w:rPr>
      </w:pPr>
      <w:r>
        <w:rPr>
          <w:rFonts w:ascii="宋体" w:hAnsi="宋体" w:hint="eastAsia"/>
          <w:sz w:val="28"/>
          <w:szCs w:val="28"/>
        </w:rPr>
        <w:t>特此公告。</w:t>
      </w:r>
    </w:p>
    <w:p w:rsidR="00DE77DD" w:rsidRDefault="00DE77DD">
      <w:pPr>
        <w:adjustRightInd w:val="0"/>
        <w:snapToGrid w:val="0"/>
        <w:spacing w:line="520" w:lineRule="exact"/>
        <w:ind w:firstLine="539"/>
        <w:rPr>
          <w:rFonts w:ascii="宋体" w:hAnsi="宋体"/>
          <w:sz w:val="28"/>
          <w:szCs w:val="28"/>
        </w:rPr>
      </w:pPr>
    </w:p>
    <w:p w:rsidR="00DE77DD" w:rsidRDefault="00DE77DD">
      <w:pPr>
        <w:adjustRightInd w:val="0"/>
        <w:snapToGrid w:val="0"/>
        <w:spacing w:line="520" w:lineRule="exact"/>
        <w:ind w:firstLine="539"/>
        <w:rPr>
          <w:sz w:val="28"/>
          <w:szCs w:val="28"/>
        </w:rPr>
      </w:pPr>
    </w:p>
    <w:p w:rsidR="00DE77DD" w:rsidRDefault="008C271A" w:rsidP="008D5274">
      <w:pPr>
        <w:adjustRightInd w:val="0"/>
        <w:snapToGrid w:val="0"/>
        <w:spacing w:line="520" w:lineRule="exact"/>
        <w:ind w:firstLineChars="200" w:firstLine="560"/>
        <w:jc w:val="right"/>
        <w:rPr>
          <w:sz w:val="28"/>
          <w:szCs w:val="28"/>
        </w:rPr>
      </w:pPr>
      <w:r>
        <w:rPr>
          <w:rFonts w:ascii="宋体" w:hAnsi="宋体"/>
          <w:sz w:val="28"/>
          <w:szCs w:val="28"/>
        </w:rPr>
        <w:t>兖州煤业股份有限公司董事会</w:t>
      </w:r>
    </w:p>
    <w:p w:rsidR="00DE77DD" w:rsidRDefault="008D5274">
      <w:pPr>
        <w:adjustRightInd w:val="0"/>
        <w:snapToGrid w:val="0"/>
        <w:spacing w:line="520" w:lineRule="exact"/>
        <w:jc w:val="center"/>
        <w:rPr>
          <w:sz w:val="28"/>
          <w:szCs w:val="28"/>
        </w:rPr>
      </w:pPr>
      <w:r>
        <w:rPr>
          <w:rFonts w:ascii="宋体" w:hAnsi="宋体" w:hint="eastAsia"/>
          <w:sz w:val="28"/>
          <w:szCs w:val="28"/>
        </w:rPr>
        <w:t xml:space="preserve">                              </w:t>
      </w:r>
      <w:r w:rsidR="008C271A">
        <w:rPr>
          <w:rFonts w:ascii="宋体" w:hAnsi="宋体" w:hint="eastAsia"/>
          <w:sz w:val="28"/>
          <w:szCs w:val="28"/>
        </w:rPr>
        <w:t>2018</w:t>
      </w:r>
      <w:r w:rsidR="008C271A">
        <w:rPr>
          <w:rFonts w:ascii="宋体" w:hAnsi="宋体"/>
          <w:sz w:val="28"/>
          <w:szCs w:val="28"/>
        </w:rPr>
        <w:t>年</w:t>
      </w:r>
      <w:r w:rsidR="008C271A">
        <w:rPr>
          <w:rFonts w:ascii="宋体" w:hAnsi="宋体" w:hint="eastAsia"/>
          <w:sz w:val="28"/>
          <w:szCs w:val="28"/>
        </w:rPr>
        <w:t>1</w:t>
      </w:r>
      <w:r w:rsidR="009C53DE">
        <w:rPr>
          <w:rFonts w:ascii="宋体" w:hAnsi="宋体" w:hint="eastAsia"/>
          <w:sz w:val="28"/>
          <w:szCs w:val="28"/>
        </w:rPr>
        <w:t>1</w:t>
      </w:r>
      <w:r w:rsidR="008C271A">
        <w:rPr>
          <w:rFonts w:ascii="宋体" w:hAnsi="宋体"/>
          <w:sz w:val="28"/>
          <w:szCs w:val="28"/>
        </w:rPr>
        <w:t>月</w:t>
      </w:r>
      <w:r w:rsidR="002B6D4B">
        <w:rPr>
          <w:rFonts w:ascii="宋体" w:hAnsi="宋体" w:hint="eastAsia"/>
          <w:sz w:val="28"/>
          <w:szCs w:val="28"/>
        </w:rPr>
        <w:t>2</w:t>
      </w:r>
      <w:r w:rsidR="00EE3D0E">
        <w:rPr>
          <w:rFonts w:ascii="宋体" w:hAnsi="宋体" w:hint="eastAsia"/>
          <w:sz w:val="28"/>
          <w:szCs w:val="28"/>
        </w:rPr>
        <w:t>3</w:t>
      </w:r>
      <w:r w:rsidR="008C271A">
        <w:rPr>
          <w:rFonts w:ascii="宋体" w:hAnsi="宋体"/>
          <w:sz w:val="28"/>
          <w:szCs w:val="28"/>
        </w:rPr>
        <w:t>日</w:t>
      </w:r>
    </w:p>
    <w:p w:rsidR="00DE77DD" w:rsidRDefault="00DE77DD"/>
    <w:sectPr w:rsidR="00DE77DD" w:rsidSect="00DE77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Light">
    <w:altName w:val="Arial Unicode MS"/>
    <w:charset w:val="86"/>
    <w:family w:val="auto"/>
    <w:pitch w:val="variable"/>
    <w:sig w:usb0="00000000"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06F8"/>
    <w:rsid w:val="000048C5"/>
    <w:rsid w:val="0001792C"/>
    <w:rsid w:val="000338D2"/>
    <w:rsid w:val="00046922"/>
    <w:rsid w:val="0005251F"/>
    <w:rsid w:val="00057592"/>
    <w:rsid w:val="0006405C"/>
    <w:rsid w:val="00067F96"/>
    <w:rsid w:val="00075721"/>
    <w:rsid w:val="00080B1F"/>
    <w:rsid w:val="00082B2C"/>
    <w:rsid w:val="00091A0F"/>
    <w:rsid w:val="00097628"/>
    <w:rsid w:val="000A1F06"/>
    <w:rsid w:val="000A730D"/>
    <w:rsid w:val="000D00AC"/>
    <w:rsid w:val="000D38D4"/>
    <w:rsid w:val="000F6F5C"/>
    <w:rsid w:val="00102FD2"/>
    <w:rsid w:val="00104D45"/>
    <w:rsid w:val="001173DF"/>
    <w:rsid w:val="00133ACF"/>
    <w:rsid w:val="00143915"/>
    <w:rsid w:val="0015132C"/>
    <w:rsid w:val="0018650B"/>
    <w:rsid w:val="001A64C6"/>
    <w:rsid w:val="001F5613"/>
    <w:rsid w:val="00215E00"/>
    <w:rsid w:val="00225699"/>
    <w:rsid w:val="00237A75"/>
    <w:rsid w:val="002442E1"/>
    <w:rsid w:val="00246F0C"/>
    <w:rsid w:val="0025229B"/>
    <w:rsid w:val="00256EAD"/>
    <w:rsid w:val="00263095"/>
    <w:rsid w:val="0028750F"/>
    <w:rsid w:val="002A3F42"/>
    <w:rsid w:val="002B6D4B"/>
    <w:rsid w:val="002C4710"/>
    <w:rsid w:val="002E296B"/>
    <w:rsid w:val="00303D41"/>
    <w:rsid w:val="003101B0"/>
    <w:rsid w:val="003224D7"/>
    <w:rsid w:val="0032659D"/>
    <w:rsid w:val="0033301A"/>
    <w:rsid w:val="00335D1E"/>
    <w:rsid w:val="00346FFD"/>
    <w:rsid w:val="00353ACB"/>
    <w:rsid w:val="00361AE3"/>
    <w:rsid w:val="00361FCF"/>
    <w:rsid w:val="0036322B"/>
    <w:rsid w:val="003803A9"/>
    <w:rsid w:val="003833AA"/>
    <w:rsid w:val="00393AA7"/>
    <w:rsid w:val="00395885"/>
    <w:rsid w:val="003E2BA2"/>
    <w:rsid w:val="003E5311"/>
    <w:rsid w:val="003F2979"/>
    <w:rsid w:val="003F45DE"/>
    <w:rsid w:val="004026B6"/>
    <w:rsid w:val="00405108"/>
    <w:rsid w:val="0041763D"/>
    <w:rsid w:val="00432D62"/>
    <w:rsid w:val="00432E8C"/>
    <w:rsid w:val="00442D73"/>
    <w:rsid w:val="00446E93"/>
    <w:rsid w:val="00463035"/>
    <w:rsid w:val="00465877"/>
    <w:rsid w:val="00474A88"/>
    <w:rsid w:val="0047546C"/>
    <w:rsid w:val="00491755"/>
    <w:rsid w:val="004B568A"/>
    <w:rsid w:val="004B5BB4"/>
    <w:rsid w:val="004D6121"/>
    <w:rsid w:val="004E324D"/>
    <w:rsid w:val="004E437F"/>
    <w:rsid w:val="004F7A13"/>
    <w:rsid w:val="00520326"/>
    <w:rsid w:val="005233D6"/>
    <w:rsid w:val="00531BA4"/>
    <w:rsid w:val="005401CB"/>
    <w:rsid w:val="00546F79"/>
    <w:rsid w:val="0056481C"/>
    <w:rsid w:val="00592BE1"/>
    <w:rsid w:val="005A03BF"/>
    <w:rsid w:val="005A4629"/>
    <w:rsid w:val="005C2DD0"/>
    <w:rsid w:val="005C3D58"/>
    <w:rsid w:val="005D265A"/>
    <w:rsid w:val="005E4948"/>
    <w:rsid w:val="006078A3"/>
    <w:rsid w:val="00610D4C"/>
    <w:rsid w:val="00644DDB"/>
    <w:rsid w:val="006A4148"/>
    <w:rsid w:val="006B1B11"/>
    <w:rsid w:val="006C0ED8"/>
    <w:rsid w:val="006E78D5"/>
    <w:rsid w:val="006F20F5"/>
    <w:rsid w:val="007024E2"/>
    <w:rsid w:val="007047ED"/>
    <w:rsid w:val="00707448"/>
    <w:rsid w:val="00711E81"/>
    <w:rsid w:val="00714A38"/>
    <w:rsid w:val="0072073B"/>
    <w:rsid w:val="007322AD"/>
    <w:rsid w:val="00737A85"/>
    <w:rsid w:val="00743680"/>
    <w:rsid w:val="0076160F"/>
    <w:rsid w:val="0077609C"/>
    <w:rsid w:val="007873B4"/>
    <w:rsid w:val="0079166E"/>
    <w:rsid w:val="007B1060"/>
    <w:rsid w:val="007B6469"/>
    <w:rsid w:val="007C4EED"/>
    <w:rsid w:val="007D1D8B"/>
    <w:rsid w:val="007D2E04"/>
    <w:rsid w:val="007E1A92"/>
    <w:rsid w:val="00805064"/>
    <w:rsid w:val="00835956"/>
    <w:rsid w:val="008371E7"/>
    <w:rsid w:val="00840C74"/>
    <w:rsid w:val="008618BE"/>
    <w:rsid w:val="00863CA7"/>
    <w:rsid w:val="008706D9"/>
    <w:rsid w:val="00886A07"/>
    <w:rsid w:val="008B6F72"/>
    <w:rsid w:val="008C271A"/>
    <w:rsid w:val="008C77B0"/>
    <w:rsid w:val="008D5274"/>
    <w:rsid w:val="008F07B5"/>
    <w:rsid w:val="009024EA"/>
    <w:rsid w:val="009032C4"/>
    <w:rsid w:val="009134D7"/>
    <w:rsid w:val="0091739C"/>
    <w:rsid w:val="00940AE1"/>
    <w:rsid w:val="00945700"/>
    <w:rsid w:val="00972B79"/>
    <w:rsid w:val="0098399B"/>
    <w:rsid w:val="0098574A"/>
    <w:rsid w:val="0099086A"/>
    <w:rsid w:val="009B768F"/>
    <w:rsid w:val="009C53DE"/>
    <w:rsid w:val="009D1EBA"/>
    <w:rsid w:val="009D45F9"/>
    <w:rsid w:val="00A010AE"/>
    <w:rsid w:val="00A04119"/>
    <w:rsid w:val="00A07621"/>
    <w:rsid w:val="00A119CE"/>
    <w:rsid w:val="00A12897"/>
    <w:rsid w:val="00A31EC8"/>
    <w:rsid w:val="00A34623"/>
    <w:rsid w:val="00A43A72"/>
    <w:rsid w:val="00A50FD8"/>
    <w:rsid w:val="00A56C0D"/>
    <w:rsid w:val="00A8707A"/>
    <w:rsid w:val="00AB777E"/>
    <w:rsid w:val="00B00827"/>
    <w:rsid w:val="00B13D60"/>
    <w:rsid w:val="00B16EC5"/>
    <w:rsid w:val="00B42DE3"/>
    <w:rsid w:val="00B85961"/>
    <w:rsid w:val="00B92017"/>
    <w:rsid w:val="00BA0527"/>
    <w:rsid w:val="00BE06F8"/>
    <w:rsid w:val="00BE31A6"/>
    <w:rsid w:val="00BE7535"/>
    <w:rsid w:val="00BE7802"/>
    <w:rsid w:val="00BF774D"/>
    <w:rsid w:val="00C0112D"/>
    <w:rsid w:val="00C05911"/>
    <w:rsid w:val="00C103BD"/>
    <w:rsid w:val="00C10F80"/>
    <w:rsid w:val="00C1218A"/>
    <w:rsid w:val="00C33485"/>
    <w:rsid w:val="00C80CFA"/>
    <w:rsid w:val="00C8168D"/>
    <w:rsid w:val="00C83D82"/>
    <w:rsid w:val="00C97A5A"/>
    <w:rsid w:val="00CB405C"/>
    <w:rsid w:val="00CB4E5B"/>
    <w:rsid w:val="00CE585D"/>
    <w:rsid w:val="00CF2B7B"/>
    <w:rsid w:val="00D155D0"/>
    <w:rsid w:val="00D468FE"/>
    <w:rsid w:val="00D61D86"/>
    <w:rsid w:val="00D70BE8"/>
    <w:rsid w:val="00D80AD6"/>
    <w:rsid w:val="00DA6779"/>
    <w:rsid w:val="00DB67BC"/>
    <w:rsid w:val="00DD1980"/>
    <w:rsid w:val="00DE5B92"/>
    <w:rsid w:val="00DE77DD"/>
    <w:rsid w:val="00DF2FBB"/>
    <w:rsid w:val="00DF43DF"/>
    <w:rsid w:val="00E118A5"/>
    <w:rsid w:val="00E119CD"/>
    <w:rsid w:val="00E13C2D"/>
    <w:rsid w:val="00E15DC1"/>
    <w:rsid w:val="00E32C02"/>
    <w:rsid w:val="00E5432D"/>
    <w:rsid w:val="00E57848"/>
    <w:rsid w:val="00E62756"/>
    <w:rsid w:val="00E74F12"/>
    <w:rsid w:val="00ED4A76"/>
    <w:rsid w:val="00EE3D0E"/>
    <w:rsid w:val="00EF6777"/>
    <w:rsid w:val="00EF6E14"/>
    <w:rsid w:val="00F046A1"/>
    <w:rsid w:val="00F83C38"/>
    <w:rsid w:val="00F93C21"/>
    <w:rsid w:val="00FA0CE1"/>
    <w:rsid w:val="00FA5A8D"/>
    <w:rsid w:val="00FB120B"/>
    <w:rsid w:val="00FD5B8F"/>
    <w:rsid w:val="0C0576DD"/>
    <w:rsid w:val="1BCC7FF6"/>
    <w:rsid w:val="3249442B"/>
    <w:rsid w:val="46463F17"/>
    <w:rsid w:val="501116C0"/>
    <w:rsid w:val="6FA759CB"/>
    <w:rsid w:val="701F4E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7DD"/>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DE77DD"/>
    <w:rPr>
      <w:b/>
      <w:bCs/>
    </w:rPr>
  </w:style>
  <w:style w:type="paragraph" w:styleId="a4">
    <w:name w:val="annotation text"/>
    <w:basedOn w:val="a"/>
    <w:link w:val="Char0"/>
    <w:uiPriority w:val="99"/>
    <w:semiHidden/>
    <w:unhideWhenUsed/>
    <w:qFormat/>
    <w:rsid w:val="00DE77DD"/>
    <w:pPr>
      <w:jc w:val="left"/>
    </w:pPr>
  </w:style>
  <w:style w:type="paragraph" w:styleId="a5">
    <w:name w:val="Balloon Text"/>
    <w:basedOn w:val="a"/>
    <w:link w:val="Char1"/>
    <w:uiPriority w:val="99"/>
    <w:semiHidden/>
    <w:unhideWhenUsed/>
    <w:rsid w:val="00DE77DD"/>
    <w:rPr>
      <w:sz w:val="18"/>
      <w:szCs w:val="18"/>
    </w:rPr>
  </w:style>
  <w:style w:type="paragraph" w:styleId="a6">
    <w:name w:val="footer"/>
    <w:basedOn w:val="a"/>
    <w:link w:val="Char2"/>
    <w:uiPriority w:val="99"/>
    <w:unhideWhenUsed/>
    <w:rsid w:val="00DE77DD"/>
    <w:pPr>
      <w:tabs>
        <w:tab w:val="center" w:pos="4153"/>
        <w:tab w:val="right" w:pos="8306"/>
      </w:tabs>
      <w:snapToGrid w:val="0"/>
      <w:jc w:val="left"/>
    </w:pPr>
    <w:rPr>
      <w:sz w:val="18"/>
      <w:szCs w:val="18"/>
    </w:rPr>
  </w:style>
  <w:style w:type="paragraph" w:styleId="a7">
    <w:name w:val="header"/>
    <w:basedOn w:val="a"/>
    <w:link w:val="Char3"/>
    <w:uiPriority w:val="99"/>
    <w:unhideWhenUsed/>
    <w:rsid w:val="00DE77DD"/>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rsid w:val="00DE77DD"/>
    <w:rPr>
      <w:sz w:val="21"/>
      <w:szCs w:val="21"/>
    </w:rPr>
  </w:style>
  <w:style w:type="character" w:customStyle="1" w:styleId="Char0">
    <w:name w:val="批注文字 Char"/>
    <w:basedOn w:val="a0"/>
    <w:link w:val="a4"/>
    <w:uiPriority w:val="99"/>
    <w:semiHidden/>
    <w:qFormat/>
    <w:rsid w:val="00DE77DD"/>
    <w:rPr>
      <w:rFonts w:ascii="Times New Roman" w:eastAsia="宋体" w:hAnsi="Times New Roman" w:cs="Times New Roman"/>
      <w:szCs w:val="20"/>
    </w:rPr>
  </w:style>
  <w:style w:type="character" w:customStyle="1" w:styleId="Char">
    <w:name w:val="批注主题 Char"/>
    <w:basedOn w:val="Char0"/>
    <w:link w:val="a3"/>
    <w:uiPriority w:val="99"/>
    <w:semiHidden/>
    <w:rsid w:val="00DE77DD"/>
    <w:rPr>
      <w:rFonts w:ascii="Times New Roman" w:eastAsia="宋体" w:hAnsi="Times New Roman" w:cs="Times New Roman"/>
      <w:b/>
      <w:bCs/>
      <w:szCs w:val="20"/>
    </w:rPr>
  </w:style>
  <w:style w:type="character" w:customStyle="1" w:styleId="Char1">
    <w:name w:val="批注框文本 Char"/>
    <w:basedOn w:val="a0"/>
    <w:link w:val="a5"/>
    <w:uiPriority w:val="99"/>
    <w:semiHidden/>
    <w:qFormat/>
    <w:rsid w:val="00DE77DD"/>
    <w:rPr>
      <w:rFonts w:ascii="Times New Roman" w:eastAsia="宋体" w:hAnsi="Times New Roman" w:cs="Times New Roman"/>
      <w:sz w:val="18"/>
      <w:szCs w:val="18"/>
    </w:rPr>
  </w:style>
  <w:style w:type="character" w:customStyle="1" w:styleId="Char3">
    <w:name w:val="页眉 Char"/>
    <w:basedOn w:val="a0"/>
    <w:link w:val="a7"/>
    <w:uiPriority w:val="99"/>
    <w:qFormat/>
    <w:rsid w:val="00DE77DD"/>
    <w:rPr>
      <w:rFonts w:ascii="Times New Roman" w:eastAsia="宋体" w:hAnsi="Times New Roman" w:cs="Times New Roman"/>
      <w:sz w:val="18"/>
      <w:szCs w:val="18"/>
    </w:rPr>
  </w:style>
  <w:style w:type="character" w:customStyle="1" w:styleId="Char2">
    <w:name w:val="页脚 Char"/>
    <w:basedOn w:val="a0"/>
    <w:link w:val="a6"/>
    <w:uiPriority w:val="99"/>
    <w:qFormat/>
    <w:rsid w:val="00DE77D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600</Words>
  <Characters>655</Characters>
  <Application>Microsoft Office Word</Application>
  <DocSecurity>0</DocSecurity>
  <Lines>27</Lines>
  <Paragraphs>14</Paragraphs>
  <ScaleCrop>false</ScaleCrop>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Rui</dc:creator>
  <cp:lastModifiedBy>金建德</cp:lastModifiedBy>
  <cp:revision>73</cp:revision>
  <cp:lastPrinted>2018-11-23T02:34:00Z</cp:lastPrinted>
  <dcterms:created xsi:type="dcterms:W3CDTF">2018-09-27T14:27:00Z</dcterms:created>
  <dcterms:modified xsi:type="dcterms:W3CDTF">2018-11-23T07:48:00Z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