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DD" w:rsidRPr="00C24A33" w:rsidRDefault="00B80B95">
      <w:pPr>
        <w:jc w:val="center"/>
        <w:rPr>
          <w:rFonts w:ascii="黑体" w:eastAsia="黑体" w:hAnsi="黑体"/>
        </w:rPr>
      </w:pPr>
      <w:r w:rsidRPr="00C24A33">
        <w:rPr>
          <w:rFonts w:ascii="黑体" w:eastAsia="黑体" w:hAnsi="黑体"/>
        </w:rPr>
        <w:t xml:space="preserve">股票代码：600188            股票简称：兖州煤业          </w:t>
      </w:r>
      <w:r w:rsidR="00C24A33">
        <w:rPr>
          <w:rFonts w:ascii="黑体" w:eastAsia="黑体" w:hAnsi="黑体" w:hint="eastAsia"/>
        </w:rPr>
        <w:t xml:space="preserve"> </w:t>
      </w:r>
      <w:r w:rsidRPr="00C24A33">
        <w:rPr>
          <w:rFonts w:ascii="黑体" w:eastAsia="黑体" w:hAnsi="黑体"/>
        </w:rPr>
        <w:t xml:space="preserve">  编号：临20</w:t>
      </w:r>
      <w:r w:rsidRPr="00C24A33">
        <w:rPr>
          <w:rFonts w:ascii="黑体" w:eastAsia="黑体" w:hAnsi="黑体" w:hint="eastAsia"/>
        </w:rPr>
        <w:t>1</w:t>
      </w:r>
      <w:r w:rsidRPr="00C24A33">
        <w:rPr>
          <w:rFonts w:ascii="黑体" w:eastAsia="黑体" w:hAnsi="黑体"/>
        </w:rPr>
        <w:t>8-</w:t>
      </w:r>
      <w:r w:rsidR="00780F1B" w:rsidRPr="00C24A33">
        <w:rPr>
          <w:rFonts w:ascii="黑体" w:eastAsia="黑体" w:hAnsi="黑体" w:hint="eastAsia"/>
        </w:rPr>
        <w:t>070</w:t>
      </w:r>
    </w:p>
    <w:p w:rsidR="00786FDD" w:rsidRDefault="00786FDD">
      <w:pPr>
        <w:ind w:firstLineChars="200" w:firstLine="420"/>
        <w:rPr>
          <w:rFonts w:eastAsia="黑体"/>
        </w:rPr>
      </w:pPr>
    </w:p>
    <w:p w:rsidR="00786FDD" w:rsidRDefault="00786FDD">
      <w:pPr>
        <w:ind w:firstLineChars="200" w:firstLine="420"/>
        <w:rPr>
          <w:rFonts w:eastAsia="黑体"/>
        </w:rPr>
      </w:pPr>
    </w:p>
    <w:p w:rsidR="00786FDD" w:rsidRDefault="00B80B95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兖州煤业股份有限公司境外控股子公司</w:t>
      </w:r>
    </w:p>
    <w:p w:rsidR="00786FDD" w:rsidRDefault="00B80B95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发布2018年第二季度产量销量</w:t>
      </w:r>
    </w:p>
    <w:p w:rsidR="00786FDD" w:rsidRDefault="00786FDD">
      <w:pPr>
        <w:spacing w:line="420" w:lineRule="exact"/>
        <w:jc w:val="center"/>
        <w:rPr>
          <w:rFonts w:eastAsia="黑体"/>
          <w:bCs/>
          <w:sz w:val="32"/>
        </w:rPr>
      </w:pPr>
    </w:p>
    <w:p w:rsidR="00786FDD" w:rsidRDefault="005E7724">
      <w:pPr>
        <w:ind w:firstLineChars="200" w:firstLine="400"/>
      </w:pPr>
      <w:r w:rsidRPr="005E7724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4.9pt;width:423pt;height:77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">
            <v:textbox>
              <w:txbxContent>
                <w:p w:rsidR="00786FDD" w:rsidRDefault="00B80B9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786FDD" w:rsidRDefault="00786FDD">
      <w:pPr>
        <w:ind w:firstLineChars="200" w:firstLine="420"/>
      </w:pPr>
    </w:p>
    <w:p w:rsidR="00786FDD" w:rsidRDefault="00786FDD">
      <w:pPr>
        <w:ind w:firstLineChars="200" w:firstLine="420"/>
      </w:pPr>
    </w:p>
    <w:p w:rsidR="00786FDD" w:rsidRDefault="00786FDD">
      <w:pPr>
        <w:ind w:firstLineChars="200" w:firstLine="560"/>
        <w:rPr>
          <w:sz w:val="28"/>
        </w:rPr>
      </w:pPr>
    </w:p>
    <w:p w:rsidR="00786FDD" w:rsidRDefault="00786FDD">
      <w:pPr>
        <w:spacing w:line="500" w:lineRule="exact"/>
        <w:rPr>
          <w:sz w:val="28"/>
        </w:rPr>
      </w:pPr>
    </w:p>
    <w:p w:rsidR="00786FDD" w:rsidRDefault="00B80B95">
      <w:pPr>
        <w:spacing w:line="5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兖州煤业股份有限公司控股子公司兖州煤业澳大利亚有限公司（“兖煤澳洲公司”，澳大利亚证券交易所上市代码“</w:t>
      </w:r>
      <w:r>
        <w:rPr>
          <w:rFonts w:hint="eastAsia"/>
          <w:sz w:val="28"/>
        </w:rPr>
        <w:t>YAL</w:t>
      </w:r>
      <w:r>
        <w:rPr>
          <w:rFonts w:hint="eastAsia"/>
          <w:sz w:val="28"/>
        </w:rPr>
        <w:t>”）发布了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年第二季度煤炭产量、销量，主要情况如下表：</w:t>
      </w:r>
    </w:p>
    <w:p w:rsidR="00786FDD" w:rsidRDefault="00B80B95" w:rsidP="00A120DF">
      <w:pPr>
        <w:spacing w:line="500" w:lineRule="exact"/>
        <w:ind w:firstLineChars="3394" w:firstLine="7155"/>
        <w:rPr>
          <w:b/>
          <w:szCs w:val="21"/>
        </w:rPr>
      </w:pPr>
      <w:r>
        <w:rPr>
          <w:rFonts w:hint="eastAsia"/>
          <w:b/>
          <w:szCs w:val="21"/>
        </w:rPr>
        <w:t>单位：千吨</w:t>
      </w:r>
    </w:p>
    <w:tbl>
      <w:tblPr>
        <w:tblW w:w="9271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992"/>
        <w:gridCol w:w="1134"/>
        <w:gridCol w:w="1134"/>
        <w:gridCol w:w="1134"/>
        <w:gridCol w:w="1134"/>
        <w:gridCol w:w="1134"/>
        <w:gridCol w:w="1191"/>
      </w:tblGrid>
      <w:tr w:rsidR="00786FDD">
        <w:trPr>
          <w:trHeight w:val="718"/>
        </w:trPr>
        <w:tc>
          <w:tcPr>
            <w:tcW w:w="2410" w:type="dxa"/>
            <w:gridSpan w:val="2"/>
            <w:vMerge w:val="restart"/>
            <w:vAlign w:val="center"/>
          </w:tcPr>
          <w:p w:rsidR="00786FDD" w:rsidRDefault="00786FD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第二季度</w:t>
            </w:r>
          </w:p>
        </w:tc>
        <w:tc>
          <w:tcPr>
            <w:tcW w:w="3459" w:type="dxa"/>
            <w:gridSpan w:val="3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上半年</w:t>
            </w:r>
          </w:p>
        </w:tc>
      </w:tr>
      <w:tr w:rsidR="00786FDD">
        <w:trPr>
          <w:trHeight w:val="686"/>
        </w:trPr>
        <w:tc>
          <w:tcPr>
            <w:tcW w:w="2410" w:type="dxa"/>
            <w:gridSpan w:val="2"/>
            <w:vMerge/>
            <w:vAlign w:val="center"/>
          </w:tcPr>
          <w:p w:rsidR="00786FDD" w:rsidRDefault="00786FD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91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 w:rsidR="00786FDD">
        <w:trPr>
          <w:trHeight w:val="639"/>
        </w:trPr>
        <w:tc>
          <w:tcPr>
            <w:tcW w:w="1418" w:type="dxa"/>
            <w:vMerge w:val="restart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</w:tc>
        <w:tc>
          <w:tcPr>
            <w:tcW w:w="992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全部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12,697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5,538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9%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25,394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10,743</w:t>
            </w:r>
          </w:p>
        </w:tc>
        <w:tc>
          <w:tcPr>
            <w:tcW w:w="1191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136%</w:t>
            </w:r>
          </w:p>
        </w:tc>
      </w:tr>
      <w:tr w:rsidR="00786FDD">
        <w:trPr>
          <w:trHeight w:val="616"/>
        </w:trPr>
        <w:tc>
          <w:tcPr>
            <w:tcW w:w="1418" w:type="dxa"/>
            <w:vMerge/>
            <w:vAlign w:val="center"/>
          </w:tcPr>
          <w:p w:rsidR="00786FDD" w:rsidRDefault="00786FDD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权益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9,159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4,529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102%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18,134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8,707</w:t>
            </w:r>
          </w:p>
        </w:tc>
        <w:tc>
          <w:tcPr>
            <w:tcW w:w="1191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108%</w:t>
            </w:r>
          </w:p>
        </w:tc>
      </w:tr>
      <w:tr w:rsidR="00786FDD">
        <w:trPr>
          <w:trHeight w:val="643"/>
        </w:trPr>
        <w:tc>
          <w:tcPr>
            <w:tcW w:w="1418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</w:tc>
        <w:tc>
          <w:tcPr>
            <w:tcW w:w="992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权益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9,920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5,072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96%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19,135</w:t>
            </w:r>
          </w:p>
        </w:tc>
        <w:tc>
          <w:tcPr>
            <w:tcW w:w="1134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10,077</w:t>
            </w:r>
          </w:p>
        </w:tc>
        <w:tc>
          <w:tcPr>
            <w:tcW w:w="1191" w:type="dxa"/>
            <w:vAlign w:val="center"/>
          </w:tcPr>
          <w:p w:rsidR="00786FDD" w:rsidRDefault="00B80B9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90%</w:t>
            </w:r>
          </w:p>
        </w:tc>
      </w:tr>
    </w:tbl>
    <w:p w:rsidR="00786FDD" w:rsidRDefault="00B80B95" w:rsidP="00A120DF">
      <w:pPr>
        <w:spacing w:beforeLines="50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hyperlink r:id="rId8" w:history="1">
        <w:r>
          <w:rPr>
            <w:rStyle w:val="ab"/>
            <w:sz w:val="28"/>
            <w:szCs w:val="28"/>
          </w:rPr>
          <w:t>http://www.asx.com.au/asx/statistics</w:t>
        </w:r>
      </w:hyperlink>
      <w:r>
        <w:rPr>
          <w:rFonts w:hint="eastAsia"/>
          <w:sz w:val="28"/>
        </w:rPr>
        <w:t>）发布的报告全文。</w:t>
      </w:r>
    </w:p>
    <w:p w:rsidR="00786FDD" w:rsidRDefault="00786FDD">
      <w:pPr>
        <w:spacing w:line="540" w:lineRule="exact"/>
        <w:ind w:firstLineChars="200" w:firstLine="560"/>
        <w:rPr>
          <w:sz w:val="28"/>
        </w:rPr>
      </w:pPr>
    </w:p>
    <w:p w:rsidR="00786FDD" w:rsidRDefault="00786FDD">
      <w:pPr>
        <w:spacing w:line="540" w:lineRule="exact"/>
        <w:ind w:firstLineChars="200" w:firstLine="560"/>
        <w:rPr>
          <w:sz w:val="28"/>
        </w:rPr>
      </w:pPr>
    </w:p>
    <w:p w:rsidR="00786FDD" w:rsidRDefault="00B80B95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:rsidR="00786FDD" w:rsidRDefault="00B80B95">
      <w:pPr>
        <w:spacing w:line="540" w:lineRule="exact"/>
        <w:ind w:firstLineChars="1850" w:firstLine="5180"/>
      </w:pPr>
      <w:bookmarkStart w:id="0" w:name="_GoBack"/>
      <w:bookmarkEnd w:id="0"/>
      <w:r>
        <w:rPr>
          <w:rFonts w:hint="eastAsia"/>
          <w:sz w:val="28"/>
        </w:rPr>
        <w:t>201</w:t>
      </w:r>
      <w:r>
        <w:rPr>
          <w:sz w:val="28"/>
        </w:rPr>
        <w:t>8</w:t>
      </w:r>
      <w:r>
        <w:rPr>
          <w:sz w:val="28"/>
        </w:rPr>
        <w:t>年</w:t>
      </w:r>
      <w:r>
        <w:rPr>
          <w:rFonts w:hint="eastAsia"/>
          <w:sz w:val="28"/>
        </w:rPr>
        <w:t>7</w:t>
      </w:r>
      <w:r>
        <w:rPr>
          <w:sz w:val="28"/>
        </w:rPr>
        <w:t>月</w:t>
      </w:r>
      <w:r>
        <w:rPr>
          <w:rFonts w:hint="eastAsia"/>
          <w:sz w:val="28"/>
        </w:rPr>
        <w:t>20</w:t>
      </w:r>
      <w:r>
        <w:rPr>
          <w:sz w:val="28"/>
        </w:rPr>
        <w:t>日</w:t>
      </w:r>
    </w:p>
    <w:sectPr w:rsidR="00786FDD" w:rsidSect="00786FDD">
      <w:footerReference w:type="even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D2B" w:rsidRDefault="00C72D2B" w:rsidP="00786FDD">
      <w:r>
        <w:separator/>
      </w:r>
    </w:p>
  </w:endnote>
  <w:endnote w:type="continuationSeparator" w:id="1">
    <w:p w:rsidR="00C72D2B" w:rsidRDefault="00C72D2B" w:rsidP="0078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FDD" w:rsidRDefault="005E772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80B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0B95">
      <w:rPr>
        <w:rStyle w:val="a9"/>
      </w:rPr>
      <w:t>5</w:t>
    </w:r>
    <w:r>
      <w:rPr>
        <w:rStyle w:val="a9"/>
      </w:rPr>
      <w:fldChar w:fldCharType="end"/>
    </w:r>
  </w:p>
  <w:p w:rsidR="00786FDD" w:rsidRDefault="00786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D2B" w:rsidRDefault="00C72D2B" w:rsidP="00786FDD">
      <w:r>
        <w:separator/>
      </w:r>
    </w:p>
  </w:footnote>
  <w:footnote w:type="continuationSeparator" w:id="1">
    <w:p w:rsidR="00C72D2B" w:rsidRDefault="00C72D2B" w:rsidP="00786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3D27"/>
    <w:rsid w:val="000A523A"/>
    <w:rsid w:val="000D15CA"/>
    <w:rsid w:val="000D210A"/>
    <w:rsid w:val="000E02DD"/>
    <w:rsid w:val="000E1DE4"/>
    <w:rsid w:val="000F0068"/>
    <w:rsid w:val="00116880"/>
    <w:rsid w:val="00125B6B"/>
    <w:rsid w:val="001309BE"/>
    <w:rsid w:val="00133474"/>
    <w:rsid w:val="00143DC6"/>
    <w:rsid w:val="00154F08"/>
    <w:rsid w:val="00160128"/>
    <w:rsid w:val="0016196C"/>
    <w:rsid w:val="00163D3E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3070E3"/>
    <w:rsid w:val="00314906"/>
    <w:rsid w:val="00330E71"/>
    <w:rsid w:val="0033114F"/>
    <w:rsid w:val="00337554"/>
    <w:rsid w:val="00341DDB"/>
    <w:rsid w:val="003541AC"/>
    <w:rsid w:val="00363D84"/>
    <w:rsid w:val="00366180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168D"/>
    <w:rsid w:val="003E4838"/>
    <w:rsid w:val="003E4BD3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A72BC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5049"/>
    <w:rsid w:val="005648AE"/>
    <w:rsid w:val="00565F4D"/>
    <w:rsid w:val="00572089"/>
    <w:rsid w:val="0057760C"/>
    <w:rsid w:val="0058028A"/>
    <w:rsid w:val="005A11FC"/>
    <w:rsid w:val="005A2A01"/>
    <w:rsid w:val="005A434B"/>
    <w:rsid w:val="005A4D63"/>
    <w:rsid w:val="005B41C7"/>
    <w:rsid w:val="005B4372"/>
    <w:rsid w:val="005B619F"/>
    <w:rsid w:val="005C0102"/>
    <w:rsid w:val="005C7CFB"/>
    <w:rsid w:val="005D6BAC"/>
    <w:rsid w:val="005E7724"/>
    <w:rsid w:val="005F6B18"/>
    <w:rsid w:val="005F71F4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4872"/>
    <w:rsid w:val="00765927"/>
    <w:rsid w:val="00770BDE"/>
    <w:rsid w:val="00770C18"/>
    <w:rsid w:val="00780F1B"/>
    <w:rsid w:val="00782497"/>
    <w:rsid w:val="00786FDD"/>
    <w:rsid w:val="00787A6C"/>
    <w:rsid w:val="007938CA"/>
    <w:rsid w:val="007A1868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F16D1"/>
    <w:rsid w:val="007F6B1C"/>
    <w:rsid w:val="00800297"/>
    <w:rsid w:val="00801498"/>
    <w:rsid w:val="00802702"/>
    <w:rsid w:val="00820A4F"/>
    <w:rsid w:val="0082743F"/>
    <w:rsid w:val="0084234C"/>
    <w:rsid w:val="00850FED"/>
    <w:rsid w:val="00862C65"/>
    <w:rsid w:val="00863D73"/>
    <w:rsid w:val="00865B5C"/>
    <w:rsid w:val="00865CBA"/>
    <w:rsid w:val="00871634"/>
    <w:rsid w:val="008716FD"/>
    <w:rsid w:val="0087488B"/>
    <w:rsid w:val="00887349"/>
    <w:rsid w:val="00892BDD"/>
    <w:rsid w:val="008A67C3"/>
    <w:rsid w:val="008D21AF"/>
    <w:rsid w:val="008E00E5"/>
    <w:rsid w:val="008F4A8F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62E2"/>
    <w:rsid w:val="0097210C"/>
    <w:rsid w:val="00974EFA"/>
    <w:rsid w:val="009831E4"/>
    <w:rsid w:val="00985213"/>
    <w:rsid w:val="009A54E9"/>
    <w:rsid w:val="009B28A6"/>
    <w:rsid w:val="009B4E63"/>
    <w:rsid w:val="009F29B2"/>
    <w:rsid w:val="00A05357"/>
    <w:rsid w:val="00A10D27"/>
    <w:rsid w:val="00A120DF"/>
    <w:rsid w:val="00A15346"/>
    <w:rsid w:val="00A23634"/>
    <w:rsid w:val="00A273DA"/>
    <w:rsid w:val="00A276C4"/>
    <w:rsid w:val="00A312E7"/>
    <w:rsid w:val="00A326D5"/>
    <w:rsid w:val="00A32C39"/>
    <w:rsid w:val="00A37A2A"/>
    <w:rsid w:val="00A41097"/>
    <w:rsid w:val="00A436B3"/>
    <w:rsid w:val="00A55B77"/>
    <w:rsid w:val="00A607E1"/>
    <w:rsid w:val="00A66B8E"/>
    <w:rsid w:val="00A93791"/>
    <w:rsid w:val="00AA32B8"/>
    <w:rsid w:val="00AA3AEA"/>
    <w:rsid w:val="00AB6A28"/>
    <w:rsid w:val="00AD2689"/>
    <w:rsid w:val="00AD37F1"/>
    <w:rsid w:val="00AD51C1"/>
    <w:rsid w:val="00AE31C5"/>
    <w:rsid w:val="00B062F5"/>
    <w:rsid w:val="00B1048D"/>
    <w:rsid w:val="00B1086C"/>
    <w:rsid w:val="00B1298D"/>
    <w:rsid w:val="00B16965"/>
    <w:rsid w:val="00B2510C"/>
    <w:rsid w:val="00B25A5A"/>
    <w:rsid w:val="00B45B98"/>
    <w:rsid w:val="00B523EA"/>
    <w:rsid w:val="00B52FBA"/>
    <w:rsid w:val="00B61D93"/>
    <w:rsid w:val="00B717F9"/>
    <w:rsid w:val="00B74F7F"/>
    <w:rsid w:val="00B7681D"/>
    <w:rsid w:val="00B76E29"/>
    <w:rsid w:val="00B80B95"/>
    <w:rsid w:val="00B823AA"/>
    <w:rsid w:val="00B86E71"/>
    <w:rsid w:val="00B9508C"/>
    <w:rsid w:val="00B95953"/>
    <w:rsid w:val="00BA09F6"/>
    <w:rsid w:val="00BA0EA1"/>
    <w:rsid w:val="00BB6526"/>
    <w:rsid w:val="00BB66D9"/>
    <w:rsid w:val="00BC4123"/>
    <w:rsid w:val="00BD3E4A"/>
    <w:rsid w:val="00BD6A03"/>
    <w:rsid w:val="00BE5AFD"/>
    <w:rsid w:val="00BF54EB"/>
    <w:rsid w:val="00C00A0B"/>
    <w:rsid w:val="00C01940"/>
    <w:rsid w:val="00C05612"/>
    <w:rsid w:val="00C11F92"/>
    <w:rsid w:val="00C12C98"/>
    <w:rsid w:val="00C15447"/>
    <w:rsid w:val="00C1779E"/>
    <w:rsid w:val="00C23A9D"/>
    <w:rsid w:val="00C23B4C"/>
    <w:rsid w:val="00C24A33"/>
    <w:rsid w:val="00C35345"/>
    <w:rsid w:val="00C3703D"/>
    <w:rsid w:val="00C407ED"/>
    <w:rsid w:val="00C55592"/>
    <w:rsid w:val="00C601DD"/>
    <w:rsid w:val="00C65CEC"/>
    <w:rsid w:val="00C66E97"/>
    <w:rsid w:val="00C72D2B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2004"/>
    <w:rsid w:val="00DC0821"/>
    <w:rsid w:val="00DC3B31"/>
    <w:rsid w:val="00DC6687"/>
    <w:rsid w:val="00DD0F32"/>
    <w:rsid w:val="00DD487A"/>
    <w:rsid w:val="00DD5D7D"/>
    <w:rsid w:val="00DE3959"/>
    <w:rsid w:val="00DE52AF"/>
    <w:rsid w:val="00DE797D"/>
    <w:rsid w:val="00DF0460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23E5"/>
    <w:rsid w:val="00E63163"/>
    <w:rsid w:val="00E80615"/>
    <w:rsid w:val="00E828C8"/>
    <w:rsid w:val="00E90761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F037B"/>
    <w:rsid w:val="00EF1E80"/>
    <w:rsid w:val="00F106D2"/>
    <w:rsid w:val="00F13681"/>
    <w:rsid w:val="00F1576E"/>
    <w:rsid w:val="00F164A1"/>
    <w:rsid w:val="00F16E76"/>
    <w:rsid w:val="00F23EF7"/>
    <w:rsid w:val="00F31EC3"/>
    <w:rsid w:val="00F32EF4"/>
    <w:rsid w:val="00F50704"/>
    <w:rsid w:val="00F55501"/>
    <w:rsid w:val="00F56758"/>
    <w:rsid w:val="00F620D2"/>
    <w:rsid w:val="00F672D1"/>
    <w:rsid w:val="00F902C6"/>
    <w:rsid w:val="00F92473"/>
    <w:rsid w:val="00F94683"/>
    <w:rsid w:val="00F97439"/>
    <w:rsid w:val="00F9765A"/>
    <w:rsid w:val="00FA0EB2"/>
    <w:rsid w:val="00FA5D9A"/>
    <w:rsid w:val="00FB13FA"/>
    <w:rsid w:val="00FC4DC0"/>
    <w:rsid w:val="00FC7E66"/>
    <w:rsid w:val="00FD159F"/>
    <w:rsid w:val="00FE48F7"/>
    <w:rsid w:val="00FF2780"/>
    <w:rsid w:val="00FF7CAE"/>
    <w:rsid w:val="32170806"/>
    <w:rsid w:val="5A6E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786FDD"/>
    <w:rPr>
      <w:b/>
      <w:bCs/>
    </w:rPr>
  </w:style>
  <w:style w:type="paragraph" w:styleId="a4">
    <w:name w:val="annotation text"/>
    <w:basedOn w:val="a"/>
    <w:link w:val="Char0"/>
    <w:rsid w:val="00786FDD"/>
    <w:pPr>
      <w:jc w:val="left"/>
    </w:pPr>
  </w:style>
  <w:style w:type="paragraph" w:styleId="a5">
    <w:name w:val="Body Text Indent"/>
    <w:basedOn w:val="a"/>
    <w:rsid w:val="00786FDD"/>
    <w:pPr>
      <w:spacing w:line="500" w:lineRule="exact"/>
      <w:ind w:firstLineChars="200" w:firstLine="560"/>
    </w:pPr>
    <w:rPr>
      <w:sz w:val="28"/>
    </w:rPr>
  </w:style>
  <w:style w:type="paragraph" w:styleId="a6">
    <w:name w:val="Balloon Text"/>
    <w:basedOn w:val="a"/>
    <w:link w:val="Char1"/>
    <w:rsid w:val="00786FDD"/>
    <w:rPr>
      <w:sz w:val="18"/>
      <w:szCs w:val="18"/>
    </w:rPr>
  </w:style>
  <w:style w:type="paragraph" w:styleId="a7">
    <w:name w:val="footer"/>
    <w:basedOn w:val="a"/>
    <w:rsid w:val="00786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rsid w:val="00786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rsid w:val="00786FDD"/>
  </w:style>
  <w:style w:type="character" w:styleId="aa">
    <w:name w:val="FollowedHyperlink"/>
    <w:basedOn w:val="a0"/>
    <w:qFormat/>
    <w:rsid w:val="00786FDD"/>
    <w:rPr>
      <w:color w:val="800080"/>
      <w:u w:val="single"/>
    </w:rPr>
  </w:style>
  <w:style w:type="character" w:styleId="ab">
    <w:name w:val="Hyperlink"/>
    <w:basedOn w:val="a0"/>
    <w:rsid w:val="00786FDD"/>
    <w:rPr>
      <w:color w:val="0000FF"/>
      <w:u w:val="single"/>
    </w:rPr>
  </w:style>
  <w:style w:type="character" w:styleId="ac">
    <w:name w:val="annotation reference"/>
    <w:basedOn w:val="a0"/>
    <w:rsid w:val="00786FDD"/>
    <w:rPr>
      <w:sz w:val="21"/>
      <w:szCs w:val="21"/>
    </w:rPr>
  </w:style>
  <w:style w:type="table" w:styleId="ad">
    <w:name w:val="Table Grid"/>
    <w:basedOn w:val="a1"/>
    <w:rsid w:val="00786F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">
    <w:name w:val="默认段落字体 Para Char Char Char Char Char Char Char"/>
    <w:basedOn w:val="a"/>
    <w:rsid w:val="00786FDD"/>
    <w:rPr>
      <w:rFonts w:ascii="Tahoma" w:hAnsi="Tahoma"/>
      <w:sz w:val="24"/>
      <w:szCs w:val="20"/>
    </w:rPr>
  </w:style>
  <w:style w:type="character" w:customStyle="1" w:styleId="Char2">
    <w:name w:val="页眉 Char"/>
    <w:basedOn w:val="a0"/>
    <w:link w:val="a8"/>
    <w:rsid w:val="00786FDD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rsid w:val="00786FDD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rsid w:val="00786FDD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sid w:val="00786FD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asx/statistics/announcements.do?by=asxCode&amp;asxCode=YAL&amp;timeframe=D&amp;period=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6698473-5A72-4830-878F-9097CE28B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金建德</cp:lastModifiedBy>
  <cp:revision>9</cp:revision>
  <cp:lastPrinted>2018-07-20T03:52:00Z</cp:lastPrinted>
  <dcterms:created xsi:type="dcterms:W3CDTF">2018-01-18T06:13:00Z</dcterms:created>
  <dcterms:modified xsi:type="dcterms:W3CDTF">2018-07-20T08:23:00Z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