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lang w:val="en-US" w:eastAsia="zh-CN"/>
        </w:rPr>
      </w:pPr>
      <w:r>
        <w:rPr>
          <w:rFonts w:ascii="黑体" w:hAnsi="黑体" w:eastAsia="黑体"/>
        </w:rPr>
        <w:t>股票代码：600188            股票简称：兖州煤业            编号：临2018-</w:t>
      </w:r>
      <w:r>
        <w:rPr>
          <w:rFonts w:hint="eastAsia" w:ascii="黑体" w:hAnsi="黑体" w:eastAsia="黑体"/>
        </w:rPr>
        <w:t>0</w:t>
      </w:r>
      <w:r>
        <w:rPr>
          <w:rFonts w:hint="eastAsia" w:ascii="黑体" w:hAnsi="黑体" w:eastAsia="黑体"/>
          <w:lang w:val="en-US" w:eastAsia="zh-CN"/>
        </w:rPr>
        <w:t>66</w:t>
      </w:r>
    </w:p>
    <w:p>
      <w:pPr>
        <w:spacing w:line="560" w:lineRule="exact"/>
        <w:jc w:val="center"/>
        <w:rPr>
          <w:rFonts w:ascii="黑体" w:hAnsi="黑体" w:eastAsia="黑体"/>
          <w:color w:val="000000"/>
        </w:rPr>
      </w:pPr>
    </w:p>
    <w:p>
      <w:pPr>
        <w:spacing w:line="560" w:lineRule="exact"/>
        <w:jc w:val="center"/>
        <w:rPr>
          <w:rFonts w:ascii="黑体" w:hAnsi="黑体" w:eastAsia="黑体"/>
          <w:b/>
          <w:bCs/>
          <w:color w:val="FF0000"/>
          <w:sz w:val="36"/>
          <w:szCs w:val="36"/>
        </w:rPr>
      </w:pPr>
      <w:r>
        <w:rPr>
          <w:rFonts w:ascii="黑体" w:hAnsi="黑体" w:eastAsia="黑体"/>
          <w:b/>
          <w:bCs/>
          <w:color w:val="FF0000"/>
          <w:sz w:val="36"/>
          <w:szCs w:val="36"/>
        </w:rPr>
        <w:t>兖州煤业股份有限公司</w:t>
      </w:r>
    </w:p>
    <w:p>
      <w:pPr>
        <w:spacing w:line="560" w:lineRule="exact"/>
        <w:jc w:val="center"/>
        <w:rPr>
          <w:rFonts w:ascii="黑体" w:hAnsi="黑体" w:eastAsia="黑体"/>
          <w:b/>
          <w:bCs/>
          <w:color w:val="FF0000"/>
          <w:sz w:val="36"/>
          <w:szCs w:val="36"/>
        </w:rPr>
      </w:pPr>
      <w:r>
        <w:rPr>
          <w:rFonts w:hint="eastAsia" w:ascii="黑体" w:hAnsi="黑体" w:eastAsia="黑体"/>
          <w:b/>
          <w:bCs/>
          <w:color w:val="FF0000"/>
          <w:sz w:val="36"/>
          <w:szCs w:val="36"/>
        </w:rPr>
        <w:t>关于控股股东及其一致行动人增持公司股份的公告</w:t>
      </w:r>
    </w:p>
    <w:p>
      <w:pPr>
        <w:spacing w:line="560" w:lineRule="exact"/>
        <w:rPr>
          <w:b/>
          <w:bCs/>
          <w:color w:val="000000"/>
          <w:sz w:val="28"/>
        </w:rPr>
      </w:pPr>
      <w:r>
        <w:rPr>
          <w:b/>
          <w:bCs/>
          <w:color w:val="000000"/>
          <w:sz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330200</wp:posOffset>
                </wp:positionV>
                <wp:extent cx="5372100" cy="980440"/>
                <wp:effectExtent l="4445" t="4445" r="10160" b="8255"/>
                <wp:wrapNone/>
                <wp:docPr id="1" name="文本框 2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rFonts w:ascii="宋体" w:hAnsi="宋体" w:eastAsia="宋体"/>
                                <w:sz w:val="28"/>
                              </w:rPr>
                            </w:pPr>
                            <w:r>
                              <w:rPr>
                                <w:rFonts w:hint="eastAsia" w:ascii="宋体" w:hAnsi="宋体" w:eastAsia="宋体"/>
                                <w:sz w:val="28"/>
                              </w:rPr>
                              <w:t>本公司董事会及全体董事保证本公告内容不存在任何虚假记载、误导性陈述或者重大遗漏，并对其内容的真实性、准确性和完整性承担个别及连带责任。</w:t>
                            </w:r>
                          </w:p>
                        </w:txbxContent>
                      </wps:txbx>
                      <wps:bodyPr wrap="square" upright="1"/>
                    </wps:wsp>
                  </a:graphicData>
                </a:graphic>
              </wp:anchor>
            </w:drawing>
          </mc:Choice>
          <mc:Fallback>
            <w:pict>
              <v:shape id="文本框 22" o:spid="_x0000_s1026" o:spt="202" type="#_x0000_t202" style="position:absolute;left:0pt;margin-left:9pt;margin-top:26pt;height:77.2pt;width:423pt;z-index:251658240;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SBFT1wAAAAkBAAAPAAAAAAAAAAEAIAAAACIAAABkcnMvZG93bnJldi54&#10;bWxQSwECFAAUAAAACACHTuJAFRTUH/sBAAD3AwAADgAAAAAAAAABACAAAAAmAQAAZHJzL2Uyb0Rv&#10;Yy54bWxQSwUGAAAAAAYABgBZAQAAkwUAAAAA&#10;">
                <v:fill on="t" focussize="0,0"/>
                <v:stroke color="#000000" joinstyle="miter"/>
                <v:imagedata o:title=""/>
                <o:lock v:ext="edit" aspectratio="f"/>
                <v:textbox>
                  <w:txbxContent>
                    <w:p>
                      <w:pPr>
                        <w:adjustRightInd w:val="0"/>
                        <w:snapToGrid w:val="0"/>
                        <w:spacing w:line="480" w:lineRule="exact"/>
                        <w:ind w:firstLine="560" w:firstLineChars="200"/>
                        <w:rPr>
                          <w:rFonts w:ascii="宋体" w:hAnsi="宋体" w:eastAsia="宋体"/>
                          <w:sz w:val="28"/>
                        </w:rPr>
                      </w:pPr>
                      <w:r>
                        <w:rPr>
                          <w:rFonts w:hint="eastAsia" w:ascii="宋体" w:hAnsi="宋体" w:eastAsia="宋体"/>
                          <w:sz w:val="28"/>
                        </w:rPr>
                        <w:t>本公司董事会及全体董事保证本公告内容不存在任何虚假记载、误导性陈述或者重大遗漏，并对其内容的真实性、准确性和完整性承担个别及连带责任。</w:t>
                      </w:r>
                    </w:p>
                  </w:txbxContent>
                </v:textbox>
              </v:shape>
            </w:pict>
          </mc:Fallback>
        </mc:AlternateContent>
      </w:r>
    </w:p>
    <w:p>
      <w:pPr>
        <w:pBdr>
          <w:top w:val="single" w:color="auto" w:sz="4" w:space="1"/>
          <w:left w:val="single" w:color="auto" w:sz="4" w:space="4"/>
          <w:bottom w:val="single" w:color="auto" w:sz="4" w:space="1"/>
          <w:right w:val="single" w:color="auto" w:sz="4" w:space="4"/>
        </w:pBdr>
        <w:adjustRightInd w:val="0"/>
        <w:spacing w:line="560" w:lineRule="exact"/>
        <w:ind w:left="359" w:leftChars="171"/>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pPr>
        <w:spacing w:line="560" w:lineRule="exact"/>
        <w:rPr>
          <w:b/>
          <w:bCs/>
          <w:sz w:val="24"/>
        </w:rPr>
      </w:pPr>
    </w:p>
    <w:p>
      <w:pPr>
        <w:adjustRightInd w:val="0"/>
        <w:snapToGrid w:val="0"/>
        <w:spacing w:line="500" w:lineRule="exact"/>
        <w:ind w:firstLine="560" w:firstLineChars="200"/>
        <w:rPr>
          <w:rFonts w:ascii="宋体" w:hAnsi="宋体" w:eastAsia="宋体"/>
          <w:sz w:val="28"/>
        </w:rPr>
      </w:pPr>
      <w:bookmarkStart w:id="0" w:name="继续"/>
      <w:bookmarkEnd w:id="0"/>
      <w:r>
        <w:rPr>
          <w:rFonts w:hint="eastAsia" w:ascii="宋体" w:hAnsi="宋体" w:eastAsia="宋体"/>
          <w:sz w:val="28"/>
        </w:rPr>
        <w:t>2018年7月</w:t>
      </w:r>
      <w:r>
        <w:rPr>
          <w:rFonts w:ascii="宋体" w:hAnsi="宋体" w:eastAsia="宋体"/>
          <w:sz w:val="28"/>
        </w:rPr>
        <w:t>1</w:t>
      </w:r>
      <w:r>
        <w:rPr>
          <w:rFonts w:hint="eastAsia" w:ascii="宋体" w:hAnsi="宋体" w:eastAsia="宋体"/>
          <w:sz w:val="28"/>
        </w:rPr>
        <w:t>0日，兖州煤业股份有限公司（“兖州煤业”或“本公司”）接到控股股东兖矿集团有限公司（“兖矿集团”）通知，兖矿集团通过其香港全资子公司兖矿集团</w:t>
      </w:r>
      <w:r>
        <w:rPr>
          <w:rFonts w:ascii="宋体" w:hAnsi="宋体" w:eastAsia="宋体"/>
          <w:sz w:val="28"/>
        </w:rPr>
        <w:t>(香港)有限公司</w:t>
      </w:r>
      <w:r>
        <w:rPr>
          <w:rFonts w:hint="eastAsia" w:ascii="宋体" w:hAnsi="宋体" w:eastAsia="宋体"/>
          <w:sz w:val="28"/>
        </w:rPr>
        <w:t>（“兖矿香港公司”）于即日增持了本公司部分H股股份。现将有关情况公告如下：</w:t>
      </w:r>
    </w:p>
    <w:p>
      <w:pPr>
        <w:pStyle w:val="31"/>
        <w:numPr>
          <w:ilvl w:val="0"/>
          <w:numId w:val="1"/>
        </w:numPr>
        <w:adjustRightInd w:val="0"/>
        <w:snapToGrid w:val="0"/>
        <w:spacing w:line="500" w:lineRule="exact"/>
        <w:ind w:firstLineChars="0"/>
        <w:rPr>
          <w:rFonts w:ascii="宋体" w:hAnsi="宋体" w:eastAsia="宋体"/>
          <w:b/>
          <w:sz w:val="28"/>
        </w:rPr>
      </w:pPr>
      <w:r>
        <w:rPr>
          <w:rFonts w:hint="eastAsia" w:ascii="宋体" w:hAnsi="宋体" w:eastAsia="宋体"/>
          <w:b/>
          <w:sz w:val="28"/>
        </w:rPr>
        <w:t>本次增持情况</w:t>
      </w:r>
    </w:p>
    <w:p>
      <w:pPr>
        <w:adjustRightInd w:val="0"/>
        <w:snapToGrid w:val="0"/>
        <w:spacing w:line="500" w:lineRule="exact"/>
        <w:ind w:firstLine="560" w:firstLineChars="200"/>
        <w:rPr>
          <w:rFonts w:ascii="宋体" w:hAnsi="宋体" w:eastAsia="宋体"/>
          <w:sz w:val="28"/>
        </w:rPr>
      </w:pPr>
      <w:r>
        <w:rPr>
          <w:rFonts w:ascii="宋体" w:hAnsi="宋体" w:eastAsia="宋体"/>
          <w:sz w:val="28"/>
        </w:rPr>
        <w:t>2018年</w:t>
      </w:r>
      <w:r>
        <w:rPr>
          <w:rFonts w:hint="eastAsia" w:ascii="宋体" w:hAnsi="宋体" w:eastAsia="宋体"/>
          <w:sz w:val="28"/>
        </w:rPr>
        <w:t>7</w:t>
      </w:r>
      <w:r>
        <w:rPr>
          <w:rFonts w:ascii="宋体" w:hAnsi="宋体" w:eastAsia="宋体"/>
          <w:sz w:val="28"/>
        </w:rPr>
        <w:t>月</w:t>
      </w:r>
      <w:r>
        <w:rPr>
          <w:rFonts w:hint="eastAsia" w:ascii="宋体" w:hAnsi="宋体" w:eastAsia="宋体"/>
          <w:sz w:val="28"/>
        </w:rPr>
        <w:t>10</w:t>
      </w:r>
      <w:r>
        <w:rPr>
          <w:rFonts w:ascii="宋体" w:hAnsi="宋体" w:eastAsia="宋体"/>
          <w:sz w:val="28"/>
        </w:rPr>
        <w:t>日</w:t>
      </w:r>
      <w:r>
        <w:rPr>
          <w:rFonts w:hint="eastAsia" w:ascii="宋体" w:hAnsi="宋体" w:eastAsia="宋体"/>
          <w:sz w:val="28"/>
        </w:rPr>
        <w:t>，</w:t>
      </w:r>
      <w:r>
        <w:rPr>
          <w:rFonts w:ascii="宋体" w:hAnsi="宋体" w:eastAsia="宋体"/>
          <w:sz w:val="28"/>
        </w:rPr>
        <w:t>兖矿香港公司通过场外交易方式增持</w:t>
      </w:r>
      <w:r>
        <w:rPr>
          <w:rFonts w:hint="eastAsia" w:ascii="宋体" w:hAnsi="宋体" w:eastAsia="宋体"/>
          <w:sz w:val="28"/>
        </w:rPr>
        <w:t>本</w:t>
      </w:r>
      <w:r>
        <w:rPr>
          <w:rFonts w:ascii="宋体" w:hAnsi="宋体" w:eastAsia="宋体"/>
          <w:sz w:val="28"/>
        </w:rPr>
        <w:t>公司H股股份</w:t>
      </w:r>
      <w:r>
        <w:rPr>
          <w:rFonts w:hint="eastAsia" w:ascii="宋体" w:hAnsi="宋体" w:eastAsia="宋体"/>
          <w:sz w:val="28"/>
        </w:rPr>
        <w:t>共计</w:t>
      </w:r>
      <w:r>
        <w:rPr>
          <w:rFonts w:ascii="宋体" w:hAnsi="宋体" w:eastAsia="宋体"/>
          <w:sz w:val="28"/>
        </w:rPr>
        <w:t>9</w:t>
      </w:r>
      <w:r>
        <w:rPr>
          <w:rFonts w:hint="eastAsia" w:ascii="宋体" w:hAnsi="宋体" w:eastAsia="宋体"/>
          <w:sz w:val="28"/>
        </w:rPr>
        <w:t>7</w:t>
      </w:r>
      <w:r>
        <w:rPr>
          <w:rFonts w:ascii="宋体" w:hAnsi="宋体" w:eastAsia="宋体"/>
          <w:sz w:val="28"/>
        </w:rPr>
        <w:t>,</w:t>
      </w:r>
      <w:r>
        <w:rPr>
          <w:rFonts w:hint="eastAsia" w:ascii="宋体" w:hAnsi="宋体" w:eastAsia="宋体"/>
          <w:sz w:val="28"/>
        </w:rPr>
        <w:t>989</w:t>
      </w:r>
      <w:r>
        <w:rPr>
          <w:rFonts w:ascii="宋体" w:hAnsi="宋体" w:eastAsia="宋体"/>
          <w:sz w:val="28"/>
        </w:rPr>
        <w:t>,000股</w:t>
      </w:r>
      <w:r>
        <w:rPr>
          <w:rFonts w:hint="eastAsia" w:ascii="宋体" w:hAnsi="宋体" w:eastAsia="宋体"/>
          <w:sz w:val="28"/>
        </w:rPr>
        <w:t>，</w:t>
      </w:r>
      <w:r>
        <w:rPr>
          <w:rFonts w:ascii="宋体" w:hAnsi="宋体" w:eastAsia="宋体"/>
          <w:sz w:val="28"/>
        </w:rPr>
        <w:t>约占本公</w:t>
      </w:r>
      <w:bookmarkStart w:id="1" w:name="_GoBack"/>
      <w:bookmarkEnd w:id="1"/>
      <w:r>
        <w:rPr>
          <w:rFonts w:ascii="宋体" w:hAnsi="宋体" w:eastAsia="宋体"/>
          <w:sz w:val="28"/>
        </w:rPr>
        <w:t>司已发行总股本的1.99</w:t>
      </w:r>
      <w:r>
        <w:rPr>
          <w:rFonts w:hint="eastAsia" w:ascii="宋体" w:hAnsi="宋体" w:eastAsia="宋体"/>
          <w:sz w:val="28"/>
        </w:rPr>
        <w:t>%。</w:t>
      </w:r>
    </w:p>
    <w:p>
      <w:pPr>
        <w:adjustRightInd w:val="0"/>
        <w:snapToGrid w:val="0"/>
        <w:spacing w:line="500" w:lineRule="exact"/>
        <w:ind w:firstLine="560" w:firstLineChars="200"/>
        <w:rPr>
          <w:rFonts w:ascii="宋体" w:hAnsi="宋体" w:eastAsia="宋体"/>
          <w:sz w:val="28"/>
        </w:rPr>
      </w:pPr>
      <w:r>
        <w:rPr>
          <w:rFonts w:ascii="宋体" w:hAnsi="宋体" w:eastAsia="宋体"/>
          <w:sz w:val="28"/>
        </w:rPr>
        <w:t>本次增持前，兖矿集团持有</w:t>
      </w:r>
      <w:r>
        <w:rPr>
          <w:rFonts w:hint="eastAsia" w:ascii="宋体" w:hAnsi="宋体" w:eastAsia="宋体"/>
          <w:sz w:val="28"/>
        </w:rPr>
        <w:t>本</w:t>
      </w:r>
      <w:r>
        <w:rPr>
          <w:rFonts w:ascii="宋体" w:hAnsi="宋体" w:eastAsia="宋体"/>
          <w:sz w:val="28"/>
        </w:rPr>
        <w:t>公司A股股份2,267,169,423股，约占</w:t>
      </w:r>
      <w:r>
        <w:rPr>
          <w:rFonts w:hint="eastAsia" w:ascii="宋体" w:hAnsi="宋体" w:eastAsia="宋体"/>
          <w:sz w:val="28"/>
        </w:rPr>
        <w:t>本</w:t>
      </w:r>
      <w:r>
        <w:rPr>
          <w:rFonts w:ascii="宋体" w:hAnsi="宋体" w:eastAsia="宋体"/>
          <w:sz w:val="28"/>
        </w:rPr>
        <w:t>公司已发行总股本的46.16%；兖矿香港公司持有</w:t>
      </w:r>
      <w:r>
        <w:rPr>
          <w:rFonts w:hint="eastAsia" w:ascii="宋体" w:hAnsi="宋体" w:eastAsia="宋体"/>
          <w:sz w:val="28"/>
        </w:rPr>
        <w:t>本</w:t>
      </w:r>
      <w:r>
        <w:rPr>
          <w:rFonts w:ascii="宋体" w:hAnsi="宋体" w:eastAsia="宋体"/>
          <w:sz w:val="28"/>
        </w:rPr>
        <w:t>公司H股股份180,000,000 股，约占</w:t>
      </w:r>
      <w:r>
        <w:rPr>
          <w:rFonts w:hint="eastAsia" w:ascii="宋体" w:hAnsi="宋体" w:eastAsia="宋体"/>
          <w:sz w:val="28"/>
        </w:rPr>
        <w:t>本</w:t>
      </w:r>
      <w:r>
        <w:rPr>
          <w:rFonts w:ascii="宋体" w:hAnsi="宋体" w:eastAsia="宋体"/>
          <w:sz w:val="28"/>
        </w:rPr>
        <w:t>公司已发行总股本的3.66%。</w:t>
      </w:r>
      <w:r>
        <w:rPr>
          <w:rFonts w:hint="eastAsia" w:ascii="宋体" w:hAnsi="宋体" w:eastAsia="宋体"/>
          <w:sz w:val="28"/>
        </w:rPr>
        <w:t>本次增持前，</w:t>
      </w:r>
      <w:r>
        <w:rPr>
          <w:rFonts w:ascii="宋体" w:hAnsi="宋体" w:eastAsia="宋体"/>
          <w:sz w:val="28"/>
        </w:rPr>
        <w:t>兖矿集团及</w:t>
      </w:r>
      <w:r>
        <w:rPr>
          <w:rFonts w:hint="eastAsia" w:ascii="宋体" w:hAnsi="宋体" w:eastAsia="宋体"/>
          <w:sz w:val="28"/>
          <w:lang w:val="en-US" w:eastAsia="zh-CN"/>
        </w:rPr>
        <w:t>其</w:t>
      </w:r>
      <w:r>
        <w:rPr>
          <w:rFonts w:ascii="宋体" w:hAnsi="宋体" w:eastAsia="宋体"/>
          <w:sz w:val="28"/>
        </w:rPr>
        <w:t>一致行动人</w:t>
      </w:r>
      <w:r>
        <w:rPr>
          <w:rFonts w:hint="eastAsia" w:ascii="宋体" w:hAnsi="宋体" w:eastAsia="宋体"/>
          <w:sz w:val="28"/>
        </w:rPr>
        <w:t>合计持有本</w:t>
      </w:r>
      <w:r>
        <w:rPr>
          <w:rFonts w:ascii="宋体" w:hAnsi="宋体" w:eastAsia="宋体"/>
          <w:sz w:val="28"/>
        </w:rPr>
        <w:t>公司</w:t>
      </w:r>
      <w:r>
        <w:rPr>
          <w:rFonts w:hint="eastAsia" w:ascii="宋体" w:hAnsi="宋体" w:eastAsia="宋体"/>
          <w:sz w:val="28"/>
        </w:rPr>
        <w:t>股份约</w:t>
      </w:r>
      <w:r>
        <w:rPr>
          <w:rFonts w:ascii="宋体" w:hAnsi="宋体" w:eastAsia="宋体"/>
          <w:sz w:val="28"/>
        </w:rPr>
        <w:t>占</w:t>
      </w:r>
      <w:r>
        <w:rPr>
          <w:rFonts w:hint="eastAsia" w:ascii="宋体" w:hAnsi="宋体" w:eastAsia="宋体"/>
          <w:sz w:val="28"/>
        </w:rPr>
        <w:t>本</w:t>
      </w:r>
      <w:r>
        <w:rPr>
          <w:rFonts w:ascii="宋体" w:hAnsi="宋体" w:eastAsia="宋体"/>
          <w:sz w:val="28"/>
        </w:rPr>
        <w:t>公司已发行总股本的49.82%。</w:t>
      </w:r>
    </w:p>
    <w:p>
      <w:pPr>
        <w:adjustRightInd w:val="0"/>
        <w:snapToGrid w:val="0"/>
        <w:spacing w:line="500" w:lineRule="exact"/>
        <w:ind w:firstLine="560" w:firstLineChars="200"/>
        <w:rPr>
          <w:rFonts w:ascii="宋体" w:hAnsi="宋体" w:eastAsia="宋体"/>
          <w:sz w:val="28"/>
        </w:rPr>
      </w:pPr>
      <w:r>
        <w:rPr>
          <w:rFonts w:ascii="宋体" w:hAnsi="宋体" w:eastAsia="宋体"/>
          <w:sz w:val="28"/>
        </w:rPr>
        <w:t>本次增持后，兖矿集团持有</w:t>
      </w:r>
      <w:r>
        <w:rPr>
          <w:rFonts w:hint="eastAsia" w:ascii="宋体" w:hAnsi="宋体" w:eastAsia="宋体"/>
          <w:sz w:val="28"/>
        </w:rPr>
        <w:t>本</w:t>
      </w:r>
      <w:r>
        <w:rPr>
          <w:rFonts w:ascii="宋体" w:hAnsi="宋体" w:eastAsia="宋体"/>
          <w:sz w:val="28"/>
        </w:rPr>
        <w:t>公司A股股份2,267,169,423股，约占</w:t>
      </w:r>
      <w:r>
        <w:rPr>
          <w:rFonts w:hint="eastAsia" w:ascii="宋体" w:hAnsi="宋体" w:eastAsia="宋体"/>
          <w:sz w:val="28"/>
        </w:rPr>
        <w:t>本</w:t>
      </w:r>
      <w:r>
        <w:rPr>
          <w:rFonts w:ascii="宋体" w:hAnsi="宋体" w:eastAsia="宋体"/>
          <w:sz w:val="28"/>
        </w:rPr>
        <w:t>公司已发行总股本的46.16%；兖矿香港公司持有</w:t>
      </w:r>
      <w:r>
        <w:rPr>
          <w:rFonts w:hint="eastAsia" w:ascii="宋体" w:hAnsi="宋体" w:eastAsia="宋体"/>
          <w:sz w:val="28"/>
        </w:rPr>
        <w:t>本</w:t>
      </w:r>
      <w:r>
        <w:rPr>
          <w:rFonts w:ascii="宋体" w:hAnsi="宋体" w:eastAsia="宋体"/>
          <w:sz w:val="28"/>
        </w:rPr>
        <w:t>公司H股股份27</w:t>
      </w:r>
      <w:r>
        <w:rPr>
          <w:rFonts w:hint="eastAsia" w:ascii="宋体" w:hAnsi="宋体" w:eastAsia="宋体"/>
          <w:sz w:val="28"/>
        </w:rPr>
        <w:t>7,989</w:t>
      </w:r>
      <w:r>
        <w:rPr>
          <w:rFonts w:hint="eastAsia" w:ascii="宋体" w:hAnsi="宋体" w:eastAsia="宋体"/>
          <w:sz w:val="28"/>
          <w:lang w:val="en-US" w:eastAsia="zh-CN"/>
        </w:rPr>
        <w:t>,</w:t>
      </w:r>
      <w:r>
        <w:rPr>
          <w:rFonts w:hint="eastAsia" w:ascii="宋体" w:hAnsi="宋体" w:eastAsia="宋体"/>
          <w:sz w:val="28"/>
        </w:rPr>
        <w:t>000</w:t>
      </w:r>
      <w:r>
        <w:rPr>
          <w:rFonts w:ascii="宋体" w:hAnsi="宋体" w:eastAsia="宋体"/>
          <w:sz w:val="28"/>
        </w:rPr>
        <w:t xml:space="preserve"> 股，约占</w:t>
      </w:r>
      <w:r>
        <w:rPr>
          <w:rFonts w:hint="eastAsia" w:ascii="宋体" w:hAnsi="宋体" w:eastAsia="宋体"/>
          <w:sz w:val="28"/>
        </w:rPr>
        <w:t>本</w:t>
      </w:r>
      <w:r>
        <w:rPr>
          <w:rFonts w:ascii="宋体" w:hAnsi="宋体" w:eastAsia="宋体"/>
          <w:sz w:val="28"/>
        </w:rPr>
        <w:t>公司已发行总股本的5.66%。</w:t>
      </w:r>
      <w:r>
        <w:rPr>
          <w:rFonts w:hint="eastAsia" w:ascii="宋体" w:hAnsi="宋体" w:eastAsia="宋体"/>
          <w:sz w:val="28"/>
        </w:rPr>
        <w:t>本次增持后，兖矿集团及其一致行动人合计持有本公司股份约占本公司已发行总股本的</w:t>
      </w:r>
      <w:r>
        <w:rPr>
          <w:rFonts w:ascii="宋体" w:hAnsi="宋体" w:eastAsia="宋体"/>
          <w:sz w:val="28"/>
        </w:rPr>
        <w:t>51.8</w:t>
      </w:r>
      <w:r>
        <w:rPr>
          <w:rFonts w:hint="eastAsia" w:ascii="宋体" w:hAnsi="宋体" w:eastAsia="宋体"/>
          <w:sz w:val="28"/>
        </w:rPr>
        <w:t>1</w:t>
      </w:r>
      <w:r>
        <w:rPr>
          <w:rFonts w:ascii="宋体" w:hAnsi="宋体" w:eastAsia="宋体"/>
          <w:sz w:val="28"/>
        </w:rPr>
        <w:t>%</w:t>
      </w:r>
      <w:r>
        <w:rPr>
          <w:rFonts w:hint="eastAsia" w:ascii="宋体" w:hAnsi="宋体" w:eastAsia="宋体"/>
          <w:sz w:val="28"/>
        </w:rPr>
        <w:t>。</w:t>
      </w:r>
    </w:p>
    <w:p>
      <w:pPr>
        <w:pStyle w:val="31"/>
        <w:numPr>
          <w:ilvl w:val="0"/>
          <w:numId w:val="1"/>
        </w:numPr>
        <w:adjustRightInd w:val="0"/>
        <w:snapToGrid w:val="0"/>
        <w:spacing w:line="500" w:lineRule="exact"/>
        <w:ind w:firstLineChars="0"/>
        <w:rPr>
          <w:rFonts w:ascii="宋体" w:hAnsi="宋体" w:eastAsia="宋体"/>
          <w:b/>
          <w:sz w:val="28"/>
        </w:rPr>
      </w:pPr>
      <w:r>
        <w:rPr>
          <w:rFonts w:hint="eastAsia" w:ascii="宋体" w:hAnsi="宋体" w:eastAsia="宋体"/>
          <w:b/>
          <w:sz w:val="28"/>
        </w:rPr>
        <w:t>后续增持计划</w:t>
      </w:r>
    </w:p>
    <w:p>
      <w:pPr>
        <w:adjustRightInd w:val="0"/>
        <w:snapToGrid w:val="0"/>
        <w:spacing w:line="500" w:lineRule="exact"/>
        <w:ind w:firstLine="560" w:firstLineChars="200"/>
        <w:rPr>
          <w:rFonts w:ascii="宋体" w:hAnsi="宋体" w:eastAsia="宋体"/>
          <w:b/>
          <w:sz w:val="28"/>
        </w:rPr>
      </w:pPr>
      <w:r>
        <w:rPr>
          <w:rFonts w:hint="eastAsia" w:ascii="宋体" w:hAnsi="宋体" w:eastAsia="宋体"/>
          <w:sz w:val="28"/>
        </w:rPr>
        <w:t>兖矿集团及其一致行动人在未来</w:t>
      </w:r>
      <w:r>
        <w:rPr>
          <w:rFonts w:ascii="宋体" w:hAnsi="宋体" w:eastAsia="宋体"/>
          <w:sz w:val="28"/>
        </w:rPr>
        <w:t>12个月内（自本次增持之日起算）</w:t>
      </w:r>
      <w:r>
        <w:rPr>
          <w:rFonts w:hint="eastAsia" w:ascii="宋体" w:hAnsi="宋体" w:eastAsia="宋体"/>
          <w:sz w:val="28"/>
        </w:rPr>
        <w:t>暂无进一步增持计划</w:t>
      </w:r>
      <w:r>
        <w:rPr>
          <w:rFonts w:ascii="宋体" w:hAnsi="宋体" w:eastAsia="宋体"/>
          <w:sz w:val="28"/>
        </w:rPr>
        <w:t>。</w:t>
      </w:r>
    </w:p>
    <w:p>
      <w:pPr>
        <w:pStyle w:val="31"/>
        <w:numPr>
          <w:ilvl w:val="0"/>
          <w:numId w:val="1"/>
        </w:numPr>
        <w:adjustRightInd w:val="0"/>
        <w:snapToGrid w:val="0"/>
        <w:spacing w:line="500" w:lineRule="exact"/>
        <w:ind w:firstLineChars="0"/>
        <w:rPr>
          <w:rFonts w:ascii="宋体" w:hAnsi="宋体" w:eastAsia="宋体"/>
          <w:b/>
          <w:sz w:val="28"/>
        </w:rPr>
      </w:pPr>
      <w:r>
        <w:rPr>
          <w:rFonts w:hint="eastAsia" w:ascii="宋体" w:hAnsi="宋体" w:eastAsia="宋体"/>
          <w:b/>
          <w:sz w:val="28"/>
        </w:rPr>
        <w:t>其他事项</w:t>
      </w:r>
    </w:p>
    <w:p>
      <w:pPr>
        <w:adjustRightInd w:val="0"/>
        <w:snapToGrid w:val="0"/>
        <w:spacing w:line="500" w:lineRule="exact"/>
        <w:ind w:firstLine="560" w:firstLineChars="200"/>
        <w:rPr>
          <w:rFonts w:ascii="宋体" w:hAnsi="宋体" w:eastAsia="宋体"/>
          <w:sz w:val="28"/>
        </w:rPr>
      </w:pPr>
      <w:r>
        <w:rPr>
          <w:rFonts w:hint="eastAsia" w:ascii="宋体" w:hAnsi="宋体" w:eastAsia="宋体"/>
          <w:sz w:val="28"/>
        </w:rPr>
        <w:t>1、</w:t>
      </w:r>
      <w:r>
        <w:rPr>
          <w:rFonts w:ascii="宋体" w:hAnsi="宋体" w:eastAsia="宋体"/>
          <w:sz w:val="28"/>
        </w:rPr>
        <w:t>本次增持符合《</w:t>
      </w:r>
      <w:r>
        <w:rPr>
          <w:rFonts w:hint="eastAsia" w:ascii="宋体" w:hAnsi="宋体" w:eastAsia="宋体"/>
          <w:sz w:val="28"/>
        </w:rPr>
        <w:t>中华人民共和国证券法</w:t>
      </w:r>
      <w:r>
        <w:rPr>
          <w:rFonts w:ascii="宋体" w:hAnsi="宋体" w:eastAsia="宋体"/>
          <w:sz w:val="28"/>
        </w:rPr>
        <w:t>》、《上市公司收购管理办法》等法律法规的有关规定，满足《上市公司收购管理办法》规定的免于提出豁免要约申请的条件，不存在违反法律、</w:t>
      </w:r>
      <w:r>
        <w:rPr>
          <w:rFonts w:hint="eastAsia" w:ascii="宋体" w:hAnsi="宋体" w:eastAsia="宋体"/>
          <w:sz w:val="28"/>
        </w:rPr>
        <w:t>行政</w:t>
      </w:r>
      <w:r>
        <w:rPr>
          <w:rFonts w:ascii="宋体" w:hAnsi="宋体" w:eastAsia="宋体"/>
          <w:sz w:val="28"/>
        </w:rPr>
        <w:t>法规、部门规章和规范性文件等相关规定的情形。</w:t>
      </w:r>
    </w:p>
    <w:p>
      <w:pPr>
        <w:adjustRightInd w:val="0"/>
        <w:snapToGrid w:val="0"/>
        <w:spacing w:line="500" w:lineRule="exact"/>
        <w:ind w:firstLine="560" w:firstLineChars="200"/>
        <w:rPr>
          <w:rFonts w:ascii="宋体" w:hAnsi="宋体" w:eastAsia="宋体"/>
          <w:sz w:val="28"/>
        </w:rPr>
      </w:pPr>
      <w:r>
        <w:rPr>
          <w:rFonts w:hint="eastAsia" w:ascii="宋体" w:hAnsi="宋体" w:eastAsia="宋体"/>
          <w:sz w:val="28"/>
        </w:rPr>
        <w:t>2、兖矿集团及其一致行动人承诺：除兖矿集团已获批发行的可交换公司债券事项</w:t>
      </w:r>
      <w:r>
        <w:rPr>
          <w:rFonts w:ascii="宋体" w:hAnsi="宋体" w:eastAsia="宋体"/>
          <w:sz w:val="28"/>
        </w:rPr>
        <w:t>可能影响兖矿集团在上市公司持股比例的情形外，在</w:t>
      </w:r>
      <w:r>
        <w:rPr>
          <w:rFonts w:hint="eastAsia" w:ascii="宋体" w:hAnsi="宋体" w:eastAsia="宋体"/>
          <w:sz w:val="28"/>
        </w:rPr>
        <w:t>本次</w:t>
      </w:r>
      <w:r>
        <w:rPr>
          <w:rFonts w:ascii="宋体" w:hAnsi="宋体" w:eastAsia="宋体"/>
          <w:sz w:val="28"/>
        </w:rPr>
        <w:t>增持</w:t>
      </w:r>
      <w:r>
        <w:rPr>
          <w:rFonts w:hint="eastAsia" w:ascii="宋体" w:hAnsi="宋体" w:eastAsia="宋体"/>
          <w:sz w:val="28"/>
        </w:rPr>
        <w:t>实施完毕公告前</w:t>
      </w:r>
      <w:r>
        <w:rPr>
          <w:rFonts w:ascii="宋体" w:hAnsi="宋体" w:eastAsia="宋体"/>
          <w:sz w:val="28"/>
        </w:rPr>
        <w:t>及法定期限内不主动减持所持有的</w:t>
      </w:r>
      <w:r>
        <w:rPr>
          <w:rFonts w:hint="eastAsia" w:ascii="宋体" w:hAnsi="宋体" w:eastAsia="宋体"/>
          <w:sz w:val="28"/>
        </w:rPr>
        <w:t>本</w:t>
      </w:r>
      <w:r>
        <w:rPr>
          <w:rFonts w:ascii="宋体" w:hAnsi="宋体" w:eastAsia="宋体"/>
          <w:sz w:val="28"/>
        </w:rPr>
        <w:t>公司股份。</w:t>
      </w:r>
    </w:p>
    <w:p>
      <w:pPr>
        <w:adjustRightInd w:val="0"/>
        <w:snapToGrid w:val="0"/>
        <w:spacing w:line="500" w:lineRule="exact"/>
        <w:ind w:firstLine="560" w:firstLineChars="200"/>
        <w:rPr>
          <w:rFonts w:ascii="宋体" w:hAnsi="宋体" w:eastAsia="宋体"/>
          <w:sz w:val="28"/>
        </w:rPr>
      </w:pPr>
      <w:r>
        <w:rPr>
          <w:rFonts w:hint="eastAsia" w:ascii="宋体" w:hAnsi="宋体" w:eastAsia="宋体"/>
          <w:sz w:val="28"/>
        </w:rPr>
        <w:t>3、本公司将根据《上海证券交易所股票上市规则》</w:t>
      </w:r>
      <w:r>
        <w:rPr>
          <w:rFonts w:ascii="宋体" w:hAnsi="宋体" w:eastAsia="宋体"/>
          <w:sz w:val="28"/>
        </w:rPr>
        <w:t>、《上市公司收购管理办法》和《上海证券交易所上市公司股东及其一致行动人增持股份行为指引》的相关规定，持续关注</w:t>
      </w:r>
      <w:r>
        <w:rPr>
          <w:rFonts w:hint="eastAsia" w:ascii="宋体" w:hAnsi="宋体" w:eastAsia="宋体"/>
          <w:sz w:val="28"/>
        </w:rPr>
        <w:t>兖矿集团及其一致行动人</w:t>
      </w:r>
      <w:r>
        <w:rPr>
          <w:rFonts w:ascii="宋体" w:hAnsi="宋体" w:eastAsia="宋体"/>
          <w:sz w:val="28"/>
        </w:rPr>
        <w:t>增持</w:t>
      </w:r>
      <w:r>
        <w:rPr>
          <w:rFonts w:hint="eastAsia" w:ascii="宋体" w:hAnsi="宋体" w:eastAsia="宋体"/>
          <w:sz w:val="28"/>
        </w:rPr>
        <w:t>本</w:t>
      </w:r>
      <w:r>
        <w:rPr>
          <w:rFonts w:ascii="宋体" w:hAnsi="宋体" w:eastAsia="宋体"/>
          <w:sz w:val="28"/>
        </w:rPr>
        <w:t>公司股份的有关情况，及时履行信息披露义务。</w:t>
      </w:r>
    </w:p>
    <w:p>
      <w:pPr>
        <w:adjustRightInd w:val="0"/>
        <w:snapToGrid w:val="0"/>
        <w:spacing w:line="500" w:lineRule="exact"/>
        <w:rPr>
          <w:rFonts w:ascii="宋体" w:hAnsi="宋体" w:eastAsia="宋体"/>
          <w:sz w:val="28"/>
        </w:rPr>
      </w:pPr>
    </w:p>
    <w:p>
      <w:pPr>
        <w:adjustRightInd w:val="0"/>
        <w:snapToGrid w:val="0"/>
        <w:spacing w:line="500" w:lineRule="exact"/>
        <w:ind w:firstLine="560" w:firstLineChars="200"/>
        <w:rPr>
          <w:rFonts w:ascii="宋体" w:hAnsi="宋体" w:eastAsia="宋体"/>
          <w:sz w:val="28"/>
        </w:rPr>
      </w:pPr>
      <w:r>
        <w:rPr>
          <w:rFonts w:hint="eastAsia" w:ascii="宋体" w:hAnsi="宋体" w:eastAsia="宋体"/>
          <w:sz w:val="28"/>
        </w:rPr>
        <w:t>特此公告。</w:t>
      </w:r>
    </w:p>
    <w:p>
      <w:pPr>
        <w:adjustRightInd w:val="0"/>
        <w:snapToGrid w:val="0"/>
        <w:spacing w:line="520" w:lineRule="exact"/>
        <w:ind w:firstLine="539"/>
        <w:rPr>
          <w:rFonts w:ascii="宋体" w:hAnsi="宋体" w:eastAsia="宋体"/>
          <w:sz w:val="28"/>
        </w:rPr>
      </w:pPr>
    </w:p>
    <w:p>
      <w:pPr>
        <w:adjustRightInd w:val="0"/>
        <w:snapToGrid w:val="0"/>
        <w:spacing w:line="520" w:lineRule="exact"/>
        <w:ind w:firstLine="480" w:firstLineChars="200"/>
        <w:rPr>
          <w:rFonts w:ascii="宋体" w:hAnsi="宋体" w:eastAsia="宋体"/>
          <w:sz w:val="28"/>
        </w:rPr>
      </w:pPr>
      <w:r>
        <w:rPr>
          <w:rFonts w:ascii="宋体" w:hAnsi="宋体" w:eastAsia="宋体"/>
          <w:sz w:val="24"/>
        </w:rPr>
        <w:t xml:space="preserve">                            </w:t>
      </w:r>
      <w:r>
        <w:rPr>
          <w:rFonts w:ascii="宋体" w:hAnsi="宋体" w:eastAsia="宋体"/>
          <w:sz w:val="28"/>
        </w:rPr>
        <w:t xml:space="preserve">    </w:t>
      </w:r>
    </w:p>
    <w:p>
      <w:pPr>
        <w:adjustRightInd w:val="0"/>
        <w:snapToGrid w:val="0"/>
        <w:spacing w:line="520" w:lineRule="exact"/>
        <w:ind w:firstLine="560" w:firstLineChars="200"/>
        <w:rPr>
          <w:rFonts w:ascii="宋体" w:hAnsi="宋体" w:eastAsia="宋体"/>
          <w:sz w:val="28"/>
        </w:rPr>
      </w:pPr>
    </w:p>
    <w:p>
      <w:pPr>
        <w:adjustRightInd w:val="0"/>
        <w:snapToGrid w:val="0"/>
        <w:spacing w:line="520" w:lineRule="exact"/>
        <w:ind w:firstLine="560" w:firstLineChars="200"/>
        <w:jc w:val="right"/>
        <w:rPr>
          <w:rFonts w:ascii="宋体" w:hAnsi="宋体" w:eastAsia="宋体"/>
          <w:sz w:val="28"/>
        </w:rPr>
      </w:pPr>
      <w:r>
        <w:rPr>
          <w:rFonts w:ascii="宋体" w:hAnsi="宋体" w:eastAsia="宋体"/>
          <w:sz w:val="28"/>
        </w:rPr>
        <w:t>兖州煤业股份有限公司董事会</w:t>
      </w:r>
    </w:p>
    <w:p>
      <w:pPr>
        <w:adjustRightInd w:val="0"/>
        <w:snapToGrid w:val="0"/>
        <w:spacing w:line="520" w:lineRule="exact"/>
        <w:jc w:val="both"/>
        <w:rPr>
          <w:rFonts w:ascii="宋体" w:hAnsi="宋体" w:eastAsia="宋体"/>
          <w:sz w:val="28"/>
        </w:rPr>
      </w:pPr>
      <w:r>
        <w:rPr>
          <w:rFonts w:ascii="宋体" w:hAnsi="宋体" w:eastAsia="宋体"/>
          <w:sz w:val="28"/>
        </w:rPr>
        <w:t xml:space="preserve">                                </w:t>
      </w:r>
      <w:r>
        <w:rPr>
          <w:rFonts w:hint="eastAsia" w:ascii="宋体" w:hAnsi="宋体" w:eastAsia="宋体"/>
          <w:sz w:val="28"/>
          <w:lang w:val="en-US" w:eastAsia="zh-CN"/>
        </w:rPr>
        <w:t xml:space="preserve">      </w:t>
      </w:r>
      <w:r>
        <w:rPr>
          <w:rFonts w:ascii="宋体" w:hAnsi="宋体" w:eastAsia="宋体"/>
          <w:sz w:val="28"/>
        </w:rPr>
        <w:t xml:space="preserve">  </w:t>
      </w:r>
      <w:r>
        <w:rPr>
          <w:rFonts w:hint="eastAsia" w:ascii="宋体" w:hAnsi="宋体" w:eastAsia="宋体"/>
          <w:sz w:val="28"/>
        </w:rPr>
        <w:t>2018</w:t>
      </w:r>
      <w:r>
        <w:rPr>
          <w:rFonts w:ascii="宋体" w:hAnsi="宋体" w:eastAsia="宋体"/>
          <w:sz w:val="28"/>
        </w:rPr>
        <w:t>年</w:t>
      </w:r>
      <w:r>
        <w:rPr>
          <w:rFonts w:hint="eastAsia" w:ascii="宋体" w:hAnsi="宋体" w:eastAsia="宋体"/>
          <w:sz w:val="28"/>
        </w:rPr>
        <w:t>7</w:t>
      </w:r>
      <w:r>
        <w:rPr>
          <w:rFonts w:ascii="宋体" w:hAnsi="宋体" w:eastAsia="宋体"/>
          <w:sz w:val="28"/>
        </w:rPr>
        <w:t>月</w:t>
      </w:r>
      <w:r>
        <w:rPr>
          <w:rFonts w:hint="eastAsia" w:ascii="宋体" w:hAnsi="宋体" w:eastAsia="宋体"/>
          <w:sz w:val="28"/>
        </w:rPr>
        <w:t>11</w:t>
      </w:r>
      <w:r>
        <w:rPr>
          <w:rFonts w:ascii="宋体" w:hAnsi="宋体" w:eastAsia="宋体"/>
          <w:sz w:val="28"/>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 w:name="CG Times">
    <w:altName w:val="Times New Roman"/>
    <w:panose1 w:val="00000000000000000000"/>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10FD0"/>
    <w:multiLevelType w:val="multilevel"/>
    <w:tmpl w:val="53A10FD0"/>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6A"/>
    <w:rsid w:val="00000715"/>
    <w:rsid w:val="00000B42"/>
    <w:rsid w:val="00001AC7"/>
    <w:rsid w:val="0000204E"/>
    <w:rsid w:val="00004216"/>
    <w:rsid w:val="00004908"/>
    <w:rsid w:val="000057E3"/>
    <w:rsid w:val="00006D3A"/>
    <w:rsid w:val="00007210"/>
    <w:rsid w:val="00007365"/>
    <w:rsid w:val="00011945"/>
    <w:rsid w:val="00012FB0"/>
    <w:rsid w:val="00013379"/>
    <w:rsid w:val="00013823"/>
    <w:rsid w:val="000143F3"/>
    <w:rsid w:val="000164BC"/>
    <w:rsid w:val="0001749B"/>
    <w:rsid w:val="00020055"/>
    <w:rsid w:val="000233E3"/>
    <w:rsid w:val="000234CF"/>
    <w:rsid w:val="00023BF1"/>
    <w:rsid w:val="000240B8"/>
    <w:rsid w:val="000247FE"/>
    <w:rsid w:val="00025BF2"/>
    <w:rsid w:val="00025CFA"/>
    <w:rsid w:val="000261F9"/>
    <w:rsid w:val="0002674D"/>
    <w:rsid w:val="000268C8"/>
    <w:rsid w:val="00026F98"/>
    <w:rsid w:val="00027A41"/>
    <w:rsid w:val="000302A3"/>
    <w:rsid w:val="00031487"/>
    <w:rsid w:val="00031848"/>
    <w:rsid w:val="00031A4E"/>
    <w:rsid w:val="0003360C"/>
    <w:rsid w:val="000368B6"/>
    <w:rsid w:val="0003791B"/>
    <w:rsid w:val="00042AF1"/>
    <w:rsid w:val="00042BFF"/>
    <w:rsid w:val="0004331C"/>
    <w:rsid w:val="000443FD"/>
    <w:rsid w:val="000449D2"/>
    <w:rsid w:val="00045DD1"/>
    <w:rsid w:val="000476C8"/>
    <w:rsid w:val="00050142"/>
    <w:rsid w:val="00052A9C"/>
    <w:rsid w:val="00056392"/>
    <w:rsid w:val="00056861"/>
    <w:rsid w:val="00057365"/>
    <w:rsid w:val="00057C30"/>
    <w:rsid w:val="00060BE8"/>
    <w:rsid w:val="0006156A"/>
    <w:rsid w:val="00062858"/>
    <w:rsid w:val="000636AD"/>
    <w:rsid w:val="000636F8"/>
    <w:rsid w:val="00063A81"/>
    <w:rsid w:val="00063EC8"/>
    <w:rsid w:val="000640B5"/>
    <w:rsid w:val="00067338"/>
    <w:rsid w:val="00067A2F"/>
    <w:rsid w:val="0007018E"/>
    <w:rsid w:val="00070967"/>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C3C"/>
    <w:rsid w:val="00097C44"/>
    <w:rsid w:val="000A2732"/>
    <w:rsid w:val="000A4F2A"/>
    <w:rsid w:val="000A5143"/>
    <w:rsid w:val="000A5520"/>
    <w:rsid w:val="000A614C"/>
    <w:rsid w:val="000A7C04"/>
    <w:rsid w:val="000B051A"/>
    <w:rsid w:val="000B0BB3"/>
    <w:rsid w:val="000B1BC2"/>
    <w:rsid w:val="000B5598"/>
    <w:rsid w:val="000B69E2"/>
    <w:rsid w:val="000B7FA9"/>
    <w:rsid w:val="000C04F7"/>
    <w:rsid w:val="000C2181"/>
    <w:rsid w:val="000C27A9"/>
    <w:rsid w:val="000C4280"/>
    <w:rsid w:val="000C48E2"/>
    <w:rsid w:val="000C6A50"/>
    <w:rsid w:val="000C77D0"/>
    <w:rsid w:val="000D2211"/>
    <w:rsid w:val="000D2EA7"/>
    <w:rsid w:val="000D4786"/>
    <w:rsid w:val="000D484B"/>
    <w:rsid w:val="000D67FC"/>
    <w:rsid w:val="000D6828"/>
    <w:rsid w:val="000D6D7A"/>
    <w:rsid w:val="000E099A"/>
    <w:rsid w:val="000E0B9E"/>
    <w:rsid w:val="000E17F7"/>
    <w:rsid w:val="000E4714"/>
    <w:rsid w:val="000E572C"/>
    <w:rsid w:val="000E62AE"/>
    <w:rsid w:val="000E6E59"/>
    <w:rsid w:val="000E75B7"/>
    <w:rsid w:val="000F16F4"/>
    <w:rsid w:val="000F4153"/>
    <w:rsid w:val="000F4C33"/>
    <w:rsid w:val="000F72F4"/>
    <w:rsid w:val="00103590"/>
    <w:rsid w:val="00103BFC"/>
    <w:rsid w:val="00105D66"/>
    <w:rsid w:val="0010616B"/>
    <w:rsid w:val="0010667F"/>
    <w:rsid w:val="0010687B"/>
    <w:rsid w:val="00106ABE"/>
    <w:rsid w:val="0010701E"/>
    <w:rsid w:val="0010779E"/>
    <w:rsid w:val="00110496"/>
    <w:rsid w:val="0011168E"/>
    <w:rsid w:val="00112555"/>
    <w:rsid w:val="0011422D"/>
    <w:rsid w:val="00115054"/>
    <w:rsid w:val="00115E25"/>
    <w:rsid w:val="001200DA"/>
    <w:rsid w:val="00122457"/>
    <w:rsid w:val="00122E9B"/>
    <w:rsid w:val="0012380B"/>
    <w:rsid w:val="00124085"/>
    <w:rsid w:val="00124173"/>
    <w:rsid w:val="0012441D"/>
    <w:rsid w:val="00127188"/>
    <w:rsid w:val="001273D6"/>
    <w:rsid w:val="00130306"/>
    <w:rsid w:val="0013080E"/>
    <w:rsid w:val="001310CD"/>
    <w:rsid w:val="001313E1"/>
    <w:rsid w:val="00131D58"/>
    <w:rsid w:val="00132D61"/>
    <w:rsid w:val="001330BE"/>
    <w:rsid w:val="00133938"/>
    <w:rsid w:val="00134F0D"/>
    <w:rsid w:val="00135BE1"/>
    <w:rsid w:val="001373D1"/>
    <w:rsid w:val="0013741F"/>
    <w:rsid w:val="00137D1C"/>
    <w:rsid w:val="001412D2"/>
    <w:rsid w:val="00141759"/>
    <w:rsid w:val="00143322"/>
    <w:rsid w:val="0014699C"/>
    <w:rsid w:val="00147BC1"/>
    <w:rsid w:val="00147DF2"/>
    <w:rsid w:val="00151F2A"/>
    <w:rsid w:val="00153AE1"/>
    <w:rsid w:val="00154B6F"/>
    <w:rsid w:val="00155232"/>
    <w:rsid w:val="00160845"/>
    <w:rsid w:val="00161C28"/>
    <w:rsid w:val="001657B7"/>
    <w:rsid w:val="0016661A"/>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CF"/>
    <w:rsid w:val="0018204A"/>
    <w:rsid w:val="0018331F"/>
    <w:rsid w:val="0018381C"/>
    <w:rsid w:val="00184822"/>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E9C"/>
    <w:rsid w:val="001A63C7"/>
    <w:rsid w:val="001A6F38"/>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6119"/>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5E63"/>
    <w:rsid w:val="001E6FE2"/>
    <w:rsid w:val="001F07B1"/>
    <w:rsid w:val="001F1D62"/>
    <w:rsid w:val="001F2D5D"/>
    <w:rsid w:val="001F3DD0"/>
    <w:rsid w:val="001F3E55"/>
    <w:rsid w:val="001F44B7"/>
    <w:rsid w:val="001F4529"/>
    <w:rsid w:val="001F61F0"/>
    <w:rsid w:val="001F6F71"/>
    <w:rsid w:val="002010F9"/>
    <w:rsid w:val="00201C81"/>
    <w:rsid w:val="002027FD"/>
    <w:rsid w:val="00202887"/>
    <w:rsid w:val="002039A6"/>
    <w:rsid w:val="00204715"/>
    <w:rsid w:val="00205E20"/>
    <w:rsid w:val="0020736B"/>
    <w:rsid w:val="002111F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7B5"/>
    <w:rsid w:val="002379F3"/>
    <w:rsid w:val="00237E45"/>
    <w:rsid w:val="00240B18"/>
    <w:rsid w:val="00240B3B"/>
    <w:rsid w:val="00240C66"/>
    <w:rsid w:val="00240DC5"/>
    <w:rsid w:val="00241175"/>
    <w:rsid w:val="002412A9"/>
    <w:rsid w:val="00241438"/>
    <w:rsid w:val="002425F4"/>
    <w:rsid w:val="00242915"/>
    <w:rsid w:val="00242929"/>
    <w:rsid w:val="0024328C"/>
    <w:rsid w:val="00243D6B"/>
    <w:rsid w:val="002447C3"/>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4A08"/>
    <w:rsid w:val="00294B25"/>
    <w:rsid w:val="002951FF"/>
    <w:rsid w:val="002966E2"/>
    <w:rsid w:val="002A038E"/>
    <w:rsid w:val="002A0CD3"/>
    <w:rsid w:val="002A17DC"/>
    <w:rsid w:val="002A2999"/>
    <w:rsid w:val="002A2E35"/>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4D3"/>
    <w:rsid w:val="002B7B1F"/>
    <w:rsid w:val="002B7BF9"/>
    <w:rsid w:val="002C0C7D"/>
    <w:rsid w:val="002C26EC"/>
    <w:rsid w:val="002C29CE"/>
    <w:rsid w:val="002C3D58"/>
    <w:rsid w:val="002C40C3"/>
    <w:rsid w:val="002C470C"/>
    <w:rsid w:val="002C4744"/>
    <w:rsid w:val="002C7048"/>
    <w:rsid w:val="002D0010"/>
    <w:rsid w:val="002D0F2B"/>
    <w:rsid w:val="002D1127"/>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46A9"/>
    <w:rsid w:val="002F54B3"/>
    <w:rsid w:val="002F588A"/>
    <w:rsid w:val="002F79EF"/>
    <w:rsid w:val="002F7F1C"/>
    <w:rsid w:val="003010DE"/>
    <w:rsid w:val="0030124E"/>
    <w:rsid w:val="0030277E"/>
    <w:rsid w:val="003027F8"/>
    <w:rsid w:val="00302EB9"/>
    <w:rsid w:val="0030435B"/>
    <w:rsid w:val="00304ADD"/>
    <w:rsid w:val="00304FBE"/>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C88"/>
    <w:rsid w:val="003260C6"/>
    <w:rsid w:val="00332608"/>
    <w:rsid w:val="0033548B"/>
    <w:rsid w:val="0034014D"/>
    <w:rsid w:val="003405CC"/>
    <w:rsid w:val="003407BF"/>
    <w:rsid w:val="00340AAA"/>
    <w:rsid w:val="003415BE"/>
    <w:rsid w:val="0034238E"/>
    <w:rsid w:val="00342F47"/>
    <w:rsid w:val="0034324C"/>
    <w:rsid w:val="003435E1"/>
    <w:rsid w:val="0034384E"/>
    <w:rsid w:val="00343F70"/>
    <w:rsid w:val="0034451C"/>
    <w:rsid w:val="003457BF"/>
    <w:rsid w:val="003461BD"/>
    <w:rsid w:val="0034738B"/>
    <w:rsid w:val="00350006"/>
    <w:rsid w:val="00351A7F"/>
    <w:rsid w:val="0035274F"/>
    <w:rsid w:val="00354B56"/>
    <w:rsid w:val="00355EB0"/>
    <w:rsid w:val="00357120"/>
    <w:rsid w:val="00357915"/>
    <w:rsid w:val="0036054E"/>
    <w:rsid w:val="00360E80"/>
    <w:rsid w:val="003616EE"/>
    <w:rsid w:val="00362079"/>
    <w:rsid w:val="00362FB5"/>
    <w:rsid w:val="0036308E"/>
    <w:rsid w:val="00363837"/>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87D6C"/>
    <w:rsid w:val="00391745"/>
    <w:rsid w:val="00391932"/>
    <w:rsid w:val="00391B5E"/>
    <w:rsid w:val="003921B3"/>
    <w:rsid w:val="00392CE5"/>
    <w:rsid w:val="0039356C"/>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6034"/>
    <w:rsid w:val="003C6D7A"/>
    <w:rsid w:val="003D1F89"/>
    <w:rsid w:val="003D1FFF"/>
    <w:rsid w:val="003D22C5"/>
    <w:rsid w:val="003D23BC"/>
    <w:rsid w:val="003D2743"/>
    <w:rsid w:val="003D2A1E"/>
    <w:rsid w:val="003D31CC"/>
    <w:rsid w:val="003D3E81"/>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244"/>
    <w:rsid w:val="003F6709"/>
    <w:rsid w:val="003F6A64"/>
    <w:rsid w:val="00402E2A"/>
    <w:rsid w:val="0040352A"/>
    <w:rsid w:val="00403835"/>
    <w:rsid w:val="004043F3"/>
    <w:rsid w:val="0040740D"/>
    <w:rsid w:val="00411171"/>
    <w:rsid w:val="00411721"/>
    <w:rsid w:val="004125AD"/>
    <w:rsid w:val="0041321B"/>
    <w:rsid w:val="00413431"/>
    <w:rsid w:val="0041395E"/>
    <w:rsid w:val="00415627"/>
    <w:rsid w:val="004159AD"/>
    <w:rsid w:val="004159BB"/>
    <w:rsid w:val="00416613"/>
    <w:rsid w:val="00416E45"/>
    <w:rsid w:val="004174D9"/>
    <w:rsid w:val="00417938"/>
    <w:rsid w:val="004203FE"/>
    <w:rsid w:val="0042049C"/>
    <w:rsid w:val="00420AC8"/>
    <w:rsid w:val="00420BFE"/>
    <w:rsid w:val="00420CB0"/>
    <w:rsid w:val="00420FD1"/>
    <w:rsid w:val="00421385"/>
    <w:rsid w:val="00421BB0"/>
    <w:rsid w:val="00422259"/>
    <w:rsid w:val="00422DEA"/>
    <w:rsid w:val="00422F6E"/>
    <w:rsid w:val="004246A7"/>
    <w:rsid w:val="00424B3C"/>
    <w:rsid w:val="004256B3"/>
    <w:rsid w:val="0042597F"/>
    <w:rsid w:val="00427433"/>
    <w:rsid w:val="004276F4"/>
    <w:rsid w:val="004303BA"/>
    <w:rsid w:val="00430A4F"/>
    <w:rsid w:val="00430EFF"/>
    <w:rsid w:val="00432037"/>
    <w:rsid w:val="00433B4E"/>
    <w:rsid w:val="004347F4"/>
    <w:rsid w:val="00435733"/>
    <w:rsid w:val="004360DC"/>
    <w:rsid w:val="00444AC5"/>
    <w:rsid w:val="00447EB2"/>
    <w:rsid w:val="00450088"/>
    <w:rsid w:val="00451858"/>
    <w:rsid w:val="0045186B"/>
    <w:rsid w:val="00451A7D"/>
    <w:rsid w:val="004540CC"/>
    <w:rsid w:val="004542EF"/>
    <w:rsid w:val="00454ADF"/>
    <w:rsid w:val="0045599D"/>
    <w:rsid w:val="00457366"/>
    <w:rsid w:val="004625F9"/>
    <w:rsid w:val="0046262D"/>
    <w:rsid w:val="00462946"/>
    <w:rsid w:val="00463C82"/>
    <w:rsid w:val="00464520"/>
    <w:rsid w:val="00464587"/>
    <w:rsid w:val="004653EE"/>
    <w:rsid w:val="004660D9"/>
    <w:rsid w:val="00466730"/>
    <w:rsid w:val="004718E5"/>
    <w:rsid w:val="00473C37"/>
    <w:rsid w:val="00474A83"/>
    <w:rsid w:val="00474D79"/>
    <w:rsid w:val="004764BF"/>
    <w:rsid w:val="0048121A"/>
    <w:rsid w:val="0048138C"/>
    <w:rsid w:val="00482A6A"/>
    <w:rsid w:val="00482EC1"/>
    <w:rsid w:val="00482FAC"/>
    <w:rsid w:val="004833A7"/>
    <w:rsid w:val="00483A49"/>
    <w:rsid w:val="00483C70"/>
    <w:rsid w:val="004852F6"/>
    <w:rsid w:val="004859EA"/>
    <w:rsid w:val="004871F7"/>
    <w:rsid w:val="0048770A"/>
    <w:rsid w:val="00487AE4"/>
    <w:rsid w:val="00490867"/>
    <w:rsid w:val="00491024"/>
    <w:rsid w:val="004914A9"/>
    <w:rsid w:val="00491E8D"/>
    <w:rsid w:val="004938EE"/>
    <w:rsid w:val="00493D53"/>
    <w:rsid w:val="00494379"/>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66C5"/>
    <w:rsid w:val="004E66DB"/>
    <w:rsid w:val="004E7F89"/>
    <w:rsid w:val="004F1BAB"/>
    <w:rsid w:val="004F49DA"/>
    <w:rsid w:val="004F4C0A"/>
    <w:rsid w:val="004F504D"/>
    <w:rsid w:val="004F5CB1"/>
    <w:rsid w:val="004F6453"/>
    <w:rsid w:val="004F7ADE"/>
    <w:rsid w:val="00500EF6"/>
    <w:rsid w:val="00501C60"/>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479B1"/>
    <w:rsid w:val="005500B7"/>
    <w:rsid w:val="00550165"/>
    <w:rsid w:val="00550363"/>
    <w:rsid w:val="005508A3"/>
    <w:rsid w:val="00550FC4"/>
    <w:rsid w:val="0055392C"/>
    <w:rsid w:val="00553B4A"/>
    <w:rsid w:val="00553DA1"/>
    <w:rsid w:val="00554063"/>
    <w:rsid w:val="00560DEB"/>
    <w:rsid w:val="0056333B"/>
    <w:rsid w:val="00563CED"/>
    <w:rsid w:val="005641AF"/>
    <w:rsid w:val="00564419"/>
    <w:rsid w:val="00564521"/>
    <w:rsid w:val="00564DC6"/>
    <w:rsid w:val="00566A12"/>
    <w:rsid w:val="00566DB1"/>
    <w:rsid w:val="00570357"/>
    <w:rsid w:val="00571FD8"/>
    <w:rsid w:val="005732C8"/>
    <w:rsid w:val="0057334A"/>
    <w:rsid w:val="0057359C"/>
    <w:rsid w:val="00573E53"/>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875B3"/>
    <w:rsid w:val="00591F15"/>
    <w:rsid w:val="00592543"/>
    <w:rsid w:val="00592575"/>
    <w:rsid w:val="00592FFA"/>
    <w:rsid w:val="00595797"/>
    <w:rsid w:val="005965BB"/>
    <w:rsid w:val="00597ED1"/>
    <w:rsid w:val="005A0FA8"/>
    <w:rsid w:val="005A2E14"/>
    <w:rsid w:val="005A3EBD"/>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6D"/>
    <w:rsid w:val="005D7B70"/>
    <w:rsid w:val="005E1255"/>
    <w:rsid w:val="005E4612"/>
    <w:rsid w:val="005E6244"/>
    <w:rsid w:val="005E6AD2"/>
    <w:rsid w:val="005F0D67"/>
    <w:rsid w:val="005F147A"/>
    <w:rsid w:val="005F35BD"/>
    <w:rsid w:val="005F4EF4"/>
    <w:rsid w:val="005F5B2B"/>
    <w:rsid w:val="005F71DF"/>
    <w:rsid w:val="00600BD3"/>
    <w:rsid w:val="0061153B"/>
    <w:rsid w:val="0061408E"/>
    <w:rsid w:val="0061424B"/>
    <w:rsid w:val="006147F1"/>
    <w:rsid w:val="006151A0"/>
    <w:rsid w:val="00616A3D"/>
    <w:rsid w:val="00616FAB"/>
    <w:rsid w:val="0062076F"/>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5EF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58DD"/>
    <w:rsid w:val="00656428"/>
    <w:rsid w:val="0065694F"/>
    <w:rsid w:val="006577FA"/>
    <w:rsid w:val="00657935"/>
    <w:rsid w:val="00657CD4"/>
    <w:rsid w:val="00661148"/>
    <w:rsid w:val="00661639"/>
    <w:rsid w:val="00664C66"/>
    <w:rsid w:val="00665DE7"/>
    <w:rsid w:val="006702FC"/>
    <w:rsid w:val="00672FC7"/>
    <w:rsid w:val="00675786"/>
    <w:rsid w:val="00676792"/>
    <w:rsid w:val="00676B86"/>
    <w:rsid w:val="0067721B"/>
    <w:rsid w:val="00681789"/>
    <w:rsid w:val="00682F53"/>
    <w:rsid w:val="006837E0"/>
    <w:rsid w:val="0068632C"/>
    <w:rsid w:val="00690630"/>
    <w:rsid w:val="0069087D"/>
    <w:rsid w:val="00690B6B"/>
    <w:rsid w:val="006911EE"/>
    <w:rsid w:val="00691F71"/>
    <w:rsid w:val="00693D32"/>
    <w:rsid w:val="00694E1B"/>
    <w:rsid w:val="00695347"/>
    <w:rsid w:val="006A0EA9"/>
    <w:rsid w:val="006A23EE"/>
    <w:rsid w:val="006A2E3A"/>
    <w:rsid w:val="006A2EC2"/>
    <w:rsid w:val="006A32B7"/>
    <w:rsid w:val="006A3FD2"/>
    <w:rsid w:val="006A5416"/>
    <w:rsid w:val="006A7144"/>
    <w:rsid w:val="006A7605"/>
    <w:rsid w:val="006A7EF5"/>
    <w:rsid w:val="006B03FE"/>
    <w:rsid w:val="006B2728"/>
    <w:rsid w:val="006B2C70"/>
    <w:rsid w:val="006B3ACE"/>
    <w:rsid w:val="006B44F7"/>
    <w:rsid w:val="006B4B0F"/>
    <w:rsid w:val="006B6A06"/>
    <w:rsid w:val="006B6F80"/>
    <w:rsid w:val="006B7013"/>
    <w:rsid w:val="006C050E"/>
    <w:rsid w:val="006C0A87"/>
    <w:rsid w:val="006C0F4F"/>
    <w:rsid w:val="006C2B92"/>
    <w:rsid w:val="006C2F34"/>
    <w:rsid w:val="006C72E7"/>
    <w:rsid w:val="006C7A4C"/>
    <w:rsid w:val="006C7D86"/>
    <w:rsid w:val="006D082A"/>
    <w:rsid w:val="006D1EDF"/>
    <w:rsid w:val="006D1F78"/>
    <w:rsid w:val="006D2E4B"/>
    <w:rsid w:val="006D3517"/>
    <w:rsid w:val="006D3BF2"/>
    <w:rsid w:val="006D3F36"/>
    <w:rsid w:val="006D54AE"/>
    <w:rsid w:val="006D5597"/>
    <w:rsid w:val="006D57CD"/>
    <w:rsid w:val="006E1227"/>
    <w:rsid w:val="006E3649"/>
    <w:rsid w:val="006E445D"/>
    <w:rsid w:val="006E5B8D"/>
    <w:rsid w:val="006E61A5"/>
    <w:rsid w:val="006E7A05"/>
    <w:rsid w:val="006F0F5C"/>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3AC"/>
    <w:rsid w:val="00716C53"/>
    <w:rsid w:val="0072078E"/>
    <w:rsid w:val="00721B14"/>
    <w:rsid w:val="00722F1C"/>
    <w:rsid w:val="007233C0"/>
    <w:rsid w:val="0072427C"/>
    <w:rsid w:val="00727455"/>
    <w:rsid w:val="007276F2"/>
    <w:rsid w:val="007277D0"/>
    <w:rsid w:val="00730976"/>
    <w:rsid w:val="007309D5"/>
    <w:rsid w:val="00730A2C"/>
    <w:rsid w:val="007322A1"/>
    <w:rsid w:val="00733FA5"/>
    <w:rsid w:val="00734914"/>
    <w:rsid w:val="00734D6F"/>
    <w:rsid w:val="007368EF"/>
    <w:rsid w:val="00740308"/>
    <w:rsid w:val="00740586"/>
    <w:rsid w:val="00740A51"/>
    <w:rsid w:val="00741203"/>
    <w:rsid w:val="007425CE"/>
    <w:rsid w:val="00743867"/>
    <w:rsid w:val="00744574"/>
    <w:rsid w:val="00744840"/>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DEB"/>
    <w:rsid w:val="00765AFC"/>
    <w:rsid w:val="00765EEC"/>
    <w:rsid w:val="00766C3D"/>
    <w:rsid w:val="00766C88"/>
    <w:rsid w:val="00767FD8"/>
    <w:rsid w:val="0077262E"/>
    <w:rsid w:val="007737B3"/>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ECE"/>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0F7A"/>
    <w:rsid w:val="007B19D8"/>
    <w:rsid w:val="007B27F6"/>
    <w:rsid w:val="007B283A"/>
    <w:rsid w:val="007B50C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0DFC"/>
    <w:rsid w:val="007E1CF9"/>
    <w:rsid w:val="007E1EED"/>
    <w:rsid w:val="007E4A6A"/>
    <w:rsid w:val="007E4F34"/>
    <w:rsid w:val="007E5DA8"/>
    <w:rsid w:val="007E6F7D"/>
    <w:rsid w:val="007E78C1"/>
    <w:rsid w:val="007E7944"/>
    <w:rsid w:val="007E7EC5"/>
    <w:rsid w:val="007F251F"/>
    <w:rsid w:val="007F35CD"/>
    <w:rsid w:val="007F401E"/>
    <w:rsid w:val="007F4EAD"/>
    <w:rsid w:val="007F4F66"/>
    <w:rsid w:val="007F536B"/>
    <w:rsid w:val="007F567A"/>
    <w:rsid w:val="007F5C6C"/>
    <w:rsid w:val="007F5F4D"/>
    <w:rsid w:val="007F6B58"/>
    <w:rsid w:val="00800A2B"/>
    <w:rsid w:val="00801BC4"/>
    <w:rsid w:val="00802780"/>
    <w:rsid w:val="00802A3C"/>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378"/>
    <w:rsid w:val="00836F68"/>
    <w:rsid w:val="00840B73"/>
    <w:rsid w:val="00842477"/>
    <w:rsid w:val="00842BA3"/>
    <w:rsid w:val="00843538"/>
    <w:rsid w:val="00843859"/>
    <w:rsid w:val="00843E03"/>
    <w:rsid w:val="008459CE"/>
    <w:rsid w:val="008474D0"/>
    <w:rsid w:val="00847674"/>
    <w:rsid w:val="0085179D"/>
    <w:rsid w:val="00851925"/>
    <w:rsid w:val="00851ECF"/>
    <w:rsid w:val="008536BA"/>
    <w:rsid w:val="00855275"/>
    <w:rsid w:val="00855AEF"/>
    <w:rsid w:val="00857651"/>
    <w:rsid w:val="00857959"/>
    <w:rsid w:val="00860332"/>
    <w:rsid w:val="008603EF"/>
    <w:rsid w:val="00861B70"/>
    <w:rsid w:val="00861FEA"/>
    <w:rsid w:val="008629C2"/>
    <w:rsid w:val="00862BCF"/>
    <w:rsid w:val="00863576"/>
    <w:rsid w:val="00864E66"/>
    <w:rsid w:val="00865E01"/>
    <w:rsid w:val="0086659F"/>
    <w:rsid w:val="00867685"/>
    <w:rsid w:val="00867752"/>
    <w:rsid w:val="00870945"/>
    <w:rsid w:val="00871353"/>
    <w:rsid w:val="00872480"/>
    <w:rsid w:val="00872D19"/>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DCB"/>
    <w:rsid w:val="008B711F"/>
    <w:rsid w:val="008B7A32"/>
    <w:rsid w:val="008C11FA"/>
    <w:rsid w:val="008C128E"/>
    <w:rsid w:val="008C3BE0"/>
    <w:rsid w:val="008C492F"/>
    <w:rsid w:val="008C51CE"/>
    <w:rsid w:val="008C57F5"/>
    <w:rsid w:val="008C60C3"/>
    <w:rsid w:val="008C6208"/>
    <w:rsid w:val="008C7D46"/>
    <w:rsid w:val="008D1638"/>
    <w:rsid w:val="008D51E5"/>
    <w:rsid w:val="008D6285"/>
    <w:rsid w:val="008E0E86"/>
    <w:rsid w:val="008E2005"/>
    <w:rsid w:val="008E4816"/>
    <w:rsid w:val="008E6093"/>
    <w:rsid w:val="008F0310"/>
    <w:rsid w:val="008F16CF"/>
    <w:rsid w:val="008F277A"/>
    <w:rsid w:val="008F732C"/>
    <w:rsid w:val="009004DE"/>
    <w:rsid w:val="00900954"/>
    <w:rsid w:val="009013B9"/>
    <w:rsid w:val="00902D4D"/>
    <w:rsid w:val="00903146"/>
    <w:rsid w:val="0090340A"/>
    <w:rsid w:val="00903921"/>
    <w:rsid w:val="009049E7"/>
    <w:rsid w:val="00905448"/>
    <w:rsid w:val="009064F5"/>
    <w:rsid w:val="00912127"/>
    <w:rsid w:val="00912739"/>
    <w:rsid w:val="00912B51"/>
    <w:rsid w:val="0091483A"/>
    <w:rsid w:val="00917147"/>
    <w:rsid w:val="009236EB"/>
    <w:rsid w:val="009240DB"/>
    <w:rsid w:val="00925D50"/>
    <w:rsid w:val="00926327"/>
    <w:rsid w:val="00926766"/>
    <w:rsid w:val="00926E32"/>
    <w:rsid w:val="00931710"/>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AF1"/>
    <w:rsid w:val="00954B47"/>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87BD1"/>
    <w:rsid w:val="0099181B"/>
    <w:rsid w:val="00992437"/>
    <w:rsid w:val="009956A2"/>
    <w:rsid w:val="00996B15"/>
    <w:rsid w:val="00996DC8"/>
    <w:rsid w:val="00997954"/>
    <w:rsid w:val="009A08DF"/>
    <w:rsid w:val="009A1EC9"/>
    <w:rsid w:val="009A2439"/>
    <w:rsid w:val="009A429E"/>
    <w:rsid w:val="009A61B5"/>
    <w:rsid w:val="009A6844"/>
    <w:rsid w:val="009A6F22"/>
    <w:rsid w:val="009B0173"/>
    <w:rsid w:val="009B0252"/>
    <w:rsid w:val="009B02D5"/>
    <w:rsid w:val="009B06AA"/>
    <w:rsid w:val="009B1719"/>
    <w:rsid w:val="009B20B3"/>
    <w:rsid w:val="009B5D26"/>
    <w:rsid w:val="009B5E39"/>
    <w:rsid w:val="009B5FE3"/>
    <w:rsid w:val="009B6AC2"/>
    <w:rsid w:val="009B6B49"/>
    <w:rsid w:val="009B7E2C"/>
    <w:rsid w:val="009C0912"/>
    <w:rsid w:val="009C1C16"/>
    <w:rsid w:val="009C2029"/>
    <w:rsid w:val="009C27F0"/>
    <w:rsid w:val="009C2A2E"/>
    <w:rsid w:val="009C6186"/>
    <w:rsid w:val="009C69A2"/>
    <w:rsid w:val="009D09BF"/>
    <w:rsid w:val="009D1F9C"/>
    <w:rsid w:val="009D21D1"/>
    <w:rsid w:val="009D30A3"/>
    <w:rsid w:val="009D53C6"/>
    <w:rsid w:val="009D58BC"/>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401"/>
    <w:rsid w:val="00A117C8"/>
    <w:rsid w:val="00A12159"/>
    <w:rsid w:val="00A1290B"/>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AB9"/>
    <w:rsid w:val="00A40E51"/>
    <w:rsid w:val="00A411B2"/>
    <w:rsid w:val="00A42FF1"/>
    <w:rsid w:val="00A43978"/>
    <w:rsid w:val="00A45D45"/>
    <w:rsid w:val="00A46374"/>
    <w:rsid w:val="00A46DDA"/>
    <w:rsid w:val="00A475DA"/>
    <w:rsid w:val="00A50D4B"/>
    <w:rsid w:val="00A53072"/>
    <w:rsid w:val="00A540FE"/>
    <w:rsid w:val="00A541EF"/>
    <w:rsid w:val="00A5430E"/>
    <w:rsid w:val="00A54426"/>
    <w:rsid w:val="00A54E1B"/>
    <w:rsid w:val="00A55CE5"/>
    <w:rsid w:val="00A55D5E"/>
    <w:rsid w:val="00A57D2B"/>
    <w:rsid w:val="00A60F0F"/>
    <w:rsid w:val="00A61952"/>
    <w:rsid w:val="00A61EDA"/>
    <w:rsid w:val="00A65357"/>
    <w:rsid w:val="00A66153"/>
    <w:rsid w:val="00A66644"/>
    <w:rsid w:val="00A67158"/>
    <w:rsid w:val="00A67461"/>
    <w:rsid w:val="00A67B1C"/>
    <w:rsid w:val="00A67B90"/>
    <w:rsid w:val="00A67E63"/>
    <w:rsid w:val="00A72461"/>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6BC5"/>
    <w:rsid w:val="00A97FFE"/>
    <w:rsid w:val="00AA06DE"/>
    <w:rsid w:val="00AA0739"/>
    <w:rsid w:val="00AA2B28"/>
    <w:rsid w:val="00AA2DF9"/>
    <w:rsid w:val="00AA310A"/>
    <w:rsid w:val="00AA311D"/>
    <w:rsid w:val="00AA5CF2"/>
    <w:rsid w:val="00AA5FE7"/>
    <w:rsid w:val="00AA61F4"/>
    <w:rsid w:val="00AB0FB6"/>
    <w:rsid w:val="00AB14DC"/>
    <w:rsid w:val="00AB1798"/>
    <w:rsid w:val="00AB2777"/>
    <w:rsid w:val="00AB3093"/>
    <w:rsid w:val="00AB3C89"/>
    <w:rsid w:val="00AB405B"/>
    <w:rsid w:val="00AB4600"/>
    <w:rsid w:val="00AB4FB2"/>
    <w:rsid w:val="00AB6ACA"/>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1010"/>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67D96"/>
    <w:rsid w:val="00B70461"/>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3EB3"/>
    <w:rsid w:val="00B9520C"/>
    <w:rsid w:val="00B95535"/>
    <w:rsid w:val="00B9574B"/>
    <w:rsid w:val="00B95E90"/>
    <w:rsid w:val="00B9651E"/>
    <w:rsid w:val="00B972B5"/>
    <w:rsid w:val="00B97E2A"/>
    <w:rsid w:val="00BA24FD"/>
    <w:rsid w:val="00BA26D3"/>
    <w:rsid w:val="00BA42FE"/>
    <w:rsid w:val="00BA4E74"/>
    <w:rsid w:val="00BA5459"/>
    <w:rsid w:val="00BA7C4C"/>
    <w:rsid w:val="00BB0206"/>
    <w:rsid w:val="00BB0928"/>
    <w:rsid w:val="00BB1AAA"/>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47C5"/>
    <w:rsid w:val="00BC5286"/>
    <w:rsid w:val="00BC5EE0"/>
    <w:rsid w:val="00BC69CF"/>
    <w:rsid w:val="00BC6C08"/>
    <w:rsid w:val="00BC6DE0"/>
    <w:rsid w:val="00BC6E8A"/>
    <w:rsid w:val="00BC76FC"/>
    <w:rsid w:val="00BD4178"/>
    <w:rsid w:val="00BD469B"/>
    <w:rsid w:val="00BD499A"/>
    <w:rsid w:val="00BD5594"/>
    <w:rsid w:val="00BD55F0"/>
    <w:rsid w:val="00BD595F"/>
    <w:rsid w:val="00BD62EA"/>
    <w:rsid w:val="00BD7997"/>
    <w:rsid w:val="00BD7D9D"/>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274A"/>
    <w:rsid w:val="00BF3781"/>
    <w:rsid w:val="00BF3863"/>
    <w:rsid w:val="00BF3EBB"/>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90B"/>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B4F"/>
    <w:rsid w:val="00C54F22"/>
    <w:rsid w:val="00C55BB3"/>
    <w:rsid w:val="00C55F3C"/>
    <w:rsid w:val="00C562D6"/>
    <w:rsid w:val="00C57A45"/>
    <w:rsid w:val="00C57C7E"/>
    <w:rsid w:val="00C57F56"/>
    <w:rsid w:val="00C60902"/>
    <w:rsid w:val="00C610BB"/>
    <w:rsid w:val="00C62A0C"/>
    <w:rsid w:val="00C62AC9"/>
    <w:rsid w:val="00C64CA5"/>
    <w:rsid w:val="00C6583E"/>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217"/>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A16DD"/>
    <w:rsid w:val="00CA3B7E"/>
    <w:rsid w:val="00CA3D13"/>
    <w:rsid w:val="00CA4D7C"/>
    <w:rsid w:val="00CA4FF8"/>
    <w:rsid w:val="00CA59E8"/>
    <w:rsid w:val="00CA6A66"/>
    <w:rsid w:val="00CA7CC5"/>
    <w:rsid w:val="00CA7CCD"/>
    <w:rsid w:val="00CB1918"/>
    <w:rsid w:val="00CB1D5A"/>
    <w:rsid w:val="00CB1ED5"/>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F4F"/>
    <w:rsid w:val="00CD42C3"/>
    <w:rsid w:val="00CD4CE6"/>
    <w:rsid w:val="00CD508D"/>
    <w:rsid w:val="00CD5177"/>
    <w:rsid w:val="00CD59D8"/>
    <w:rsid w:val="00CD5A1C"/>
    <w:rsid w:val="00CD6513"/>
    <w:rsid w:val="00CD6BA2"/>
    <w:rsid w:val="00CD77E5"/>
    <w:rsid w:val="00CD78FD"/>
    <w:rsid w:val="00CE0471"/>
    <w:rsid w:val="00CE1898"/>
    <w:rsid w:val="00CE380E"/>
    <w:rsid w:val="00CE38A9"/>
    <w:rsid w:val="00CE5535"/>
    <w:rsid w:val="00CE5761"/>
    <w:rsid w:val="00CE63C3"/>
    <w:rsid w:val="00CE6EAF"/>
    <w:rsid w:val="00CE7BCC"/>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0AE8"/>
    <w:rsid w:val="00D11BFF"/>
    <w:rsid w:val="00D13784"/>
    <w:rsid w:val="00D147FF"/>
    <w:rsid w:val="00D158FD"/>
    <w:rsid w:val="00D172D5"/>
    <w:rsid w:val="00D2057F"/>
    <w:rsid w:val="00D2199A"/>
    <w:rsid w:val="00D22B04"/>
    <w:rsid w:val="00D22BAF"/>
    <w:rsid w:val="00D22FD8"/>
    <w:rsid w:val="00D237B6"/>
    <w:rsid w:val="00D240D9"/>
    <w:rsid w:val="00D26075"/>
    <w:rsid w:val="00D30544"/>
    <w:rsid w:val="00D318D4"/>
    <w:rsid w:val="00D32281"/>
    <w:rsid w:val="00D3247D"/>
    <w:rsid w:val="00D33C54"/>
    <w:rsid w:val="00D33EB5"/>
    <w:rsid w:val="00D34E4F"/>
    <w:rsid w:val="00D35181"/>
    <w:rsid w:val="00D37D30"/>
    <w:rsid w:val="00D37ED0"/>
    <w:rsid w:val="00D37EDA"/>
    <w:rsid w:val="00D40A5A"/>
    <w:rsid w:val="00D413F0"/>
    <w:rsid w:val="00D42565"/>
    <w:rsid w:val="00D44B75"/>
    <w:rsid w:val="00D44C83"/>
    <w:rsid w:val="00D45B86"/>
    <w:rsid w:val="00D45BEA"/>
    <w:rsid w:val="00D45C12"/>
    <w:rsid w:val="00D45F38"/>
    <w:rsid w:val="00D507D7"/>
    <w:rsid w:val="00D51296"/>
    <w:rsid w:val="00D512C9"/>
    <w:rsid w:val="00D51A0C"/>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5357"/>
    <w:rsid w:val="00D76587"/>
    <w:rsid w:val="00D766B6"/>
    <w:rsid w:val="00D772B7"/>
    <w:rsid w:val="00D775C8"/>
    <w:rsid w:val="00D804CB"/>
    <w:rsid w:val="00D828BF"/>
    <w:rsid w:val="00D8388A"/>
    <w:rsid w:val="00D85E86"/>
    <w:rsid w:val="00D871CA"/>
    <w:rsid w:val="00D87AAE"/>
    <w:rsid w:val="00D87FC6"/>
    <w:rsid w:val="00D90D25"/>
    <w:rsid w:val="00D9149A"/>
    <w:rsid w:val="00D916C6"/>
    <w:rsid w:val="00D91D54"/>
    <w:rsid w:val="00D92B66"/>
    <w:rsid w:val="00D93870"/>
    <w:rsid w:val="00D93B9C"/>
    <w:rsid w:val="00D940E9"/>
    <w:rsid w:val="00D96AFC"/>
    <w:rsid w:val="00D96F6A"/>
    <w:rsid w:val="00D974A1"/>
    <w:rsid w:val="00D97EF0"/>
    <w:rsid w:val="00DA0065"/>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139"/>
    <w:rsid w:val="00DD3C4A"/>
    <w:rsid w:val="00DD4949"/>
    <w:rsid w:val="00DD542F"/>
    <w:rsid w:val="00DD5CF2"/>
    <w:rsid w:val="00DD7B18"/>
    <w:rsid w:val="00DE3B5C"/>
    <w:rsid w:val="00DE42F2"/>
    <w:rsid w:val="00DE4AFD"/>
    <w:rsid w:val="00DE7988"/>
    <w:rsid w:val="00DF1562"/>
    <w:rsid w:val="00DF234F"/>
    <w:rsid w:val="00DF24E1"/>
    <w:rsid w:val="00DF33A9"/>
    <w:rsid w:val="00DF506E"/>
    <w:rsid w:val="00DF5957"/>
    <w:rsid w:val="00DF65CF"/>
    <w:rsid w:val="00E01081"/>
    <w:rsid w:val="00E01C80"/>
    <w:rsid w:val="00E02319"/>
    <w:rsid w:val="00E027F9"/>
    <w:rsid w:val="00E02C7F"/>
    <w:rsid w:val="00E02EFE"/>
    <w:rsid w:val="00E03D55"/>
    <w:rsid w:val="00E041C5"/>
    <w:rsid w:val="00E06461"/>
    <w:rsid w:val="00E07703"/>
    <w:rsid w:val="00E122E8"/>
    <w:rsid w:val="00E146EC"/>
    <w:rsid w:val="00E14C57"/>
    <w:rsid w:val="00E155A5"/>
    <w:rsid w:val="00E16236"/>
    <w:rsid w:val="00E16816"/>
    <w:rsid w:val="00E208C2"/>
    <w:rsid w:val="00E218A9"/>
    <w:rsid w:val="00E22217"/>
    <w:rsid w:val="00E2410C"/>
    <w:rsid w:val="00E2419B"/>
    <w:rsid w:val="00E2470E"/>
    <w:rsid w:val="00E24718"/>
    <w:rsid w:val="00E24B5F"/>
    <w:rsid w:val="00E24F7B"/>
    <w:rsid w:val="00E257D2"/>
    <w:rsid w:val="00E25A52"/>
    <w:rsid w:val="00E25FB0"/>
    <w:rsid w:val="00E27E78"/>
    <w:rsid w:val="00E318C2"/>
    <w:rsid w:val="00E322E2"/>
    <w:rsid w:val="00E330C8"/>
    <w:rsid w:val="00E3435C"/>
    <w:rsid w:val="00E34DC2"/>
    <w:rsid w:val="00E35F6B"/>
    <w:rsid w:val="00E36019"/>
    <w:rsid w:val="00E36C80"/>
    <w:rsid w:val="00E37EEF"/>
    <w:rsid w:val="00E4184D"/>
    <w:rsid w:val="00E423CA"/>
    <w:rsid w:val="00E433F8"/>
    <w:rsid w:val="00E434E8"/>
    <w:rsid w:val="00E43E90"/>
    <w:rsid w:val="00E44192"/>
    <w:rsid w:val="00E44226"/>
    <w:rsid w:val="00E4681A"/>
    <w:rsid w:val="00E476AE"/>
    <w:rsid w:val="00E5068E"/>
    <w:rsid w:val="00E50E59"/>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1F5"/>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5746"/>
    <w:rsid w:val="00EB65E9"/>
    <w:rsid w:val="00EB723C"/>
    <w:rsid w:val="00EB7969"/>
    <w:rsid w:val="00EB7EAB"/>
    <w:rsid w:val="00EC00B4"/>
    <w:rsid w:val="00EC0679"/>
    <w:rsid w:val="00EC0A81"/>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41F"/>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0DC"/>
    <w:rsid w:val="00F75108"/>
    <w:rsid w:val="00F75CFA"/>
    <w:rsid w:val="00F762C3"/>
    <w:rsid w:val="00F7778C"/>
    <w:rsid w:val="00F77D27"/>
    <w:rsid w:val="00F80205"/>
    <w:rsid w:val="00F806AE"/>
    <w:rsid w:val="00F82008"/>
    <w:rsid w:val="00F82452"/>
    <w:rsid w:val="00F82C36"/>
    <w:rsid w:val="00F83874"/>
    <w:rsid w:val="00F842A4"/>
    <w:rsid w:val="00F84513"/>
    <w:rsid w:val="00F84ABB"/>
    <w:rsid w:val="00F86D2C"/>
    <w:rsid w:val="00F877EA"/>
    <w:rsid w:val="00F87E93"/>
    <w:rsid w:val="00F9087E"/>
    <w:rsid w:val="00F90D70"/>
    <w:rsid w:val="00F92E68"/>
    <w:rsid w:val="00F93B15"/>
    <w:rsid w:val="00F94B0A"/>
    <w:rsid w:val="00F957C1"/>
    <w:rsid w:val="00F972BE"/>
    <w:rsid w:val="00F97316"/>
    <w:rsid w:val="00F97676"/>
    <w:rsid w:val="00F97911"/>
    <w:rsid w:val="00FA02BE"/>
    <w:rsid w:val="00FA2B5F"/>
    <w:rsid w:val="00FA3865"/>
    <w:rsid w:val="00FA3EB3"/>
    <w:rsid w:val="00FA4DEC"/>
    <w:rsid w:val="00FA611B"/>
    <w:rsid w:val="00FA62F0"/>
    <w:rsid w:val="00FA676F"/>
    <w:rsid w:val="00FA6845"/>
    <w:rsid w:val="00FA71B4"/>
    <w:rsid w:val="00FA7432"/>
    <w:rsid w:val="00FA77F9"/>
    <w:rsid w:val="00FB0553"/>
    <w:rsid w:val="00FB155A"/>
    <w:rsid w:val="00FB3237"/>
    <w:rsid w:val="00FB3A6B"/>
    <w:rsid w:val="00FB3CA6"/>
    <w:rsid w:val="00FB541B"/>
    <w:rsid w:val="00FB6D5D"/>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3DC9"/>
    <w:rsid w:val="00FD7D51"/>
    <w:rsid w:val="00FE0BC8"/>
    <w:rsid w:val="00FE29B7"/>
    <w:rsid w:val="00FE31AE"/>
    <w:rsid w:val="00FE4630"/>
    <w:rsid w:val="00FE4844"/>
    <w:rsid w:val="00FE4B36"/>
    <w:rsid w:val="00FE4DA4"/>
    <w:rsid w:val="00FE652E"/>
    <w:rsid w:val="00FF0E9B"/>
    <w:rsid w:val="00FF1482"/>
    <w:rsid w:val="00FF162A"/>
    <w:rsid w:val="00FF22FF"/>
    <w:rsid w:val="00FF393D"/>
    <w:rsid w:val="00FF4A06"/>
    <w:rsid w:val="00FF557B"/>
    <w:rsid w:val="00FF5D07"/>
    <w:rsid w:val="00FF6C33"/>
    <w:rsid w:val="00FF6D6B"/>
    <w:rsid w:val="00FF7D43"/>
    <w:rsid w:val="00FF7F10"/>
    <w:rsid w:val="04C977B3"/>
    <w:rsid w:val="06202859"/>
    <w:rsid w:val="0C865A77"/>
    <w:rsid w:val="0D9E1F9F"/>
    <w:rsid w:val="26FB38CE"/>
    <w:rsid w:val="7E03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character" w:default="1" w:styleId="14">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uiPriority w:val="0"/>
    <w:rPr>
      <w:b/>
      <w:bCs/>
    </w:rPr>
  </w:style>
  <w:style w:type="paragraph" w:styleId="3">
    <w:name w:val="annotation text"/>
    <w:basedOn w:val="1"/>
    <w:semiHidden/>
    <w:qFormat/>
    <w:uiPriority w:val="0"/>
    <w:pPr>
      <w:jc w:val="left"/>
    </w:pPr>
  </w:style>
  <w:style w:type="paragraph" w:styleId="4">
    <w:name w:val="Document Map"/>
    <w:basedOn w:val="1"/>
    <w:semiHidden/>
    <w:uiPriority w:val="0"/>
    <w:pPr>
      <w:shd w:val="clear" w:color="auto" w:fill="000080"/>
    </w:pPr>
  </w:style>
  <w:style w:type="paragraph" w:styleId="5">
    <w:name w:val="Body Text Indent"/>
    <w:basedOn w:val="1"/>
    <w:link w:val="28"/>
    <w:uiPriority w:val="0"/>
    <w:pPr>
      <w:spacing w:line="480" w:lineRule="exact"/>
      <w:ind w:firstLine="560"/>
    </w:pPr>
    <w:rPr>
      <w:rFonts w:ascii="宋体" w:hAnsi="宋体"/>
    </w:rPr>
  </w:style>
  <w:style w:type="paragraph" w:styleId="6">
    <w:name w:val="Plain Text"/>
    <w:basedOn w:val="1"/>
    <w:uiPriority w:val="0"/>
    <w:rPr>
      <w:rFonts w:ascii="宋体" w:hAnsi="Courier New"/>
    </w:rPr>
  </w:style>
  <w:style w:type="paragraph" w:styleId="7">
    <w:name w:val="Date"/>
    <w:basedOn w:val="1"/>
    <w:next w:val="1"/>
    <w:link w:val="30"/>
    <w:uiPriority w:val="0"/>
    <w:rPr>
      <w:sz w:val="24"/>
    </w:rPr>
  </w:style>
  <w:style w:type="paragraph" w:styleId="8">
    <w:name w:val="Body Text Indent 2"/>
    <w:basedOn w:val="1"/>
    <w:uiPriority w:val="0"/>
    <w:pPr>
      <w:ind w:firstLine="539"/>
    </w:pPr>
    <w:rPr>
      <w:color w:val="FF000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link w:val="29"/>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40" w:lineRule="exact"/>
      <w:ind w:firstLine="480"/>
    </w:pPr>
    <w:rPr>
      <w:rFonts w:ascii="宋体" w:hAnsi="宋体"/>
      <w:sz w:val="24"/>
    </w:rPr>
  </w:style>
  <w:style w:type="paragraph" w:styleId="13">
    <w:name w:val="index 1"/>
    <w:basedOn w:val="1"/>
    <w:next w:val="1"/>
    <w:uiPriority w:val="0"/>
    <w:pPr>
      <w:jc w:val="right"/>
    </w:pPr>
    <w:rPr>
      <w:rFonts w:ascii="宋体" w:hAnsi="宋体" w:eastAsia="楷体_GB2312"/>
      <w:kern w:val="0"/>
      <w:szCs w:val="21"/>
    </w:rPr>
  </w:style>
  <w:style w:type="character" w:styleId="15">
    <w:name w:val="page number"/>
    <w:basedOn w:val="14"/>
    <w:uiPriority w:val="0"/>
  </w:style>
  <w:style w:type="character" w:styleId="16">
    <w:name w:val="FollowedHyperlink"/>
    <w:uiPriority w:val="0"/>
    <w:rPr>
      <w:color w:val="800080"/>
      <w:u w:val="single"/>
    </w:rPr>
  </w:style>
  <w:style w:type="character" w:styleId="17">
    <w:name w:val="Hyperlink"/>
    <w:qFormat/>
    <w:uiPriority w:val="0"/>
    <w:rPr>
      <w:color w:val="0000FF"/>
      <w:u w:val="single"/>
    </w:rPr>
  </w:style>
  <w:style w:type="character" w:styleId="18">
    <w:name w:val="annotation reference"/>
    <w:semiHidden/>
    <w:uiPriority w:val="0"/>
    <w:rPr>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Char Char Char1 Char"/>
    <w:basedOn w:val="4"/>
    <w:qFormat/>
    <w:uiPriority w:val="0"/>
    <w:pPr>
      <w:adjustRightInd w:val="0"/>
      <w:spacing w:line="436" w:lineRule="exact"/>
      <w:ind w:left="357"/>
      <w:jc w:val="left"/>
      <w:outlineLvl w:val="3"/>
    </w:pPr>
    <w:rPr>
      <w:rFonts w:ascii="Tahoma" w:hAnsi="Tahoma"/>
      <w:b/>
      <w:sz w:val="24"/>
      <w:szCs w:val="28"/>
    </w:rPr>
  </w:style>
  <w:style w:type="paragraph" w:customStyle="1" w:styleId="22">
    <w:name w:val="Char Char Char1 Char Char Char Char Char Char Char Char Char Char"/>
    <w:basedOn w:val="1"/>
    <w:qFormat/>
    <w:uiPriority w:val="0"/>
    <w:rPr>
      <w:rFonts w:ascii="Tahoma" w:hAnsi="Tahoma"/>
      <w:sz w:val="24"/>
    </w:rPr>
  </w:style>
  <w:style w:type="paragraph" w:customStyle="1" w:styleId="23">
    <w:name w:val="正文1"/>
    <w:qFormat/>
    <w:uiPriority w:val="0"/>
    <w:pPr>
      <w:jc w:val="both"/>
    </w:pPr>
    <w:rPr>
      <w:rFonts w:ascii="等线" w:hAnsi="等线" w:eastAsia="PMingLiU" w:cs="等线"/>
      <w:kern w:val="2"/>
      <w:sz w:val="24"/>
      <w:lang w:val="en-US" w:eastAsia="zh-TW" w:bidi="ar-SA"/>
    </w:rPr>
  </w:style>
  <w:style w:type="paragraph" w:customStyle="1" w:styleId="24">
    <w:name w:val="Char Char Char Char Char Char Char Char"/>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xl26"/>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kern w:val="0"/>
      <w:szCs w:val="21"/>
    </w:rPr>
  </w:style>
  <w:style w:type="paragraph" w:customStyle="1" w:styleId="26">
    <w:name w:val="默认段落字体 Para Char Char Char Char Char Char Char"/>
    <w:basedOn w:val="1"/>
    <w:qFormat/>
    <w:uiPriority w:val="0"/>
    <w:rPr>
      <w:rFonts w:ascii="Tahoma" w:hAnsi="Tahoma"/>
      <w:sz w:val="24"/>
    </w:rPr>
  </w:style>
  <w:style w:type="paragraph" w:customStyle="1" w:styleId="27">
    <w:name w:val="zw"/>
    <w:basedOn w:val="1"/>
    <w:qFormat/>
    <w:uiPriority w:val="0"/>
    <w:pPr>
      <w:autoSpaceDE w:val="0"/>
      <w:autoSpaceDN w:val="0"/>
      <w:adjustRightInd w:val="0"/>
      <w:spacing w:line="360" w:lineRule="auto"/>
      <w:ind w:firstLine="482"/>
      <w:textAlignment w:val="bottom"/>
    </w:pPr>
    <w:rPr>
      <w:rFonts w:ascii="Arial Narrow" w:hAnsi="Arial Narrow" w:eastAsia="幼圆" w:cs="Arial Narrow"/>
      <w:kern w:val="0"/>
      <w:sz w:val="24"/>
      <w:szCs w:val="24"/>
    </w:rPr>
  </w:style>
  <w:style w:type="character" w:customStyle="1" w:styleId="28">
    <w:name w:val="正文文本缩进 Char"/>
    <w:link w:val="5"/>
    <w:qFormat/>
    <w:uiPriority w:val="0"/>
    <w:rPr>
      <w:rFonts w:ascii="宋体" w:hAnsi="宋体"/>
      <w:kern w:val="2"/>
      <w:sz w:val="21"/>
    </w:rPr>
  </w:style>
  <w:style w:type="character" w:customStyle="1" w:styleId="29">
    <w:name w:val="页眉 Char"/>
    <w:link w:val="11"/>
    <w:qFormat/>
    <w:uiPriority w:val="0"/>
    <w:rPr>
      <w:kern w:val="2"/>
      <w:sz w:val="18"/>
      <w:szCs w:val="18"/>
    </w:rPr>
  </w:style>
  <w:style w:type="character" w:customStyle="1" w:styleId="30">
    <w:name w:val="日期 Char"/>
    <w:link w:val="7"/>
    <w:qFormat/>
    <w:uiPriority w:val="0"/>
    <w:rPr>
      <w:kern w:val="2"/>
      <w:sz w:val="24"/>
    </w:rPr>
  </w:style>
  <w:style w:type="paragraph" w:styleId="31">
    <w:name w:val="List Paragraph"/>
    <w:basedOn w:val="1"/>
    <w:qFormat/>
    <w:uiPriority w:val="99"/>
    <w:pPr>
      <w:ind w:firstLine="420" w:firstLineChars="200"/>
    </w:pPr>
  </w:style>
  <w:style w:type="paragraph" w:customStyle="1" w:styleId="32">
    <w:name w:val="Quick 1."/>
    <w:basedOn w:val="1"/>
    <w:qFormat/>
    <w:uiPriority w:val="0"/>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pPr>
    <w:rPr>
      <w:rFonts w:ascii="CG Times" w:hAnsi="CG Times" w:eastAsia="宋体" w:cs="Times New Roman"/>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2</Pages>
  <Words>900</Words>
  <Characters>218</Characters>
  <Lines>1</Lines>
  <Paragraphs>2</Paragraphs>
  <TotalTime>60</TotalTime>
  <ScaleCrop>false</ScaleCrop>
  <LinksUpToDate>false</LinksUpToDate>
  <CharactersWithSpaces>1116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2018-07-06T02:13:00Z</dcterms:created>
  <dc:creator>lx</dc:creator>
  <cp:lastModifiedBy>张波</cp:lastModifiedBy>
  <cp:lastPrinted>2018-07-11T06:39:27Z</cp:lastPrinted>
  <dcterms:modified xsi:type="dcterms:W3CDTF">2018-07-11T06:39:31Z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