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outlineLvl w:val="9"/>
        <w:rPr>
          <w:rFonts w:hint="eastAsia" w:eastAsia="黑体"/>
          <w:lang w:val="en-US" w:eastAsia="zh-CN"/>
        </w:rPr>
      </w:pPr>
      <w:r>
        <w:rPr>
          <w:rFonts w:eastAsia="黑体"/>
        </w:rPr>
        <w:t>股票代码：600188            股票简称：兖州煤业            编号：临</w:t>
      </w:r>
      <w:r>
        <w:rPr>
          <w:rFonts w:hint="eastAsia" w:ascii="黑体" w:hAnsi="黑体" w:eastAsia="黑体" w:cs="黑体"/>
        </w:rPr>
        <w:t>2018-</w:t>
      </w:r>
      <w:r>
        <w:rPr>
          <w:rFonts w:hint="eastAsia" w:ascii="黑体" w:hAnsi="黑体" w:eastAsia="黑体" w:cs="黑体"/>
          <w:lang w:val="en-US" w:eastAsia="zh-CN"/>
        </w:rPr>
        <w:t>056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outlineLvl w:val="9"/>
        <w:rPr>
          <w:rFonts w:eastAsia="黑体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outlineLvl w:val="9"/>
        <w:rPr>
          <w:b/>
          <w:bCs/>
          <w:color w:val="000000"/>
          <w:sz w:val="32"/>
        </w:rPr>
      </w:pPr>
      <w:r>
        <w:rPr>
          <w:rFonts w:ascii="黑体" w:eastAsia="黑体"/>
          <w:b/>
          <w:bCs/>
          <w:color w:val="FF0000"/>
          <w:sz w:val="36"/>
          <w:szCs w:val="36"/>
        </w:rPr>
        <w:t>兖州煤业股份有限公司</w:t>
      </w:r>
      <w:r>
        <w:rPr>
          <w:rFonts w:hint="eastAsia" w:ascii="黑体" w:eastAsia="黑体"/>
          <w:b/>
          <w:bCs/>
          <w:color w:val="FF0000"/>
          <w:sz w:val="36"/>
          <w:szCs w:val="36"/>
        </w:rPr>
        <w:t>提示性</w:t>
      </w:r>
      <w:r>
        <w:rPr>
          <w:rFonts w:ascii="黑体" w:eastAsia="黑体"/>
          <w:b/>
          <w:bCs/>
          <w:color w:val="FF0000"/>
          <w:sz w:val="36"/>
          <w:szCs w:val="36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outlineLvl w:val="9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330200</wp:posOffset>
                </wp:positionV>
                <wp:extent cx="5372100" cy="980440"/>
                <wp:effectExtent l="9525" t="6350" r="9525" b="133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80" w:lineRule="exact"/>
                              <w:ind w:firstLine="560" w:firstLineChars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本公司董事会及全体董事保证本公告内容不存在任何虚假记载、误导性陈述或者重大遗漏，并对其内容的真实性、准确性和完整性承担个别及连带责任。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pt;margin-top:26pt;height:77.2pt;width:423pt;z-index:251659264;mso-width-relative:page;mso-height-relative:page;" fillcolor="#FFFFFF" filled="t" stroked="t" coordsize="21600,21600" o:gfxdata="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L&#10;SBFT1wAAAAkBAAAPAAAAAAAAAAEAIAAAACIAAABkcnMvZG93bnJldi54bWxQSwECFAAUAAAACACH&#10;TuJACgEcsiUCAAA5BAAADgAAAAAAAAABACAAAAAm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80" w:lineRule="exact"/>
                        <w:ind w:firstLine="560" w:firstLineChars="20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本公司董事会及全体董事保证本公告内容不存在任何虚假记载、误导性陈述或者重大遗漏，并对其内容的真实性、准确性和完整性承担个别及连带责任。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left="359" w:leftChars="171"/>
        <w:textAlignment w:val="auto"/>
        <w:outlineLvl w:val="9"/>
        <w:rPr>
          <w:color w:val="FF0000"/>
          <w:sz w:val="24"/>
          <w:szCs w:val="24"/>
        </w:rPr>
      </w:pPr>
      <w:r>
        <w:rPr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outlineLvl w:val="9"/>
        <w:rPr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20" w:lineRule="exact"/>
        <w:ind w:firstLine="560" w:firstLineChars="200"/>
        <w:textAlignment w:val="auto"/>
        <w:outlineLvl w:val="9"/>
        <w:rPr>
          <w:sz w:val="28"/>
        </w:rPr>
      </w:pPr>
      <w:bookmarkStart w:id="0" w:name="继续"/>
      <w:bookmarkEnd w:id="0"/>
      <w:r>
        <w:rPr>
          <w:sz w:val="28"/>
        </w:rPr>
        <w:t>兖州煤业股份有限公司（“公司”）</w:t>
      </w:r>
      <w:r>
        <w:rPr>
          <w:rFonts w:hint="eastAsia"/>
          <w:sz w:val="28"/>
        </w:rPr>
        <w:t>下属子公司兖州煤业澳大利亚有限公司（“兖煤澳洲”）于2018年6月15日在澳大利亚证券交易所刊发公告，称：“兖州煤业澳大利亚有限公司（澳交所代码：YAL）注意到，《国际金融评论(亚洲)》近日发文推测，</w:t>
      </w:r>
      <w:r>
        <w:rPr>
          <w:rFonts w:hint="eastAsia"/>
          <w:sz w:val="28"/>
          <w:lang w:val="en-US" w:eastAsia="zh-CN"/>
        </w:rPr>
        <w:t>兖煤澳洲</w:t>
      </w:r>
      <w:r>
        <w:rPr>
          <w:rFonts w:hint="eastAsia"/>
          <w:sz w:val="28"/>
        </w:rPr>
        <w:t>正在计划今年在香港双重上市，募资规模6亿-8亿美元。兖煤澳洲持续考虑多种方案以帮助提高</w:t>
      </w:r>
      <w:r>
        <w:rPr>
          <w:rFonts w:hint="eastAsia"/>
          <w:sz w:val="28"/>
          <w:lang w:val="en-US" w:eastAsia="zh-CN"/>
        </w:rPr>
        <w:t>其</w:t>
      </w:r>
      <w:r>
        <w:rPr>
          <w:rFonts w:hint="eastAsia"/>
          <w:sz w:val="28"/>
        </w:rPr>
        <w:t>股票流动性和支持</w:t>
      </w:r>
      <w:r>
        <w:rPr>
          <w:rFonts w:hint="eastAsia"/>
          <w:sz w:val="28"/>
          <w:lang w:val="en-US" w:eastAsia="zh-CN"/>
        </w:rPr>
        <w:t>其</w:t>
      </w:r>
      <w:r>
        <w:rPr>
          <w:rFonts w:hint="eastAsia"/>
          <w:sz w:val="28"/>
        </w:rPr>
        <w:t>持续发展。兖煤澳洲确认，兖煤澳洲董事会目前未就</w:t>
      </w:r>
      <w:r>
        <w:rPr>
          <w:rFonts w:hint="eastAsia"/>
          <w:sz w:val="28"/>
          <w:lang w:val="en-US" w:eastAsia="zh-CN"/>
        </w:rPr>
        <w:t>其</w:t>
      </w:r>
      <w:r>
        <w:rPr>
          <w:rFonts w:hint="eastAsia"/>
          <w:sz w:val="28"/>
        </w:rPr>
        <w:t>在香港双重上市作出决议，并强调该事项的继续推进存在不确定性。”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outlineLvl w:val="9"/>
        <w:rPr>
          <w:sz w:val="28"/>
        </w:rPr>
      </w:pPr>
      <w:r>
        <w:rPr>
          <w:rFonts w:hint="eastAsia"/>
          <w:sz w:val="28"/>
        </w:rPr>
        <w:t>公司董事会从兖煤澳洲获悉，兖煤澳洲在持续考虑多种方案以帮助提高</w:t>
      </w:r>
      <w:r>
        <w:rPr>
          <w:rFonts w:hint="eastAsia"/>
          <w:sz w:val="28"/>
          <w:lang w:val="en-US" w:eastAsia="zh-CN"/>
        </w:rPr>
        <w:t>其</w:t>
      </w:r>
      <w:r>
        <w:rPr>
          <w:rFonts w:hint="eastAsia"/>
          <w:sz w:val="28"/>
        </w:rPr>
        <w:t>股票流动性和支持</w:t>
      </w:r>
      <w:r>
        <w:rPr>
          <w:rFonts w:hint="eastAsia"/>
          <w:sz w:val="28"/>
          <w:lang w:val="en-US" w:eastAsia="zh-CN"/>
        </w:rPr>
        <w:t>其</w:t>
      </w:r>
      <w:r>
        <w:rPr>
          <w:rFonts w:hint="eastAsia"/>
          <w:sz w:val="28"/>
        </w:rPr>
        <w:t>持续发展，兖煤澳洲未就</w:t>
      </w:r>
      <w:r>
        <w:rPr>
          <w:rFonts w:hint="eastAsia"/>
          <w:sz w:val="28"/>
          <w:lang w:val="en-US" w:eastAsia="zh-CN"/>
        </w:rPr>
        <w:t>其</w:t>
      </w:r>
      <w:r>
        <w:rPr>
          <w:rFonts w:hint="eastAsia"/>
          <w:sz w:val="28"/>
        </w:rPr>
        <w:t>在香港双重上市作出决议，并强调该事项的继续推进存在不确定性。截至目前，公司无兖煤澳洲双重上市的确定安排。公司将在获得进一步确定安排后，按照相关规定，及时履行必要的审批程序和信息披露义务。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outlineLvl w:val="9"/>
        <w:rPr>
          <w:sz w:val="28"/>
        </w:rPr>
      </w:pPr>
      <w:r>
        <w:rPr>
          <w:rFonts w:hint="eastAsia"/>
          <w:sz w:val="28"/>
        </w:rPr>
        <w:t>公司郑重提醒广大投资者，有关信息请以公司在《中国证券报》、《上海证券报》、《证券时报》及上海证券交易所网站（www.sse.com.cn）披露的公告为准。敬请广大投资者理性投资，注意投资风险。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right"/>
        <w:textAlignment w:val="auto"/>
        <w:outlineLvl w:val="9"/>
        <w:rPr>
          <w:rFonts w:hint="eastAsia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right"/>
        <w:textAlignment w:val="auto"/>
        <w:outlineLvl w:val="9"/>
        <w:rPr>
          <w:sz w:val="28"/>
        </w:rPr>
      </w:pPr>
      <w:r>
        <w:rPr>
          <w:rFonts w:hint="eastAsia"/>
          <w:sz w:val="28"/>
        </w:rPr>
        <w:t>兖州煤业股份有限公司董事会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right"/>
        <w:textAlignment w:val="auto"/>
        <w:outlineLvl w:val="9"/>
      </w:pPr>
      <w:r>
        <w:rPr>
          <w:rFonts w:hint="eastAsia"/>
          <w:sz w:val="28"/>
        </w:rPr>
        <w:t>2018年6月15日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B38"/>
    <w:rsid w:val="00050084"/>
    <w:rsid w:val="000D5381"/>
    <w:rsid w:val="000E0A55"/>
    <w:rsid w:val="00110A3E"/>
    <w:rsid w:val="001F2E48"/>
    <w:rsid w:val="0027146C"/>
    <w:rsid w:val="00386D7F"/>
    <w:rsid w:val="00390CC2"/>
    <w:rsid w:val="003C4A0A"/>
    <w:rsid w:val="00410EBA"/>
    <w:rsid w:val="00432176"/>
    <w:rsid w:val="004445C2"/>
    <w:rsid w:val="004829B5"/>
    <w:rsid w:val="00482A47"/>
    <w:rsid w:val="00497CD9"/>
    <w:rsid w:val="004A7F19"/>
    <w:rsid w:val="004C0602"/>
    <w:rsid w:val="005340FB"/>
    <w:rsid w:val="005371DF"/>
    <w:rsid w:val="00545AAE"/>
    <w:rsid w:val="00567341"/>
    <w:rsid w:val="00576C97"/>
    <w:rsid w:val="005A219B"/>
    <w:rsid w:val="00637FA6"/>
    <w:rsid w:val="00684E13"/>
    <w:rsid w:val="006B1001"/>
    <w:rsid w:val="00763B38"/>
    <w:rsid w:val="008579D1"/>
    <w:rsid w:val="00902776"/>
    <w:rsid w:val="00926216"/>
    <w:rsid w:val="0094171B"/>
    <w:rsid w:val="00986E59"/>
    <w:rsid w:val="009A757C"/>
    <w:rsid w:val="009B67E5"/>
    <w:rsid w:val="00A10F07"/>
    <w:rsid w:val="00A408EF"/>
    <w:rsid w:val="00A63A3F"/>
    <w:rsid w:val="00AE2522"/>
    <w:rsid w:val="00AE613F"/>
    <w:rsid w:val="00B56627"/>
    <w:rsid w:val="00BF03B1"/>
    <w:rsid w:val="00BF2063"/>
    <w:rsid w:val="00C75393"/>
    <w:rsid w:val="00D2227B"/>
    <w:rsid w:val="00D37B75"/>
    <w:rsid w:val="00D4471C"/>
    <w:rsid w:val="00DE64B3"/>
    <w:rsid w:val="00E7636B"/>
    <w:rsid w:val="00E84BE2"/>
    <w:rsid w:val="00E95D9B"/>
    <w:rsid w:val="00EC32E4"/>
    <w:rsid w:val="00ED24F5"/>
    <w:rsid w:val="00F3636C"/>
    <w:rsid w:val="00F455F8"/>
    <w:rsid w:val="00F956EE"/>
    <w:rsid w:val="00F97055"/>
    <w:rsid w:val="00FA00FA"/>
    <w:rsid w:val="00FA18B5"/>
    <w:rsid w:val="00FC3A1F"/>
    <w:rsid w:val="00FE307D"/>
    <w:rsid w:val="00FF6A01"/>
    <w:rsid w:val="0F362AB3"/>
    <w:rsid w:val="3A3A2126"/>
    <w:rsid w:val="6856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 &amp; Wood Mallesons</Company>
  <Pages>2</Pages>
  <Words>99</Words>
  <Characters>565</Characters>
  <Lines>4</Lines>
  <Paragraphs>1</Paragraphs>
  <TotalTime>82</TotalTime>
  <ScaleCrop>false</ScaleCrop>
  <LinksUpToDate>false</LinksUpToDate>
  <CharactersWithSpaces>663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2018-06-14T12:14:00Z</dcterms:created>
  <dc:creator>KWM</dc:creator>
  <cp:lastModifiedBy>大浪淘沙</cp:lastModifiedBy>
  <cp:lastPrinted>2018-06-14T23:05:47Z</cp:lastPrinted>
  <dcterms:modified xsi:type="dcterms:W3CDTF">2018-06-14T23:06:00Z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