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黑体" w:eastAsia="黑体"/>
          <w:szCs w:val="20"/>
          <w:lang w:val="en-US"/>
        </w:rPr>
      </w:pPr>
      <w:r>
        <w:rPr>
          <w:rFonts w:hint="eastAsia" w:ascii="黑体" w:eastAsia="黑体"/>
          <w:szCs w:val="20"/>
        </w:rPr>
        <w:t>股票简称：兖矿能源              股票代码：600188            编号：临</w:t>
      </w:r>
      <w:r>
        <w:rPr>
          <w:rFonts w:ascii="黑体" w:eastAsia="黑体"/>
          <w:szCs w:val="20"/>
        </w:rPr>
        <w:t>2025</w:t>
      </w:r>
      <w:r>
        <w:rPr>
          <w:rFonts w:hint="eastAsia" w:ascii="黑体" w:eastAsia="黑体"/>
          <w:szCs w:val="20"/>
        </w:rPr>
        <w:t>-</w:t>
      </w:r>
      <w:r>
        <w:rPr>
          <w:rFonts w:hint="default" w:ascii="黑体" w:eastAsia="黑体"/>
          <w:szCs w:val="20"/>
          <w:lang w:val="en-US"/>
        </w:rPr>
        <w:t>058</w:t>
      </w:r>
    </w:p>
    <w:p>
      <w:pPr>
        <w:jc w:val="center"/>
        <w:rPr>
          <w:rFonts w:ascii="宋体" w:hAnsi="宋体"/>
          <w:sz w:val="30"/>
        </w:rPr>
      </w:pPr>
    </w:p>
    <w:p>
      <w:pPr>
        <w:spacing w:line="560" w:lineRule="exact"/>
        <w:jc w:val="center"/>
        <w:rPr>
          <w:rFonts w:ascii="黑体" w:eastAsia="黑体"/>
          <w:b/>
          <w:bCs/>
          <w:color w:val="FF0000"/>
          <w:sz w:val="36"/>
          <w:szCs w:val="36"/>
        </w:rPr>
      </w:pPr>
      <w:r>
        <w:rPr>
          <w:rFonts w:hint="eastAsia" w:ascii="黑体" w:eastAsia="黑体"/>
          <w:b/>
          <w:bCs/>
          <w:color w:val="FF0000"/>
          <w:sz w:val="36"/>
          <w:szCs w:val="36"/>
        </w:rPr>
        <w:t>兖矿能源集团股份有限公司</w:t>
      </w:r>
    </w:p>
    <w:p>
      <w:pPr>
        <w:spacing w:line="560" w:lineRule="exact"/>
        <w:jc w:val="center"/>
        <w:rPr>
          <w:rFonts w:ascii="黑体" w:eastAsia="黑体"/>
          <w:b/>
          <w:bCs/>
          <w:color w:val="FF0000"/>
          <w:sz w:val="36"/>
          <w:szCs w:val="36"/>
        </w:rPr>
      </w:pPr>
      <w:bookmarkStart w:id="0" w:name="OLE_LINK3"/>
      <w:r>
        <w:rPr>
          <w:rFonts w:hint="eastAsia" w:ascii="黑体" w:eastAsia="黑体"/>
          <w:b/>
          <w:bCs/>
          <w:color w:val="FF0000"/>
          <w:sz w:val="36"/>
          <w:szCs w:val="36"/>
        </w:rPr>
        <w:t>关于回购股份事项前十名股东和前十名无限售条件股东持股情况的公告</w:t>
      </w:r>
      <w:bookmarkEnd w:id="0"/>
    </w:p>
    <w:p>
      <w:pPr>
        <w:jc w:val="center"/>
        <w:rPr>
          <w:rFonts w:hint="eastAsia" w:eastAsia="宋体"/>
          <w:b/>
          <w:bCs/>
          <w:sz w:val="20"/>
          <w:lang w:eastAsia="zh-CN"/>
        </w:rPr>
      </w:pPr>
      <w:r>
        <w:rPr>
          <w:b/>
          <w:b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137160</wp:posOffset>
                </wp:positionV>
                <wp:extent cx="5257800" cy="1019175"/>
                <wp:effectExtent l="9525" t="9525" r="9525" b="9525"/>
                <wp:wrapNone/>
                <wp:docPr id="1"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5257800" cy="1019175"/>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文本框 64" o:spid="_x0000_s1026" o:spt="202" type="#_x0000_t202" style="position:absolute;left:0pt;margin-left:0pt;margin-top:10.8pt;height:80.25pt;width:414pt;z-index:251659264;mso-width-relative:page;mso-height-relative:page;" fillcolor="#FFFFFF" filled="t" stroked="t" coordsize="21600,21600" o:gfxdata="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CE/mx1gAAAAcBAAAPAAAAAAAAAAEAIAAAACIA&#10;AABkcnMvZG93bnJldi54bWxQSwECFAAUAAAACACHTuJARnLNr0QCAACJBAAADgAAAAAAAAABACAA&#10;AAAlAQAAZHJzL2Uyb0RvYy54bWxQSwUGAAAAAAYABgBZAQAA2wU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jc w:val="center"/>
        <w:rPr>
          <w:rFonts w:hint="eastAsia" w:eastAsia="宋体"/>
          <w:b/>
          <w:bCs/>
          <w:sz w:val="20"/>
          <w:lang w:eastAsia="zh-CN"/>
        </w:rPr>
      </w:pPr>
    </w:p>
    <w:p>
      <w:pPr>
        <w:jc w:val="center"/>
        <w:rPr>
          <w:rFonts w:ascii="宋体" w:hAnsi="宋体"/>
          <w:sz w:val="30"/>
        </w:rPr>
      </w:pPr>
    </w:p>
    <w:p>
      <w:pPr>
        <w:autoSpaceDE w:val="0"/>
        <w:autoSpaceDN w:val="0"/>
        <w:adjustRightInd w:val="0"/>
        <w:spacing w:line="560" w:lineRule="exact"/>
        <w:ind w:left="600"/>
        <w:jc w:val="left"/>
        <w:rPr>
          <w:rFonts w:ascii="宋体" w:hAnsi="宋体"/>
          <w:sz w:val="28"/>
          <w:szCs w:val="28"/>
        </w:rPr>
      </w:pPr>
    </w:p>
    <w:p>
      <w:pPr>
        <w:autoSpaceDE w:val="0"/>
        <w:autoSpaceDN w:val="0"/>
        <w:adjustRightInd w:val="0"/>
        <w:spacing w:before="157" w:beforeLines="50" w:line="560" w:lineRule="exact"/>
        <w:ind w:firstLine="560" w:firstLineChars="200"/>
        <w:rPr>
          <w:rFonts w:ascii="宋体" w:hAnsi="宋体"/>
          <w:sz w:val="28"/>
          <w:szCs w:val="28"/>
        </w:rPr>
      </w:pPr>
      <w:r>
        <w:rPr>
          <w:rFonts w:hint="eastAsia" w:ascii="宋体" w:hAnsi="宋体"/>
          <w:sz w:val="28"/>
          <w:szCs w:val="28"/>
        </w:rPr>
        <w:t>兖矿能源集团股份有限公司（“本公司”“公司”）于2</w:t>
      </w:r>
      <w:r>
        <w:rPr>
          <w:rFonts w:ascii="宋体" w:hAnsi="宋体"/>
          <w:sz w:val="28"/>
          <w:szCs w:val="28"/>
        </w:rPr>
        <w:t>025</w:t>
      </w:r>
      <w:r>
        <w:rPr>
          <w:rFonts w:hint="eastAsia" w:ascii="宋体" w:hAnsi="宋体"/>
          <w:sz w:val="28"/>
          <w:szCs w:val="28"/>
        </w:rPr>
        <w:t>年8月2</w:t>
      </w:r>
      <w:r>
        <w:rPr>
          <w:rFonts w:ascii="宋体" w:hAnsi="宋体"/>
          <w:sz w:val="28"/>
          <w:szCs w:val="28"/>
        </w:rPr>
        <w:t>9</w:t>
      </w:r>
      <w:r>
        <w:rPr>
          <w:rFonts w:hint="eastAsia" w:ascii="宋体" w:hAnsi="宋体"/>
          <w:sz w:val="28"/>
          <w:szCs w:val="28"/>
        </w:rPr>
        <w:t>日召开第九届董事会第十八次会议，审议批准《关于回购</w:t>
      </w:r>
      <w:r>
        <w:rPr>
          <w:rFonts w:hint="eastAsia" w:ascii="宋体" w:hAnsi="宋体"/>
          <w:sz w:val="28"/>
          <w:szCs w:val="28"/>
          <w:lang w:val="en-US" w:eastAsia="zh-CN"/>
        </w:rPr>
        <w:t>公司</w:t>
      </w:r>
      <w:r>
        <w:rPr>
          <w:rFonts w:hint="eastAsia" w:ascii="宋体" w:hAnsi="宋体"/>
          <w:sz w:val="28"/>
          <w:szCs w:val="28"/>
        </w:rPr>
        <w:t>A股股份的议案》，具体内容详见公</w:t>
      </w:r>
      <w:r>
        <w:rPr>
          <w:rFonts w:hint="eastAsia" w:ascii="宋体" w:hAnsi="宋体"/>
          <w:sz w:val="28"/>
          <w:szCs w:val="28"/>
          <w:lang w:val="en-US" w:eastAsia="zh-CN"/>
        </w:rPr>
        <w:t>告日期为</w:t>
      </w:r>
      <w:r>
        <w:rPr>
          <w:rFonts w:hint="eastAsia" w:ascii="宋体" w:hAnsi="宋体"/>
          <w:sz w:val="28"/>
          <w:szCs w:val="28"/>
        </w:rPr>
        <w:t>2</w:t>
      </w:r>
      <w:r>
        <w:rPr>
          <w:rFonts w:ascii="宋体" w:hAnsi="宋体"/>
          <w:sz w:val="28"/>
          <w:szCs w:val="28"/>
        </w:rPr>
        <w:t>025</w:t>
      </w:r>
      <w:r>
        <w:rPr>
          <w:rFonts w:hint="eastAsia" w:ascii="宋体" w:hAnsi="宋体"/>
          <w:sz w:val="28"/>
          <w:szCs w:val="28"/>
        </w:rPr>
        <w:t>年8月</w:t>
      </w:r>
      <w:r>
        <w:rPr>
          <w:rFonts w:hint="eastAsia" w:ascii="宋体" w:hAnsi="宋体"/>
          <w:sz w:val="28"/>
          <w:szCs w:val="28"/>
          <w:lang w:val="en-US" w:eastAsia="zh-CN"/>
        </w:rPr>
        <w:t>30</w:t>
      </w:r>
      <w:r>
        <w:rPr>
          <w:rFonts w:hint="eastAsia" w:ascii="宋体" w:hAnsi="宋体"/>
          <w:sz w:val="28"/>
          <w:szCs w:val="28"/>
        </w:rPr>
        <w:t>日的《关于以集中竞价交易方式回购股份的回购报告书》（公告编号：临2</w:t>
      </w:r>
      <w:r>
        <w:rPr>
          <w:rFonts w:ascii="宋体" w:hAnsi="宋体"/>
          <w:sz w:val="28"/>
          <w:szCs w:val="28"/>
        </w:rPr>
        <w:t>025-055</w:t>
      </w:r>
      <w:r>
        <w:rPr>
          <w:rFonts w:hint="eastAsia" w:ascii="宋体" w:hAnsi="宋体"/>
          <w:sz w:val="28"/>
          <w:szCs w:val="28"/>
        </w:rPr>
        <w:t>）。</w:t>
      </w:r>
    </w:p>
    <w:p>
      <w:pPr>
        <w:autoSpaceDE w:val="0"/>
        <w:autoSpaceDN w:val="0"/>
        <w:adjustRightInd w:val="0"/>
        <w:spacing w:line="560" w:lineRule="exact"/>
        <w:ind w:firstLine="560" w:firstLineChars="200"/>
        <w:rPr>
          <w:rFonts w:ascii="宋体" w:hAnsi="宋体"/>
          <w:sz w:val="28"/>
          <w:szCs w:val="28"/>
        </w:rPr>
      </w:pPr>
      <w:r>
        <w:rPr>
          <w:rFonts w:hint="eastAsia" w:ascii="宋体" w:hAnsi="宋体"/>
          <w:sz w:val="28"/>
          <w:szCs w:val="28"/>
        </w:rPr>
        <w:t>根据中国证券监督管理委员会《上市公司股份回购规则》</w:t>
      </w:r>
      <w:r>
        <w:rPr>
          <w:rFonts w:hint="eastAsia" w:ascii="宋体" w:hAnsi="宋体"/>
          <w:sz w:val="28"/>
          <w:szCs w:val="28"/>
          <w:lang w:eastAsia="zh-CN"/>
        </w:rPr>
        <w:t>、</w:t>
      </w:r>
      <w:r>
        <w:rPr>
          <w:rFonts w:hint="eastAsia" w:ascii="宋体" w:hAnsi="宋体"/>
          <w:sz w:val="28"/>
          <w:szCs w:val="28"/>
        </w:rPr>
        <w:t>《上海证券交易所上市公司自律监管指引第7号——回购股份》等相关规定，现将公司董事会公告</w:t>
      </w:r>
      <w:r>
        <w:rPr>
          <w:rFonts w:hint="eastAsia" w:ascii="宋体" w:hAnsi="宋体"/>
          <w:sz w:val="28"/>
          <w:szCs w:val="28"/>
          <w:lang w:val="en-US" w:eastAsia="zh-CN"/>
        </w:rPr>
        <w:t>回购股份决议</w:t>
      </w:r>
      <w:r>
        <w:rPr>
          <w:rFonts w:hint="eastAsia" w:ascii="宋体" w:hAnsi="宋体"/>
          <w:sz w:val="28"/>
          <w:szCs w:val="28"/>
        </w:rPr>
        <w:t>的前一个交易日（2</w:t>
      </w:r>
      <w:r>
        <w:rPr>
          <w:rFonts w:ascii="宋体" w:hAnsi="宋体"/>
          <w:sz w:val="28"/>
          <w:szCs w:val="28"/>
        </w:rPr>
        <w:t>025</w:t>
      </w:r>
      <w:r>
        <w:rPr>
          <w:rFonts w:hint="eastAsia" w:ascii="宋体" w:hAnsi="宋体"/>
          <w:sz w:val="28"/>
          <w:szCs w:val="28"/>
        </w:rPr>
        <w:t>年8月2</w:t>
      </w:r>
      <w:r>
        <w:rPr>
          <w:rFonts w:hint="eastAsia" w:ascii="宋体" w:hAnsi="宋体"/>
          <w:sz w:val="28"/>
          <w:szCs w:val="28"/>
          <w:lang w:val="en-US" w:eastAsia="zh-CN"/>
        </w:rPr>
        <w:t>9</w:t>
      </w:r>
      <w:r>
        <w:rPr>
          <w:rFonts w:hint="eastAsia" w:ascii="宋体" w:hAnsi="宋体"/>
          <w:sz w:val="28"/>
          <w:szCs w:val="28"/>
        </w:rPr>
        <w:t>日）收市后登记在册的前十名股东和前十名无限售条件股东的名称及持股数量、比例情况公告如下：</w:t>
      </w:r>
    </w:p>
    <w:p>
      <w:pPr>
        <w:autoSpaceDE w:val="0"/>
        <w:autoSpaceDN w:val="0"/>
        <w:adjustRightInd w:val="0"/>
        <w:spacing w:after="100" w:afterAutospacing="1" w:line="560" w:lineRule="exact"/>
        <w:ind w:firstLine="562" w:firstLineChars="200"/>
        <w:rPr>
          <w:rFonts w:ascii="宋体" w:hAnsi="宋体"/>
          <w:b/>
          <w:sz w:val="28"/>
          <w:szCs w:val="28"/>
        </w:rPr>
      </w:pPr>
      <w:r>
        <w:rPr>
          <w:rFonts w:hint="eastAsia" w:ascii="宋体" w:hAnsi="宋体"/>
          <w:b/>
          <w:sz w:val="28"/>
          <w:szCs w:val="28"/>
        </w:rPr>
        <w:t>一、公司前十名股东持股情况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055"/>
        <w:gridCol w:w="1950"/>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Pr>
          <w:p>
            <w:pPr>
              <w:jc w:val="center"/>
              <w:rPr>
                <w:b/>
                <w:sz w:val="24"/>
              </w:rPr>
            </w:pPr>
            <w:bookmarkStart w:id="1" w:name="OLE_LINK1"/>
            <w:r>
              <w:rPr>
                <w:rFonts w:hint="eastAsia"/>
                <w:b/>
                <w:sz w:val="24"/>
              </w:rPr>
              <w:t>序号</w:t>
            </w:r>
          </w:p>
        </w:tc>
        <w:tc>
          <w:tcPr>
            <w:tcW w:w="3055" w:type="dxa"/>
            <w:vAlign w:val="top"/>
          </w:tcPr>
          <w:p>
            <w:pPr>
              <w:jc w:val="center"/>
              <w:rPr>
                <w:b/>
                <w:sz w:val="24"/>
              </w:rPr>
            </w:pPr>
            <w:r>
              <w:rPr>
                <w:rFonts w:hint="eastAsia"/>
                <w:b/>
                <w:sz w:val="24"/>
              </w:rPr>
              <w:t>股东名称</w:t>
            </w:r>
          </w:p>
        </w:tc>
        <w:tc>
          <w:tcPr>
            <w:tcW w:w="1950" w:type="dxa"/>
          </w:tcPr>
          <w:p>
            <w:pPr>
              <w:jc w:val="center"/>
              <w:rPr>
                <w:b/>
                <w:sz w:val="24"/>
              </w:rPr>
            </w:pPr>
            <w:r>
              <w:rPr>
                <w:rFonts w:hint="eastAsia"/>
                <w:b/>
                <w:sz w:val="24"/>
              </w:rPr>
              <w:t>持股数量（股）</w:t>
            </w:r>
          </w:p>
        </w:tc>
        <w:tc>
          <w:tcPr>
            <w:tcW w:w="2587" w:type="dxa"/>
          </w:tcPr>
          <w:p>
            <w:pPr>
              <w:jc w:val="center"/>
              <w:rPr>
                <w:rFonts w:hint="default" w:eastAsia="宋体"/>
                <w:b/>
                <w:sz w:val="24"/>
                <w:szCs w:val="24"/>
                <w:vertAlign w:val="superscript"/>
                <w:lang w:val="en-US" w:eastAsia="zh-CN"/>
              </w:rPr>
            </w:pPr>
            <w:r>
              <w:rPr>
                <w:rFonts w:hint="eastAsia"/>
                <w:b/>
                <w:sz w:val="24"/>
              </w:rPr>
              <w:t>占总股本比例（%）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3055" w:type="dxa"/>
            <w:vAlign w:val="top"/>
          </w:tcPr>
          <w:p>
            <w:pPr>
              <w:jc w:val="both"/>
              <w:rPr>
                <w:rFonts w:hint="eastAsia" w:ascii="宋体" w:hAnsi="宋体" w:eastAsia="宋体" w:cs="宋体"/>
                <w:sz w:val="24"/>
                <w:vertAlign w:val="superscript"/>
                <w:lang w:val="en-US" w:eastAsia="zh-CN"/>
              </w:rPr>
            </w:pPr>
            <w:r>
              <w:rPr>
                <w:rFonts w:hint="eastAsia" w:ascii="宋体" w:hAnsi="宋体" w:eastAsia="宋体" w:cs="宋体"/>
                <w:sz w:val="24"/>
              </w:rPr>
              <w:t>山东能源集团有限公司</w:t>
            </w:r>
            <w:r>
              <w:rPr>
                <w:rFonts w:hint="eastAsia" w:ascii="宋体" w:hAnsi="宋体" w:cs="宋体"/>
                <w:sz w:val="24"/>
                <w:vertAlign w:val="superscript"/>
                <w:lang w:val="en-US" w:eastAsia="zh-CN"/>
              </w:rPr>
              <w:t>①</w:t>
            </w:r>
          </w:p>
        </w:tc>
        <w:tc>
          <w:tcPr>
            <w:tcW w:w="1950" w:type="dxa"/>
          </w:tcPr>
          <w:p>
            <w:pPr>
              <w:jc w:val="right"/>
              <w:rPr>
                <w:rFonts w:hint="default" w:ascii="宋体" w:hAnsi="宋体" w:eastAsia="宋体" w:cs="宋体"/>
                <w:sz w:val="24"/>
                <w:lang w:val="en-US" w:eastAsia="zh-CN"/>
              </w:rPr>
            </w:pPr>
            <w:r>
              <w:rPr>
                <w:rFonts w:hint="eastAsia" w:ascii="宋体" w:hAnsi="宋体" w:cs="宋体"/>
                <w:sz w:val="24"/>
                <w:lang w:val="en-US" w:eastAsia="zh-CN"/>
              </w:rPr>
              <w:t>5,303,899,421</w:t>
            </w:r>
          </w:p>
        </w:tc>
        <w:tc>
          <w:tcPr>
            <w:tcW w:w="2587" w:type="dxa"/>
          </w:tcPr>
          <w:p>
            <w:pPr>
              <w:jc w:val="right"/>
              <w:rPr>
                <w:rFonts w:hint="default" w:ascii="宋体" w:hAnsi="宋体" w:eastAsia="宋体" w:cs="宋体"/>
                <w:sz w:val="24"/>
                <w:lang w:val="en-US" w:eastAsia="zh-CN"/>
              </w:rPr>
            </w:pPr>
            <w:r>
              <w:rPr>
                <w:rFonts w:hint="eastAsia" w:ascii="宋体" w:hAnsi="宋体" w:cs="宋体"/>
                <w:sz w:val="24"/>
                <w:lang w:val="en-US" w:eastAsia="zh-CN"/>
              </w:rPr>
              <w:t>52.84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3055" w:type="dxa"/>
            <w:vAlign w:val="top"/>
          </w:tcPr>
          <w:p>
            <w:pPr>
              <w:jc w:val="both"/>
              <w:rPr>
                <w:rFonts w:hint="default" w:ascii="宋体" w:hAnsi="宋体" w:eastAsia="宋体" w:cs="宋体"/>
                <w:sz w:val="24"/>
                <w:vertAlign w:val="superscript"/>
                <w:lang w:val="en-US" w:eastAsia="zh-CN"/>
              </w:rPr>
            </w:pPr>
            <w:r>
              <w:rPr>
                <w:rFonts w:hint="eastAsia" w:ascii="宋体" w:hAnsi="宋体" w:eastAsia="宋体" w:cs="宋体"/>
                <w:sz w:val="24"/>
              </w:rPr>
              <w:t>香港中央结算</w:t>
            </w:r>
            <w:r>
              <w:rPr>
                <w:rFonts w:hint="eastAsia" w:ascii="宋体" w:hAnsi="宋体" w:cs="宋体"/>
                <w:sz w:val="24"/>
                <w:lang w:eastAsia="zh-CN"/>
              </w:rPr>
              <w:t>（</w:t>
            </w:r>
            <w:r>
              <w:rPr>
                <w:rFonts w:hint="eastAsia" w:ascii="宋体" w:hAnsi="宋体" w:cs="宋体"/>
                <w:sz w:val="24"/>
                <w:lang w:val="en-US" w:eastAsia="zh-CN"/>
              </w:rPr>
              <w:t>代理人</w:t>
            </w:r>
            <w:r>
              <w:rPr>
                <w:rFonts w:hint="eastAsia" w:ascii="宋体" w:hAnsi="宋体" w:cs="宋体"/>
                <w:sz w:val="24"/>
                <w:lang w:eastAsia="zh-CN"/>
              </w:rPr>
              <w:t>）</w:t>
            </w:r>
            <w:r>
              <w:rPr>
                <w:rFonts w:hint="eastAsia" w:ascii="宋体" w:hAnsi="宋体" w:eastAsia="宋体" w:cs="宋体"/>
                <w:sz w:val="24"/>
              </w:rPr>
              <w:t>有限公司</w:t>
            </w:r>
          </w:p>
        </w:tc>
        <w:tc>
          <w:tcPr>
            <w:tcW w:w="1950" w:type="dxa"/>
            <w:vAlign w:val="center"/>
          </w:tcPr>
          <w:p>
            <w:pPr>
              <w:jc w:val="right"/>
              <w:rPr>
                <w:rFonts w:hint="default" w:ascii="宋体" w:hAnsi="宋体" w:eastAsia="宋体" w:cs="宋体"/>
                <w:sz w:val="24"/>
                <w:lang w:val="en-US" w:eastAsia="zh-CN"/>
              </w:rPr>
            </w:pPr>
            <w:r>
              <w:rPr>
                <w:rFonts w:hint="eastAsia" w:ascii="宋体" w:hAnsi="宋体" w:cs="宋体"/>
                <w:sz w:val="24"/>
                <w:lang w:val="en-US" w:eastAsia="zh-CN"/>
              </w:rPr>
              <w:t>3,161,883,368</w:t>
            </w:r>
          </w:p>
        </w:tc>
        <w:tc>
          <w:tcPr>
            <w:tcW w:w="2587" w:type="dxa"/>
            <w:vAlign w:val="center"/>
          </w:tcPr>
          <w:p>
            <w:pPr>
              <w:jc w:val="right"/>
              <w:rPr>
                <w:rFonts w:hint="default" w:ascii="宋体" w:hAnsi="宋体" w:eastAsia="宋体" w:cs="宋体"/>
                <w:sz w:val="24"/>
                <w:lang w:val="en-US" w:eastAsia="zh-CN"/>
              </w:rPr>
            </w:pPr>
            <w:r>
              <w:rPr>
                <w:rFonts w:hint="eastAsia" w:ascii="宋体" w:hAnsi="宋体" w:cs="宋体"/>
                <w:sz w:val="24"/>
                <w:lang w:val="en-US" w:eastAsia="zh-CN"/>
              </w:rPr>
              <w:t>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3055" w:type="dxa"/>
            <w:vAlign w:val="top"/>
          </w:tcPr>
          <w:p>
            <w:pPr>
              <w:jc w:val="both"/>
              <w:rPr>
                <w:rFonts w:hint="eastAsia" w:ascii="宋体" w:hAnsi="宋体" w:eastAsia="宋体" w:cs="宋体"/>
                <w:sz w:val="24"/>
              </w:rPr>
            </w:pPr>
            <w:r>
              <w:rPr>
                <w:rFonts w:hint="eastAsia" w:ascii="宋体" w:hAnsi="宋体" w:eastAsia="宋体" w:cs="宋体"/>
                <w:sz w:val="24"/>
              </w:rPr>
              <w:t>香港中央结算有限公司</w:t>
            </w:r>
          </w:p>
        </w:tc>
        <w:tc>
          <w:tcPr>
            <w:tcW w:w="1950" w:type="dxa"/>
            <w:vAlign w:val="top"/>
          </w:tcPr>
          <w:p>
            <w:pPr>
              <w:jc w:val="right"/>
              <w:rPr>
                <w:rFonts w:hint="eastAsia" w:ascii="宋体" w:hAnsi="宋体" w:eastAsia="宋体" w:cs="宋体"/>
                <w:sz w:val="24"/>
              </w:rPr>
            </w:pPr>
            <w:r>
              <w:rPr>
                <w:rFonts w:hint="eastAsia" w:ascii="宋体" w:hAnsi="宋体" w:eastAsia="宋体" w:cs="宋体"/>
                <w:sz w:val="24"/>
              </w:rPr>
              <w:t>73</w:t>
            </w:r>
            <w:r>
              <w:rPr>
                <w:rFonts w:hint="eastAsia" w:ascii="宋体" w:hAnsi="宋体" w:cs="宋体"/>
                <w:sz w:val="24"/>
                <w:lang w:val="en-US" w:eastAsia="zh-CN"/>
              </w:rPr>
              <w:t>,</w:t>
            </w:r>
            <w:r>
              <w:rPr>
                <w:rFonts w:hint="eastAsia" w:ascii="宋体" w:hAnsi="宋体" w:eastAsia="宋体" w:cs="宋体"/>
                <w:sz w:val="24"/>
              </w:rPr>
              <w:t>236</w:t>
            </w:r>
            <w:r>
              <w:rPr>
                <w:rFonts w:hint="eastAsia" w:ascii="宋体" w:hAnsi="宋体" w:cs="宋体"/>
                <w:sz w:val="24"/>
                <w:lang w:val="en-US" w:eastAsia="zh-CN"/>
              </w:rPr>
              <w:t>,</w:t>
            </w:r>
            <w:r>
              <w:rPr>
                <w:rFonts w:hint="eastAsia" w:ascii="宋体" w:hAnsi="宋体" w:eastAsia="宋体" w:cs="宋体"/>
                <w:sz w:val="24"/>
              </w:rPr>
              <w:t>750</w:t>
            </w:r>
          </w:p>
        </w:tc>
        <w:tc>
          <w:tcPr>
            <w:tcW w:w="2587" w:type="dxa"/>
            <w:vAlign w:val="top"/>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3055" w:type="dxa"/>
            <w:vAlign w:val="top"/>
          </w:tcPr>
          <w:p>
            <w:pPr>
              <w:jc w:val="both"/>
              <w:rPr>
                <w:rFonts w:hint="eastAsia" w:ascii="宋体" w:hAnsi="宋体" w:eastAsia="宋体" w:cs="宋体"/>
                <w:sz w:val="24"/>
              </w:rPr>
            </w:pPr>
            <w:r>
              <w:rPr>
                <w:rFonts w:hint="eastAsia" w:ascii="宋体" w:hAnsi="宋体" w:eastAsia="宋体" w:cs="宋体"/>
                <w:sz w:val="24"/>
              </w:rPr>
              <w:t>中国工商银行股份有限公司－国泰中证煤炭交易型开放式指数证券投资基金</w:t>
            </w:r>
          </w:p>
        </w:tc>
        <w:tc>
          <w:tcPr>
            <w:tcW w:w="1950"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61</w:t>
            </w:r>
            <w:r>
              <w:rPr>
                <w:rFonts w:hint="eastAsia" w:ascii="宋体" w:hAnsi="宋体" w:cs="宋体"/>
                <w:sz w:val="24"/>
                <w:lang w:val="en-US" w:eastAsia="zh-CN"/>
              </w:rPr>
              <w:t>,</w:t>
            </w:r>
            <w:r>
              <w:rPr>
                <w:rFonts w:hint="eastAsia" w:ascii="宋体" w:hAnsi="宋体" w:eastAsia="宋体" w:cs="宋体"/>
                <w:sz w:val="24"/>
                <w:lang w:val="en-US" w:eastAsia="zh-CN"/>
              </w:rPr>
              <w:t>923</w:t>
            </w:r>
            <w:r>
              <w:rPr>
                <w:rFonts w:hint="eastAsia" w:ascii="宋体" w:hAnsi="宋体" w:cs="宋体"/>
                <w:sz w:val="24"/>
                <w:lang w:val="en-US" w:eastAsia="zh-CN"/>
              </w:rPr>
              <w:t>,</w:t>
            </w:r>
            <w:r>
              <w:rPr>
                <w:rFonts w:hint="eastAsia" w:ascii="宋体" w:hAnsi="宋体" w:eastAsia="宋体" w:cs="宋体"/>
                <w:sz w:val="24"/>
                <w:lang w:val="en-US" w:eastAsia="zh-CN"/>
              </w:rPr>
              <w:t>099</w:t>
            </w:r>
          </w:p>
        </w:tc>
        <w:tc>
          <w:tcPr>
            <w:tcW w:w="2587"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04"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3055" w:type="dxa"/>
            <w:vAlign w:val="top"/>
          </w:tcPr>
          <w:p>
            <w:pPr>
              <w:jc w:val="both"/>
              <w:rPr>
                <w:rFonts w:hint="eastAsia" w:ascii="宋体" w:hAnsi="宋体" w:eastAsia="宋体" w:cs="宋体"/>
                <w:sz w:val="24"/>
              </w:rPr>
            </w:pPr>
            <w:r>
              <w:rPr>
                <w:rFonts w:hint="eastAsia" w:ascii="宋体" w:hAnsi="宋体" w:eastAsia="宋体" w:cs="宋体"/>
                <w:sz w:val="24"/>
              </w:rPr>
              <w:t>中国工商银行股份有限公司－华泰柏瑞沪深300交易</w:t>
            </w:r>
            <w:r>
              <w:rPr>
                <w:rFonts w:hint="eastAsia" w:ascii="宋体" w:hAnsi="宋体" w:eastAsia="宋体" w:cs="宋体"/>
                <w:w w:val="99"/>
                <w:sz w:val="24"/>
              </w:rPr>
              <w:t>型开放式指数证券投资基金</w:t>
            </w:r>
          </w:p>
        </w:tc>
        <w:tc>
          <w:tcPr>
            <w:tcW w:w="1950" w:type="dxa"/>
            <w:vAlign w:val="center"/>
          </w:tcPr>
          <w:p>
            <w:pPr>
              <w:jc w:val="right"/>
              <w:rPr>
                <w:rFonts w:hint="eastAsia" w:ascii="宋体" w:hAnsi="宋体" w:eastAsia="宋体" w:cs="宋体"/>
                <w:sz w:val="24"/>
              </w:rPr>
            </w:pPr>
            <w:r>
              <w:rPr>
                <w:rFonts w:hint="eastAsia" w:ascii="宋体" w:hAnsi="宋体" w:eastAsia="宋体" w:cs="宋体"/>
                <w:sz w:val="24"/>
              </w:rPr>
              <w:t>31</w:t>
            </w:r>
            <w:r>
              <w:rPr>
                <w:rFonts w:hint="eastAsia" w:ascii="宋体" w:hAnsi="宋体" w:cs="宋体"/>
                <w:sz w:val="24"/>
                <w:lang w:val="en-US" w:eastAsia="zh-CN"/>
              </w:rPr>
              <w:t>,</w:t>
            </w:r>
            <w:r>
              <w:rPr>
                <w:rFonts w:hint="eastAsia" w:ascii="宋体" w:hAnsi="宋体" w:eastAsia="宋体" w:cs="宋体"/>
                <w:sz w:val="24"/>
              </w:rPr>
              <w:t>073</w:t>
            </w:r>
            <w:r>
              <w:rPr>
                <w:rFonts w:hint="eastAsia" w:ascii="宋体" w:hAnsi="宋体" w:cs="宋体"/>
                <w:sz w:val="24"/>
                <w:lang w:val="en-US" w:eastAsia="zh-CN"/>
              </w:rPr>
              <w:t>,</w:t>
            </w:r>
            <w:r>
              <w:rPr>
                <w:rFonts w:hint="eastAsia" w:ascii="宋体" w:hAnsi="宋体" w:eastAsia="宋体" w:cs="宋体"/>
                <w:sz w:val="24"/>
              </w:rPr>
              <w:t>414</w:t>
            </w:r>
          </w:p>
        </w:tc>
        <w:tc>
          <w:tcPr>
            <w:tcW w:w="2587"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3055" w:type="dxa"/>
            <w:vAlign w:val="top"/>
          </w:tcPr>
          <w:p>
            <w:pPr>
              <w:jc w:val="both"/>
              <w:rPr>
                <w:rFonts w:hint="eastAsia" w:ascii="宋体" w:hAnsi="宋体" w:eastAsia="宋体" w:cs="宋体"/>
                <w:sz w:val="24"/>
              </w:rPr>
            </w:pPr>
            <w:r>
              <w:rPr>
                <w:rFonts w:hint="eastAsia" w:ascii="宋体" w:hAnsi="宋体" w:eastAsia="宋体" w:cs="宋体"/>
                <w:sz w:val="24"/>
              </w:rPr>
              <w:t>招商银行股份有限公司－上证红利交易型开放式指数证券投资基金</w:t>
            </w:r>
          </w:p>
        </w:tc>
        <w:tc>
          <w:tcPr>
            <w:tcW w:w="1950" w:type="dxa"/>
            <w:vAlign w:val="center"/>
          </w:tcPr>
          <w:p>
            <w:pPr>
              <w:jc w:val="right"/>
              <w:rPr>
                <w:rFonts w:hint="eastAsia" w:ascii="宋体" w:hAnsi="宋体" w:eastAsia="宋体" w:cs="宋体"/>
                <w:sz w:val="24"/>
              </w:rPr>
            </w:pPr>
            <w:r>
              <w:rPr>
                <w:rFonts w:hint="eastAsia" w:ascii="宋体" w:hAnsi="宋体" w:eastAsia="宋体" w:cs="宋体"/>
                <w:sz w:val="24"/>
              </w:rPr>
              <w:t>25</w:t>
            </w:r>
            <w:r>
              <w:rPr>
                <w:rFonts w:hint="eastAsia" w:ascii="宋体" w:hAnsi="宋体" w:cs="宋体"/>
                <w:sz w:val="24"/>
                <w:lang w:val="en-US" w:eastAsia="zh-CN"/>
              </w:rPr>
              <w:t>,</w:t>
            </w:r>
            <w:r>
              <w:rPr>
                <w:rFonts w:hint="eastAsia" w:ascii="宋体" w:hAnsi="宋体" w:eastAsia="宋体" w:cs="宋体"/>
                <w:sz w:val="24"/>
              </w:rPr>
              <w:t>436</w:t>
            </w:r>
            <w:r>
              <w:rPr>
                <w:rFonts w:hint="eastAsia" w:ascii="宋体" w:hAnsi="宋体" w:cs="宋体"/>
                <w:sz w:val="24"/>
                <w:lang w:val="en-US" w:eastAsia="zh-CN"/>
              </w:rPr>
              <w:t>,</w:t>
            </w:r>
            <w:r>
              <w:rPr>
                <w:rFonts w:hint="eastAsia" w:ascii="宋体" w:hAnsi="宋体" w:eastAsia="宋体" w:cs="宋体"/>
                <w:sz w:val="24"/>
              </w:rPr>
              <w:t>352</w:t>
            </w:r>
          </w:p>
        </w:tc>
        <w:tc>
          <w:tcPr>
            <w:tcW w:w="2587"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7</w:t>
            </w:r>
          </w:p>
        </w:tc>
        <w:tc>
          <w:tcPr>
            <w:tcW w:w="3055" w:type="dxa"/>
            <w:vAlign w:val="top"/>
          </w:tcPr>
          <w:p>
            <w:pPr>
              <w:jc w:val="both"/>
              <w:rPr>
                <w:rFonts w:hint="eastAsia" w:ascii="宋体" w:hAnsi="宋体" w:eastAsia="宋体" w:cs="宋体"/>
                <w:sz w:val="24"/>
              </w:rPr>
            </w:pPr>
            <w:r>
              <w:rPr>
                <w:rFonts w:hint="eastAsia" w:ascii="宋体" w:hAnsi="宋体" w:eastAsia="宋体" w:cs="宋体"/>
                <w:sz w:val="24"/>
              </w:rPr>
              <w:t>中国建设银行股份有限公司－易方达沪深300交易型开放式指数发起式证券投资基金</w:t>
            </w:r>
          </w:p>
        </w:tc>
        <w:tc>
          <w:tcPr>
            <w:tcW w:w="1950" w:type="dxa"/>
            <w:vAlign w:val="center"/>
          </w:tcPr>
          <w:p>
            <w:pPr>
              <w:jc w:val="right"/>
              <w:rPr>
                <w:rFonts w:hint="eastAsia" w:ascii="宋体" w:hAnsi="宋体" w:eastAsia="宋体" w:cs="宋体"/>
                <w:sz w:val="24"/>
              </w:rPr>
            </w:pPr>
            <w:r>
              <w:rPr>
                <w:rFonts w:hint="eastAsia" w:ascii="宋体" w:hAnsi="宋体" w:eastAsia="宋体" w:cs="宋体"/>
                <w:sz w:val="24"/>
              </w:rPr>
              <w:t>22</w:t>
            </w:r>
            <w:r>
              <w:rPr>
                <w:rFonts w:hint="eastAsia" w:ascii="宋体" w:hAnsi="宋体" w:cs="宋体"/>
                <w:sz w:val="24"/>
                <w:lang w:val="en-US" w:eastAsia="zh-CN"/>
              </w:rPr>
              <w:t>,</w:t>
            </w:r>
            <w:r>
              <w:rPr>
                <w:rFonts w:hint="eastAsia" w:ascii="宋体" w:hAnsi="宋体" w:eastAsia="宋体" w:cs="宋体"/>
                <w:sz w:val="24"/>
              </w:rPr>
              <w:t>368</w:t>
            </w:r>
            <w:r>
              <w:rPr>
                <w:rFonts w:hint="eastAsia" w:ascii="宋体" w:hAnsi="宋体" w:cs="宋体"/>
                <w:sz w:val="24"/>
                <w:lang w:val="en-US" w:eastAsia="zh-CN"/>
              </w:rPr>
              <w:t>,</w:t>
            </w:r>
            <w:r>
              <w:rPr>
                <w:rFonts w:hint="eastAsia" w:ascii="宋体" w:hAnsi="宋体" w:eastAsia="宋体" w:cs="宋体"/>
                <w:sz w:val="24"/>
              </w:rPr>
              <w:t>250</w:t>
            </w:r>
          </w:p>
        </w:tc>
        <w:tc>
          <w:tcPr>
            <w:tcW w:w="2587"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8</w:t>
            </w:r>
          </w:p>
        </w:tc>
        <w:tc>
          <w:tcPr>
            <w:tcW w:w="3055" w:type="dxa"/>
            <w:vAlign w:val="top"/>
          </w:tcPr>
          <w:p>
            <w:pPr>
              <w:jc w:val="both"/>
              <w:rPr>
                <w:rFonts w:hint="eastAsia" w:ascii="宋体" w:hAnsi="宋体" w:eastAsia="宋体" w:cs="宋体"/>
                <w:sz w:val="24"/>
              </w:rPr>
            </w:pPr>
            <w:r>
              <w:rPr>
                <w:rFonts w:hint="eastAsia" w:ascii="宋体" w:hAnsi="宋体" w:eastAsia="宋体" w:cs="宋体"/>
                <w:sz w:val="24"/>
              </w:rPr>
              <w:t>前海人寿保险股份有限公司－分红保险产品</w:t>
            </w:r>
          </w:p>
        </w:tc>
        <w:tc>
          <w:tcPr>
            <w:tcW w:w="1950" w:type="dxa"/>
            <w:vAlign w:val="center"/>
          </w:tcPr>
          <w:p>
            <w:pPr>
              <w:jc w:val="right"/>
              <w:rPr>
                <w:rFonts w:hint="eastAsia" w:ascii="宋体" w:hAnsi="宋体" w:eastAsia="宋体" w:cs="宋体"/>
                <w:sz w:val="24"/>
              </w:rPr>
            </w:pPr>
            <w:r>
              <w:rPr>
                <w:rFonts w:hint="eastAsia" w:ascii="宋体" w:hAnsi="宋体" w:eastAsia="宋体" w:cs="宋体"/>
                <w:sz w:val="24"/>
              </w:rPr>
              <w:t>19</w:t>
            </w:r>
            <w:r>
              <w:rPr>
                <w:rFonts w:hint="eastAsia" w:ascii="宋体" w:hAnsi="宋体" w:cs="宋体"/>
                <w:sz w:val="24"/>
                <w:lang w:val="en-US" w:eastAsia="zh-CN"/>
              </w:rPr>
              <w:t>,</w:t>
            </w:r>
            <w:r>
              <w:rPr>
                <w:rFonts w:hint="eastAsia" w:ascii="宋体" w:hAnsi="宋体" w:eastAsia="宋体" w:cs="宋体"/>
                <w:sz w:val="24"/>
              </w:rPr>
              <w:t>374</w:t>
            </w:r>
            <w:r>
              <w:rPr>
                <w:rFonts w:hint="eastAsia" w:ascii="宋体" w:hAnsi="宋体" w:cs="宋体"/>
                <w:sz w:val="24"/>
                <w:lang w:val="en-US" w:eastAsia="zh-CN"/>
              </w:rPr>
              <w:t>,</w:t>
            </w:r>
            <w:r>
              <w:rPr>
                <w:rFonts w:hint="eastAsia" w:ascii="宋体" w:hAnsi="宋体" w:eastAsia="宋体" w:cs="宋体"/>
                <w:sz w:val="24"/>
              </w:rPr>
              <w:t>824</w:t>
            </w:r>
          </w:p>
        </w:tc>
        <w:tc>
          <w:tcPr>
            <w:tcW w:w="2587"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9</w:t>
            </w:r>
          </w:p>
        </w:tc>
        <w:tc>
          <w:tcPr>
            <w:tcW w:w="3055" w:type="dxa"/>
            <w:vAlign w:val="top"/>
          </w:tcPr>
          <w:p>
            <w:pPr>
              <w:jc w:val="both"/>
              <w:rPr>
                <w:rFonts w:hint="eastAsia" w:ascii="宋体" w:hAnsi="宋体" w:eastAsia="宋体" w:cs="宋体"/>
                <w:sz w:val="24"/>
              </w:rPr>
            </w:pPr>
            <w:r>
              <w:rPr>
                <w:rFonts w:hint="eastAsia" w:ascii="宋体" w:hAnsi="宋体" w:eastAsia="宋体" w:cs="宋体"/>
                <w:sz w:val="24"/>
              </w:rPr>
              <w:t>中国工商银行股份有限公司－华夏沪深300交易型开放式指数证券投资基金</w:t>
            </w:r>
          </w:p>
        </w:tc>
        <w:tc>
          <w:tcPr>
            <w:tcW w:w="1950"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16,449,358</w:t>
            </w:r>
          </w:p>
        </w:tc>
        <w:tc>
          <w:tcPr>
            <w:tcW w:w="2587"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3055" w:type="dxa"/>
            <w:vAlign w:val="top"/>
          </w:tcPr>
          <w:p>
            <w:pPr>
              <w:jc w:val="both"/>
              <w:rPr>
                <w:rFonts w:hint="eastAsia" w:ascii="宋体" w:hAnsi="宋体" w:eastAsia="宋体" w:cs="宋体"/>
                <w:sz w:val="24"/>
              </w:rPr>
            </w:pPr>
            <w:r>
              <w:rPr>
                <w:rFonts w:hint="eastAsia" w:ascii="宋体" w:hAnsi="宋体" w:eastAsia="宋体" w:cs="宋体"/>
                <w:sz w:val="24"/>
              </w:rPr>
              <w:t>中国银行股份有限公司－嘉实沪深300交易型开放式指数证券投资基金</w:t>
            </w:r>
          </w:p>
        </w:tc>
        <w:tc>
          <w:tcPr>
            <w:tcW w:w="1950" w:type="dxa"/>
            <w:vAlign w:val="center"/>
          </w:tcPr>
          <w:p>
            <w:pPr>
              <w:jc w:val="right"/>
              <w:rPr>
                <w:rFonts w:hint="eastAsia" w:ascii="宋体" w:hAnsi="宋体" w:eastAsia="宋体" w:cs="宋体"/>
                <w:sz w:val="24"/>
              </w:rPr>
            </w:pPr>
            <w:r>
              <w:rPr>
                <w:rFonts w:hint="eastAsia" w:ascii="宋体" w:hAnsi="宋体" w:eastAsia="宋体" w:cs="宋体"/>
                <w:sz w:val="24"/>
              </w:rPr>
              <w:t>14</w:t>
            </w:r>
            <w:r>
              <w:rPr>
                <w:rFonts w:hint="eastAsia" w:ascii="宋体" w:hAnsi="宋体" w:cs="宋体"/>
                <w:sz w:val="24"/>
                <w:lang w:val="en-US" w:eastAsia="zh-CN"/>
              </w:rPr>
              <w:t>,</w:t>
            </w:r>
            <w:r>
              <w:rPr>
                <w:rFonts w:hint="eastAsia" w:ascii="宋体" w:hAnsi="宋体" w:eastAsia="宋体" w:cs="宋体"/>
                <w:sz w:val="24"/>
              </w:rPr>
              <w:t>193</w:t>
            </w:r>
            <w:r>
              <w:rPr>
                <w:rFonts w:hint="eastAsia" w:ascii="宋体" w:hAnsi="宋体" w:cs="宋体"/>
                <w:sz w:val="24"/>
                <w:lang w:val="en-US" w:eastAsia="zh-CN"/>
              </w:rPr>
              <w:t>,</w:t>
            </w:r>
            <w:r>
              <w:rPr>
                <w:rFonts w:hint="eastAsia" w:ascii="宋体" w:hAnsi="宋体" w:eastAsia="宋体" w:cs="宋体"/>
                <w:sz w:val="24"/>
              </w:rPr>
              <w:t>525</w:t>
            </w:r>
          </w:p>
        </w:tc>
        <w:tc>
          <w:tcPr>
            <w:tcW w:w="2587"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0.14</w:t>
            </w:r>
          </w:p>
        </w:tc>
      </w:tr>
      <w:bookmarkEnd w:id="1"/>
    </w:tbl>
    <w:p>
      <w:pPr>
        <w:keepNext w:val="0"/>
        <w:keepLines w:val="0"/>
        <w:pageBreakBefore w:val="0"/>
        <w:widowControl w:val="0"/>
        <w:kinsoku/>
        <w:wordWrap/>
        <w:overflowPunct/>
        <w:topLinePunct w:val="0"/>
        <w:autoSpaceDE w:val="0"/>
        <w:autoSpaceDN w:val="0"/>
        <w:bidi w:val="0"/>
        <w:adjustRightInd w:val="0"/>
        <w:snapToGrid/>
        <w:spacing w:before="100" w:beforeAutospacing="1" w:after="100" w:afterAutospacing="1" w:line="560" w:lineRule="exact"/>
        <w:ind w:firstLine="562" w:firstLineChars="200"/>
        <w:textAlignment w:val="auto"/>
        <w:rPr>
          <w:rFonts w:hint="eastAsia" w:ascii="宋体" w:hAnsi="宋体"/>
          <w:b/>
          <w:sz w:val="28"/>
          <w:szCs w:val="28"/>
        </w:rPr>
      </w:pPr>
      <w:r>
        <w:rPr>
          <w:rFonts w:hint="eastAsia" w:ascii="宋体" w:hAnsi="宋体"/>
          <w:b/>
          <w:sz w:val="28"/>
          <w:szCs w:val="28"/>
        </w:rPr>
        <w:t>二、公司前十名无限售条件股东持股情况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055"/>
        <w:gridCol w:w="1950"/>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Pr>
          <w:p>
            <w:pPr>
              <w:jc w:val="center"/>
              <w:rPr>
                <w:b/>
                <w:sz w:val="24"/>
              </w:rPr>
            </w:pPr>
            <w:r>
              <w:rPr>
                <w:rFonts w:hint="eastAsia"/>
                <w:b/>
                <w:sz w:val="24"/>
              </w:rPr>
              <w:t>序号</w:t>
            </w:r>
          </w:p>
        </w:tc>
        <w:tc>
          <w:tcPr>
            <w:tcW w:w="3055" w:type="dxa"/>
          </w:tcPr>
          <w:p>
            <w:pPr>
              <w:jc w:val="center"/>
              <w:rPr>
                <w:b/>
                <w:sz w:val="24"/>
              </w:rPr>
            </w:pPr>
            <w:r>
              <w:rPr>
                <w:rFonts w:hint="eastAsia"/>
                <w:b/>
                <w:sz w:val="24"/>
              </w:rPr>
              <w:t>股东名称</w:t>
            </w:r>
          </w:p>
        </w:tc>
        <w:tc>
          <w:tcPr>
            <w:tcW w:w="1950" w:type="dxa"/>
            <w:vAlign w:val="top"/>
          </w:tcPr>
          <w:p>
            <w:pPr>
              <w:jc w:val="center"/>
              <w:rPr>
                <w:b/>
                <w:sz w:val="24"/>
              </w:rPr>
            </w:pPr>
            <w:r>
              <w:rPr>
                <w:rFonts w:hint="eastAsia"/>
                <w:b/>
                <w:sz w:val="24"/>
              </w:rPr>
              <w:t>持股数量（股）</w:t>
            </w:r>
          </w:p>
        </w:tc>
        <w:tc>
          <w:tcPr>
            <w:tcW w:w="2587" w:type="dxa"/>
          </w:tcPr>
          <w:p>
            <w:pPr>
              <w:jc w:val="center"/>
              <w:rPr>
                <w:rFonts w:hint="default" w:eastAsia="宋体"/>
                <w:b/>
                <w:sz w:val="24"/>
                <w:szCs w:val="24"/>
                <w:vertAlign w:val="superscript"/>
                <w:lang w:val="en-US" w:eastAsia="zh-CN"/>
              </w:rPr>
            </w:pPr>
            <w:r>
              <w:rPr>
                <w:rFonts w:hint="eastAsia"/>
                <w:b/>
                <w:sz w:val="24"/>
              </w:rPr>
              <w:t>占总股本比例（%）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3055" w:type="dxa"/>
            <w:vAlign w:val="top"/>
          </w:tcPr>
          <w:p>
            <w:pPr>
              <w:jc w:val="both"/>
              <w:rPr>
                <w:rFonts w:hint="eastAsia" w:ascii="宋体" w:hAnsi="宋体" w:eastAsia="宋体" w:cs="宋体"/>
                <w:sz w:val="24"/>
                <w:vertAlign w:val="superscript"/>
                <w:lang w:val="en-US" w:eastAsia="zh-CN"/>
              </w:rPr>
            </w:pPr>
            <w:r>
              <w:rPr>
                <w:rFonts w:hint="eastAsia" w:ascii="宋体" w:hAnsi="宋体" w:eastAsia="宋体" w:cs="宋体"/>
                <w:sz w:val="24"/>
              </w:rPr>
              <w:t>山东能源集团有限公司</w:t>
            </w:r>
            <w:r>
              <w:rPr>
                <w:rFonts w:hint="eastAsia" w:ascii="宋体" w:hAnsi="宋体" w:cs="宋体"/>
                <w:sz w:val="24"/>
                <w:vertAlign w:val="superscript"/>
                <w:lang w:val="en-US" w:eastAsia="zh-CN"/>
              </w:rPr>
              <w:t>①</w:t>
            </w:r>
          </w:p>
        </w:tc>
        <w:tc>
          <w:tcPr>
            <w:tcW w:w="1950" w:type="dxa"/>
            <w:vAlign w:val="center"/>
          </w:tcPr>
          <w:p>
            <w:pPr>
              <w:jc w:val="right"/>
              <w:rPr>
                <w:rFonts w:hint="default" w:ascii="宋体" w:hAnsi="宋体" w:eastAsia="宋体" w:cs="宋体"/>
                <w:sz w:val="24"/>
                <w:lang w:val="en-US" w:eastAsia="zh-CN"/>
              </w:rPr>
            </w:pPr>
            <w:r>
              <w:rPr>
                <w:rFonts w:hint="eastAsia" w:ascii="宋体" w:hAnsi="宋体" w:cs="宋体"/>
                <w:sz w:val="24"/>
                <w:lang w:val="en-US" w:eastAsia="zh-CN"/>
              </w:rPr>
              <w:t>5,303,899,421</w:t>
            </w:r>
          </w:p>
        </w:tc>
        <w:tc>
          <w:tcPr>
            <w:tcW w:w="2587" w:type="dxa"/>
            <w:vAlign w:val="center"/>
          </w:tcPr>
          <w:p>
            <w:pPr>
              <w:jc w:val="right"/>
              <w:rPr>
                <w:rFonts w:hint="default" w:ascii="宋体" w:hAnsi="宋体" w:eastAsia="宋体" w:cs="宋体"/>
                <w:sz w:val="24"/>
                <w:lang w:val="en-US" w:eastAsia="zh-CN"/>
              </w:rPr>
            </w:pPr>
            <w:r>
              <w:rPr>
                <w:rFonts w:hint="eastAsia" w:ascii="宋体" w:hAnsi="宋体" w:cs="宋体"/>
                <w:sz w:val="24"/>
                <w:lang w:val="en-US" w:eastAsia="zh-CN"/>
              </w:rPr>
              <w:t>52.84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3055" w:type="dxa"/>
            <w:vAlign w:val="top"/>
          </w:tcPr>
          <w:p>
            <w:pPr>
              <w:jc w:val="both"/>
              <w:rPr>
                <w:rFonts w:hint="default" w:ascii="宋体" w:hAnsi="宋体" w:eastAsia="宋体" w:cs="宋体"/>
                <w:sz w:val="24"/>
                <w:vertAlign w:val="superscript"/>
                <w:lang w:val="en-US" w:eastAsia="zh-CN"/>
              </w:rPr>
            </w:pPr>
            <w:r>
              <w:rPr>
                <w:rFonts w:hint="eastAsia" w:ascii="宋体" w:hAnsi="宋体" w:eastAsia="宋体" w:cs="宋体"/>
                <w:sz w:val="24"/>
              </w:rPr>
              <w:t>香港中央结算</w:t>
            </w:r>
            <w:r>
              <w:rPr>
                <w:rFonts w:hint="eastAsia" w:ascii="宋体" w:hAnsi="宋体" w:cs="宋体"/>
                <w:sz w:val="24"/>
                <w:lang w:eastAsia="zh-CN"/>
              </w:rPr>
              <w:t>（</w:t>
            </w:r>
            <w:r>
              <w:rPr>
                <w:rFonts w:hint="eastAsia" w:ascii="宋体" w:hAnsi="宋体" w:cs="宋体"/>
                <w:sz w:val="24"/>
                <w:lang w:val="en-US" w:eastAsia="zh-CN"/>
              </w:rPr>
              <w:t>代理人</w:t>
            </w:r>
            <w:r>
              <w:rPr>
                <w:rFonts w:hint="eastAsia" w:ascii="宋体" w:hAnsi="宋体" w:cs="宋体"/>
                <w:sz w:val="24"/>
                <w:lang w:eastAsia="zh-CN"/>
              </w:rPr>
              <w:t>）</w:t>
            </w:r>
            <w:r>
              <w:rPr>
                <w:rFonts w:hint="eastAsia" w:ascii="宋体" w:hAnsi="宋体" w:eastAsia="宋体" w:cs="宋体"/>
                <w:sz w:val="24"/>
              </w:rPr>
              <w:t>有限公司</w:t>
            </w:r>
          </w:p>
        </w:tc>
        <w:tc>
          <w:tcPr>
            <w:tcW w:w="1950" w:type="dxa"/>
            <w:vAlign w:val="center"/>
          </w:tcPr>
          <w:p>
            <w:pPr>
              <w:jc w:val="right"/>
              <w:rPr>
                <w:rFonts w:hint="default" w:ascii="宋体" w:hAnsi="宋体" w:eastAsia="宋体" w:cs="宋体"/>
                <w:sz w:val="24"/>
                <w:lang w:val="en-US" w:eastAsia="zh-CN"/>
              </w:rPr>
            </w:pPr>
            <w:r>
              <w:rPr>
                <w:rFonts w:hint="eastAsia" w:ascii="宋体" w:hAnsi="宋体" w:cs="宋体"/>
                <w:sz w:val="24"/>
                <w:lang w:val="en-US" w:eastAsia="zh-CN"/>
              </w:rPr>
              <w:t>3,161,883,368</w:t>
            </w:r>
          </w:p>
        </w:tc>
        <w:tc>
          <w:tcPr>
            <w:tcW w:w="2587" w:type="dxa"/>
            <w:vAlign w:val="center"/>
          </w:tcPr>
          <w:p>
            <w:pPr>
              <w:jc w:val="right"/>
              <w:rPr>
                <w:rFonts w:hint="default" w:ascii="宋体" w:hAnsi="宋体" w:eastAsia="宋体" w:cs="宋体"/>
                <w:sz w:val="24"/>
                <w:lang w:val="en-US" w:eastAsia="zh-CN"/>
              </w:rPr>
            </w:pPr>
            <w:r>
              <w:rPr>
                <w:rFonts w:hint="eastAsia" w:ascii="宋体" w:hAnsi="宋体" w:cs="宋体"/>
                <w:sz w:val="24"/>
                <w:lang w:val="en-US" w:eastAsia="zh-CN"/>
              </w:rPr>
              <w:t>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3055" w:type="dxa"/>
            <w:vAlign w:val="top"/>
          </w:tcPr>
          <w:p>
            <w:pPr>
              <w:jc w:val="both"/>
              <w:rPr>
                <w:rFonts w:hint="eastAsia" w:ascii="宋体" w:hAnsi="宋体" w:eastAsia="宋体" w:cs="宋体"/>
                <w:sz w:val="24"/>
              </w:rPr>
            </w:pPr>
            <w:r>
              <w:rPr>
                <w:rFonts w:hint="eastAsia" w:ascii="宋体" w:hAnsi="宋体" w:eastAsia="宋体" w:cs="宋体"/>
                <w:sz w:val="24"/>
              </w:rPr>
              <w:t>香港中央结算有限公司</w:t>
            </w:r>
          </w:p>
        </w:tc>
        <w:tc>
          <w:tcPr>
            <w:tcW w:w="1950" w:type="dxa"/>
            <w:vAlign w:val="center"/>
          </w:tcPr>
          <w:p>
            <w:pPr>
              <w:jc w:val="right"/>
              <w:rPr>
                <w:rFonts w:hint="eastAsia" w:ascii="宋体" w:hAnsi="宋体" w:eastAsia="宋体" w:cs="宋体"/>
                <w:sz w:val="24"/>
              </w:rPr>
            </w:pPr>
            <w:r>
              <w:rPr>
                <w:rFonts w:hint="eastAsia" w:ascii="宋体" w:hAnsi="宋体" w:eastAsia="宋体" w:cs="宋体"/>
                <w:sz w:val="24"/>
              </w:rPr>
              <w:t>73</w:t>
            </w:r>
            <w:r>
              <w:rPr>
                <w:rFonts w:hint="eastAsia" w:ascii="宋体" w:hAnsi="宋体" w:cs="宋体"/>
                <w:sz w:val="24"/>
                <w:lang w:val="en-US" w:eastAsia="zh-CN"/>
              </w:rPr>
              <w:t>,</w:t>
            </w:r>
            <w:r>
              <w:rPr>
                <w:rFonts w:hint="eastAsia" w:ascii="宋体" w:hAnsi="宋体" w:eastAsia="宋体" w:cs="宋体"/>
                <w:sz w:val="24"/>
              </w:rPr>
              <w:t>236</w:t>
            </w:r>
            <w:r>
              <w:rPr>
                <w:rFonts w:hint="eastAsia" w:ascii="宋体" w:hAnsi="宋体" w:cs="宋体"/>
                <w:sz w:val="24"/>
                <w:lang w:val="en-US" w:eastAsia="zh-CN"/>
              </w:rPr>
              <w:t>,</w:t>
            </w:r>
            <w:r>
              <w:rPr>
                <w:rFonts w:hint="eastAsia" w:ascii="宋体" w:hAnsi="宋体" w:eastAsia="宋体" w:cs="宋体"/>
                <w:sz w:val="24"/>
              </w:rPr>
              <w:t>750</w:t>
            </w:r>
          </w:p>
        </w:tc>
        <w:tc>
          <w:tcPr>
            <w:tcW w:w="2587"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3055" w:type="dxa"/>
            <w:vAlign w:val="top"/>
          </w:tcPr>
          <w:p>
            <w:pPr>
              <w:jc w:val="both"/>
              <w:rPr>
                <w:rFonts w:hint="eastAsia" w:ascii="宋体" w:hAnsi="宋体" w:eastAsia="宋体" w:cs="宋体"/>
                <w:sz w:val="24"/>
              </w:rPr>
            </w:pPr>
            <w:r>
              <w:rPr>
                <w:rFonts w:hint="eastAsia" w:ascii="宋体" w:hAnsi="宋体" w:eastAsia="宋体" w:cs="宋体"/>
                <w:sz w:val="24"/>
              </w:rPr>
              <w:t>中国工商银行股份有限公司－国泰中证煤炭交易型开放式指数证券投资基金</w:t>
            </w:r>
          </w:p>
        </w:tc>
        <w:tc>
          <w:tcPr>
            <w:tcW w:w="1950"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61</w:t>
            </w:r>
            <w:r>
              <w:rPr>
                <w:rFonts w:hint="eastAsia" w:ascii="宋体" w:hAnsi="宋体" w:cs="宋体"/>
                <w:sz w:val="24"/>
                <w:lang w:val="en-US" w:eastAsia="zh-CN"/>
              </w:rPr>
              <w:t>,</w:t>
            </w:r>
            <w:r>
              <w:rPr>
                <w:rFonts w:hint="eastAsia" w:ascii="宋体" w:hAnsi="宋体" w:eastAsia="宋体" w:cs="宋体"/>
                <w:sz w:val="24"/>
                <w:lang w:val="en-US" w:eastAsia="zh-CN"/>
              </w:rPr>
              <w:t>923</w:t>
            </w:r>
            <w:r>
              <w:rPr>
                <w:rFonts w:hint="eastAsia" w:ascii="宋体" w:hAnsi="宋体" w:cs="宋体"/>
                <w:sz w:val="24"/>
                <w:lang w:val="en-US" w:eastAsia="zh-CN"/>
              </w:rPr>
              <w:t>,</w:t>
            </w:r>
            <w:r>
              <w:rPr>
                <w:rFonts w:hint="eastAsia" w:ascii="宋体" w:hAnsi="宋体" w:eastAsia="宋体" w:cs="宋体"/>
                <w:sz w:val="24"/>
                <w:lang w:val="en-US" w:eastAsia="zh-CN"/>
              </w:rPr>
              <w:t>099</w:t>
            </w:r>
          </w:p>
        </w:tc>
        <w:tc>
          <w:tcPr>
            <w:tcW w:w="2587"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3055" w:type="dxa"/>
            <w:vAlign w:val="top"/>
          </w:tcPr>
          <w:p>
            <w:pPr>
              <w:jc w:val="both"/>
              <w:rPr>
                <w:rFonts w:hint="eastAsia" w:ascii="宋体" w:hAnsi="宋体" w:eastAsia="宋体" w:cs="宋体"/>
                <w:sz w:val="24"/>
              </w:rPr>
            </w:pPr>
            <w:r>
              <w:rPr>
                <w:rFonts w:hint="eastAsia" w:ascii="宋体" w:hAnsi="宋体" w:eastAsia="宋体" w:cs="宋体"/>
                <w:sz w:val="24"/>
              </w:rPr>
              <w:t>中国工商银行股份有限公司－华泰柏瑞沪深300交易</w:t>
            </w:r>
            <w:r>
              <w:rPr>
                <w:rFonts w:hint="eastAsia" w:ascii="宋体" w:hAnsi="宋体" w:eastAsia="宋体" w:cs="宋体"/>
                <w:w w:val="99"/>
                <w:sz w:val="24"/>
              </w:rPr>
              <w:t>型开放式指数证券投资基金</w:t>
            </w:r>
          </w:p>
        </w:tc>
        <w:tc>
          <w:tcPr>
            <w:tcW w:w="1950" w:type="dxa"/>
            <w:vAlign w:val="center"/>
          </w:tcPr>
          <w:p>
            <w:pPr>
              <w:jc w:val="right"/>
              <w:rPr>
                <w:rFonts w:hint="eastAsia" w:ascii="宋体" w:hAnsi="宋体" w:eastAsia="宋体" w:cs="宋体"/>
                <w:sz w:val="24"/>
              </w:rPr>
            </w:pPr>
            <w:r>
              <w:rPr>
                <w:rFonts w:hint="eastAsia" w:ascii="宋体" w:hAnsi="宋体" w:eastAsia="宋体" w:cs="宋体"/>
                <w:sz w:val="24"/>
              </w:rPr>
              <w:t>31</w:t>
            </w:r>
            <w:r>
              <w:rPr>
                <w:rFonts w:hint="eastAsia" w:ascii="宋体" w:hAnsi="宋体" w:cs="宋体"/>
                <w:sz w:val="24"/>
                <w:lang w:val="en-US" w:eastAsia="zh-CN"/>
              </w:rPr>
              <w:t>,</w:t>
            </w:r>
            <w:r>
              <w:rPr>
                <w:rFonts w:hint="eastAsia" w:ascii="宋体" w:hAnsi="宋体" w:eastAsia="宋体" w:cs="宋体"/>
                <w:sz w:val="24"/>
              </w:rPr>
              <w:t>073</w:t>
            </w:r>
            <w:r>
              <w:rPr>
                <w:rFonts w:hint="eastAsia" w:ascii="宋体" w:hAnsi="宋体" w:cs="宋体"/>
                <w:sz w:val="24"/>
                <w:lang w:val="en-US" w:eastAsia="zh-CN"/>
              </w:rPr>
              <w:t>,</w:t>
            </w:r>
            <w:r>
              <w:rPr>
                <w:rFonts w:hint="eastAsia" w:ascii="宋体" w:hAnsi="宋体" w:eastAsia="宋体" w:cs="宋体"/>
                <w:sz w:val="24"/>
              </w:rPr>
              <w:t>414</w:t>
            </w:r>
          </w:p>
        </w:tc>
        <w:tc>
          <w:tcPr>
            <w:tcW w:w="2587"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3055" w:type="dxa"/>
            <w:vAlign w:val="top"/>
          </w:tcPr>
          <w:p>
            <w:pPr>
              <w:jc w:val="both"/>
              <w:rPr>
                <w:rFonts w:hint="eastAsia" w:ascii="宋体" w:hAnsi="宋体" w:eastAsia="宋体" w:cs="宋体"/>
                <w:sz w:val="24"/>
              </w:rPr>
            </w:pPr>
            <w:r>
              <w:rPr>
                <w:rFonts w:hint="eastAsia" w:ascii="宋体" w:hAnsi="宋体" w:eastAsia="宋体" w:cs="宋体"/>
                <w:sz w:val="24"/>
              </w:rPr>
              <w:t>招商银行股份有限公司－上证红利交易型开放式指数证券投资基金</w:t>
            </w:r>
          </w:p>
        </w:tc>
        <w:tc>
          <w:tcPr>
            <w:tcW w:w="1950" w:type="dxa"/>
            <w:vAlign w:val="center"/>
          </w:tcPr>
          <w:p>
            <w:pPr>
              <w:jc w:val="right"/>
              <w:rPr>
                <w:rFonts w:hint="eastAsia" w:ascii="宋体" w:hAnsi="宋体" w:eastAsia="宋体" w:cs="宋体"/>
                <w:sz w:val="24"/>
              </w:rPr>
            </w:pPr>
            <w:r>
              <w:rPr>
                <w:rFonts w:hint="eastAsia" w:ascii="宋体" w:hAnsi="宋体" w:eastAsia="宋体" w:cs="宋体"/>
                <w:sz w:val="24"/>
              </w:rPr>
              <w:t>25</w:t>
            </w:r>
            <w:r>
              <w:rPr>
                <w:rFonts w:hint="eastAsia" w:ascii="宋体" w:hAnsi="宋体" w:cs="宋体"/>
                <w:sz w:val="24"/>
                <w:lang w:val="en-US" w:eastAsia="zh-CN"/>
              </w:rPr>
              <w:t>,</w:t>
            </w:r>
            <w:r>
              <w:rPr>
                <w:rFonts w:hint="eastAsia" w:ascii="宋体" w:hAnsi="宋体" w:eastAsia="宋体" w:cs="宋体"/>
                <w:sz w:val="24"/>
              </w:rPr>
              <w:t>436</w:t>
            </w:r>
            <w:r>
              <w:rPr>
                <w:rFonts w:hint="eastAsia" w:ascii="宋体" w:hAnsi="宋体" w:cs="宋体"/>
                <w:sz w:val="24"/>
                <w:lang w:val="en-US" w:eastAsia="zh-CN"/>
              </w:rPr>
              <w:t>,</w:t>
            </w:r>
            <w:r>
              <w:rPr>
                <w:rFonts w:hint="eastAsia" w:ascii="宋体" w:hAnsi="宋体" w:eastAsia="宋体" w:cs="宋体"/>
                <w:sz w:val="24"/>
              </w:rPr>
              <w:t>352</w:t>
            </w:r>
          </w:p>
        </w:tc>
        <w:tc>
          <w:tcPr>
            <w:tcW w:w="2587"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7</w:t>
            </w:r>
          </w:p>
        </w:tc>
        <w:tc>
          <w:tcPr>
            <w:tcW w:w="3055" w:type="dxa"/>
            <w:vAlign w:val="top"/>
          </w:tcPr>
          <w:p>
            <w:pPr>
              <w:jc w:val="both"/>
              <w:rPr>
                <w:rFonts w:hint="eastAsia" w:ascii="宋体" w:hAnsi="宋体" w:eastAsia="宋体" w:cs="宋体"/>
                <w:sz w:val="24"/>
              </w:rPr>
            </w:pPr>
            <w:r>
              <w:rPr>
                <w:rFonts w:hint="eastAsia" w:ascii="宋体" w:hAnsi="宋体" w:eastAsia="宋体" w:cs="宋体"/>
                <w:sz w:val="24"/>
              </w:rPr>
              <w:t>中国建设银行股份有限公司－易方达沪深300交易型开放式指数发起式证券投资基金</w:t>
            </w:r>
          </w:p>
        </w:tc>
        <w:tc>
          <w:tcPr>
            <w:tcW w:w="1950" w:type="dxa"/>
            <w:vAlign w:val="center"/>
          </w:tcPr>
          <w:p>
            <w:pPr>
              <w:jc w:val="right"/>
              <w:rPr>
                <w:rFonts w:hint="eastAsia" w:ascii="宋体" w:hAnsi="宋体" w:eastAsia="宋体" w:cs="宋体"/>
                <w:sz w:val="24"/>
              </w:rPr>
            </w:pPr>
            <w:r>
              <w:rPr>
                <w:rFonts w:hint="eastAsia" w:ascii="宋体" w:hAnsi="宋体" w:eastAsia="宋体" w:cs="宋体"/>
                <w:sz w:val="24"/>
              </w:rPr>
              <w:t>22</w:t>
            </w:r>
            <w:r>
              <w:rPr>
                <w:rFonts w:hint="eastAsia" w:ascii="宋体" w:hAnsi="宋体" w:cs="宋体"/>
                <w:sz w:val="24"/>
                <w:lang w:val="en-US" w:eastAsia="zh-CN"/>
              </w:rPr>
              <w:t>,</w:t>
            </w:r>
            <w:r>
              <w:rPr>
                <w:rFonts w:hint="eastAsia" w:ascii="宋体" w:hAnsi="宋体" w:eastAsia="宋体" w:cs="宋体"/>
                <w:sz w:val="24"/>
              </w:rPr>
              <w:t>368</w:t>
            </w:r>
            <w:r>
              <w:rPr>
                <w:rFonts w:hint="eastAsia" w:ascii="宋体" w:hAnsi="宋体" w:cs="宋体"/>
                <w:sz w:val="24"/>
                <w:lang w:val="en-US" w:eastAsia="zh-CN"/>
              </w:rPr>
              <w:t>,</w:t>
            </w:r>
            <w:r>
              <w:rPr>
                <w:rFonts w:hint="eastAsia" w:ascii="宋体" w:hAnsi="宋体" w:eastAsia="宋体" w:cs="宋体"/>
                <w:sz w:val="24"/>
              </w:rPr>
              <w:t>250</w:t>
            </w:r>
          </w:p>
        </w:tc>
        <w:tc>
          <w:tcPr>
            <w:tcW w:w="2587"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8</w:t>
            </w:r>
          </w:p>
        </w:tc>
        <w:tc>
          <w:tcPr>
            <w:tcW w:w="3055" w:type="dxa"/>
            <w:vAlign w:val="top"/>
          </w:tcPr>
          <w:p>
            <w:pPr>
              <w:jc w:val="both"/>
              <w:rPr>
                <w:rFonts w:hint="eastAsia" w:ascii="宋体" w:hAnsi="宋体" w:eastAsia="宋体" w:cs="宋体"/>
                <w:sz w:val="24"/>
              </w:rPr>
            </w:pPr>
            <w:r>
              <w:rPr>
                <w:rFonts w:hint="eastAsia" w:ascii="宋体" w:hAnsi="宋体" w:eastAsia="宋体" w:cs="宋体"/>
                <w:sz w:val="24"/>
              </w:rPr>
              <w:t>前海人寿保险股份有限公司－分红保险产品</w:t>
            </w:r>
          </w:p>
        </w:tc>
        <w:tc>
          <w:tcPr>
            <w:tcW w:w="1950" w:type="dxa"/>
            <w:vAlign w:val="center"/>
          </w:tcPr>
          <w:p>
            <w:pPr>
              <w:jc w:val="right"/>
              <w:rPr>
                <w:rFonts w:hint="eastAsia" w:ascii="宋体" w:hAnsi="宋体" w:eastAsia="宋体" w:cs="宋体"/>
                <w:sz w:val="24"/>
              </w:rPr>
            </w:pPr>
            <w:r>
              <w:rPr>
                <w:rFonts w:hint="eastAsia" w:ascii="宋体" w:hAnsi="宋体" w:eastAsia="宋体" w:cs="宋体"/>
                <w:sz w:val="24"/>
              </w:rPr>
              <w:t>19</w:t>
            </w:r>
            <w:r>
              <w:rPr>
                <w:rFonts w:hint="eastAsia" w:ascii="宋体" w:hAnsi="宋体" w:cs="宋体"/>
                <w:sz w:val="24"/>
                <w:lang w:val="en-US" w:eastAsia="zh-CN"/>
              </w:rPr>
              <w:t>,</w:t>
            </w:r>
            <w:r>
              <w:rPr>
                <w:rFonts w:hint="eastAsia" w:ascii="宋体" w:hAnsi="宋体" w:eastAsia="宋体" w:cs="宋体"/>
                <w:sz w:val="24"/>
              </w:rPr>
              <w:t>374</w:t>
            </w:r>
            <w:r>
              <w:rPr>
                <w:rFonts w:hint="eastAsia" w:ascii="宋体" w:hAnsi="宋体" w:cs="宋体"/>
                <w:sz w:val="24"/>
                <w:lang w:val="en-US" w:eastAsia="zh-CN"/>
              </w:rPr>
              <w:t>,</w:t>
            </w:r>
            <w:r>
              <w:rPr>
                <w:rFonts w:hint="eastAsia" w:ascii="宋体" w:hAnsi="宋体" w:eastAsia="宋体" w:cs="宋体"/>
                <w:sz w:val="24"/>
              </w:rPr>
              <w:t>824</w:t>
            </w:r>
          </w:p>
        </w:tc>
        <w:tc>
          <w:tcPr>
            <w:tcW w:w="2587"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9</w:t>
            </w:r>
          </w:p>
        </w:tc>
        <w:tc>
          <w:tcPr>
            <w:tcW w:w="3055" w:type="dxa"/>
            <w:vAlign w:val="top"/>
          </w:tcPr>
          <w:p>
            <w:pPr>
              <w:jc w:val="both"/>
              <w:rPr>
                <w:rFonts w:hint="eastAsia" w:ascii="宋体" w:hAnsi="宋体" w:eastAsia="宋体" w:cs="宋体"/>
                <w:sz w:val="24"/>
              </w:rPr>
            </w:pPr>
            <w:r>
              <w:rPr>
                <w:rFonts w:hint="eastAsia" w:ascii="宋体" w:hAnsi="宋体" w:eastAsia="宋体" w:cs="宋体"/>
                <w:sz w:val="24"/>
              </w:rPr>
              <w:t>中国工商银行股份有限公司－华夏沪深300交易型开放式指数证券投资基金</w:t>
            </w:r>
          </w:p>
        </w:tc>
        <w:tc>
          <w:tcPr>
            <w:tcW w:w="1950"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16</w:t>
            </w:r>
            <w:r>
              <w:rPr>
                <w:rFonts w:hint="eastAsia" w:ascii="宋体" w:hAnsi="宋体" w:cs="宋体"/>
                <w:sz w:val="24"/>
                <w:lang w:val="en-US" w:eastAsia="zh-CN"/>
              </w:rPr>
              <w:t>,</w:t>
            </w:r>
            <w:r>
              <w:rPr>
                <w:rFonts w:hint="eastAsia" w:ascii="宋体" w:hAnsi="宋体" w:eastAsia="宋体" w:cs="宋体"/>
                <w:sz w:val="24"/>
                <w:lang w:val="en-US" w:eastAsia="zh-CN"/>
              </w:rPr>
              <w:t>449</w:t>
            </w:r>
            <w:r>
              <w:rPr>
                <w:rFonts w:hint="eastAsia" w:ascii="宋体" w:hAnsi="宋体" w:cs="宋体"/>
                <w:sz w:val="24"/>
                <w:lang w:val="en-US" w:eastAsia="zh-CN"/>
              </w:rPr>
              <w:t>,</w:t>
            </w:r>
            <w:r>
              <w:rPr>
                <w:rFonts w:hint="eastAsia" w:ascii="宋体" w:hAnsi="宋体" w:eastAsia="宋体" w:cs="宋体"/>
                <w:sz w:val="24"/>
                <w:lang w:val="en-US" w:eastAsia="zh-CN"/>
              </w:rPr>
              <w:t>358</w:t>
            </w:r>
          </w:p>
        </w:tc>
        <w:tc>
          <w:tcPr>
            <w:tcW w:w="2587"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3055" w:type="dxa"/>
            <w:vAlign w:val="top"/>
          </w:tcPr>
          <w:p>
            <w:pPr>
              <w:jc w:val="both"/>
              <w:rPr>
                <w:rFonts w:hint="eastAsia" w:ascii="宋体" w:hAnsi="宋体" w:eastAsia="宋体" w:cs="宋体"/>
                <w:sz w:val="24"/>
              </w:rPr>
            </w:pPr>
            <w:r>
              <w:rPr>
                <w:rFonts w:hint="eastAsia" w:ascii="宋体" w:hAnsi="宋体" w:eastAsia="宋体" w:cs="宋体"/>
                <w:sz w:val="24"/>
              </w:rPr>
              <w:t>中国银行股份有限公司－嘉实沪深300交易型开放式指数证券投资基金</w:t>
            </w:r>
          </w:p>
        </w:tc>
        <w:tc>
          <w:tcPr>
            <w:tcW w:w="1950" w:type="dxa"/>
            <w:vAlign w:val="center"/>
          </w:tcPr>
          <w:p>
            <w:pPr>
              <w:jc w:val="right"/>
              <w:rPr>
                <w:rFonts w:hint="eastAsia" w:ascii="宋体" w:hAnsi="宋体" w:eastAsia="宋体" w:cs="宋体"/>
                <w:sz w:val="24"/>
              </w:rPr>
            </w:pPr>
            <w:r>
              <w:rPr>
                <w:rFonts w:hint="eastAsia" w:ascii="宋体" w:hAnsi="宋体" w:eastAsia="宋体" w:cs="宋体"/>
                <w:sz w:val="24"/>
              </w:rPr>
              <w:t>14</w:t>
            </w:r>
            <w:r>
              <w:rPr>
                <w:rFonts w:hint="eastAsia" w:ascii="宋体" w:hAnsi="宋体" w:cs="宋体"/>
                <w:sz w:val="24"/>
                <w:lang w:val="en-US" w:eastAsia="zh-CN"/>
              </w:rPr>
              <w:t>,</w:t>
            </w:r>
            <w:r>
              <w:rPr>
                <w:rFonts w:hint="eastAsia" w:ascii="宋体" w:hAnsi="宋体" w:eastAsia="宋体" w:cs="宋体"/>
                <w:sz w:val="24"/>
              </w:rPr>
              <w:t>193</w:t>
            </w:r>
            <w:r>
              <w:rPr>
                <w:rFonts w:hint="eastAsia" w:ascii="宋体" w:hAnsi="宋体" w:cs="宋体"/>
                <w:sz w:val="24"/>
                <w:lang w:val="en-US" w:eastAsia="zh-CN"/>
              </w:rPr>
              <w:t>,</w:t>
            </w:r>
            <w:r>
              <w:rPr>
                <w:rFonts w:hint="eastAsia" w:ascii="宋体" w:hAnsi="宋体" w:eastAsia="宋体" w:cs="宋体"/>
                <w:sz w:val="24"/>
              </w:rPr>
              <w:t>525</w:t>
            </w:r>
          </w:p>
        </w:tc>
        <w:tc>
          <w:tcPr>
            <w:tcW w:w="2587" w:type="dxa"/>
            <w:vAlign w:val="center"/>
          </w:tcPr>
          <w:p>
            <w:pPr>
              <w:jc w:val="right"/>
              <w:rPr>
                <w:rFonts w:hint="eastAsia" w:ascii="宋体" w:hAnsi="宋体" w:eastAsia="宋体" w:cs="宋体"/>
                <w:sz w:val="24"/>
                <w:lang w:val="en-US" w:eastAsia="zh-CN"/>
              </w:rPr>
            </w:pPr>
            <w:r>
              <w:rPr>
                <w:rFonts w:hint="eastAsia" w:ascii="宋体" w:hAnsi="宋体" w:eastAsia="宋体" w:cs="宋体"/>
                <w:sz w:val="24"/>
                <w:lang w:val="en-US" w:eastAsia="zh-CN"/>
              </w:rPr>
              <w:t>0.14</w:t>
            </w:r>
          </w:p>
        </w:tc>
      </w:tr>
    </w:tbl>
    <w:p>
      <w:pPr>
        <w:autoSpaceDE w:val="0"/>
        <w:autoSpaceDN w:val="0"/>
        <w:adjustRightInd w:val="0"/>
        <w:spacing w:line="460" w:lineRule="exact"/>
        <w:ind w:firstLine="0" w:firstLineChars="0"/>
        <w:rPr>
          <w:rFonts w:hint="eastAsia"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t>注：</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20" w:firstLineChars="200"/>
        <w:textAlignment w:val="auto"/>
        <w:rPr>
          <w:rFonts w:hint="eastAsia"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t>①截至本公告披露日，山东能源集团有限公司直接和间接持有本公司股份共5,303,899,421股，占本公司总股本的52.84%。包括：（i）通过自身账号持有公司A股4,395,142,871股；(ii）通过兖矿集团(香港)有</w:t>
      </w:r>
      <w:bookmarkStart w:id="2" w:name="_GoBack"/>
      <w:bookmarkEnd w:id="2"/>
      <w:r>
        <w:rPr>
          <w:rFonts w:hint="eastAsia" w:ascii="楷体_GB2312" w:hAnsi="楷体_GB2312" w:eastAsia="楷体_GB2312" w:cs="楷体_GB2312"/>
          <w:sz w:val="21"/>
          <w:szCs w:val="21"/>
          <w:lang w:val="en-US" w:eastAsia="zh-CN"/>
        </w:rPr>
        <w:t>限公司（“兖矿香港公司”）自身账户持有公司H股626,058,657股；（iii）通过兖矿香港公司质押专户持有公司H股282,697,893股。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20" w:firstLineChars="200"/>
        <w:textAlignment w:val="auto"/>
        <w:rPr>
          <w:rFonts w:hint="eastAsia" w:ascii="楷体_GB2312" w:hAnsi="楷体_GB2312" w:eastAsia="楷体_GB2312" w:cs="楷体_GB2312"/>
          <w:sz w:val="21"/>
          <w:szCs w:val="21"/>
          <w:lang w:val="en-US" w:eastAsia="zh-CN"/>
        </w:rPr>
      </w:pPr>
      <w:r>
        <w:rPr>
          <w:rFonts w:hint="eastAsia" w:ascii="楷体_GB2312" w:hAnsi="楷体_GB2312" w:eastAsia="楷体_GB2312" w:cs="楷体_GB2312"/>
          <w:sz w:val="21"/>
          <w:szCs w:val="21"/>
          <w:lang w:val="en-US" w:eastAsia="zh-CN"/>
        </w:rPr>
        <w:t>②香港中央结算（代理人）有限公司作为公司H股的结算公司，以代理人身份持有公司股票。香港中央结算有限公司为公司沪股通股票的名义持有人。</w:t>
      </w:r>
    </w:p>
    <w:p>
      <w:pPr>
        <w:spacing w:line="560" w:lineRule="exact"/>
        <w:ind w:firstLine="560" w:firstLineChars="200"/>
        <w:rPr>
          <w:rFonts w:hint="eastAsia" w:ascii="宋体" w:hAnsi="宋体"/>
          <w:sz w:val="28"/>
          <w:szCs w:val="28"/>
        </w:rPr>
      </w:pPr>
    </w:p>
    <w:p>
      <w:pPr>
        <w:spacing w:line="560" w:lineRule="exact"/>
        <w:ind w:firstLine="560" w:firstLineChars="200"/>
        <w:rPr>
          <w:rFonts w:ascii="宋体" w:hAnsi="宋体"/>
          <w:sz w:val="28"/>
          <w:szCs w:val="28"/>
        </w:rPr>
      </w:pPr>
      <w:r>
        <w:rPr>
          <w:rFonts w:hint="eastAsia" w:ascii="宋体" w:hAnsi="宋体"/>
          <w:sz w:val="28"/>
          <w:szCs w:val="28"/>
        </w:rPr>
        <w:t>特此公告。</w:t>
      </w:r>
    </w:p>
    <w:p>
      <w:pPr>
        <w:spacing w:line="560" w:lineRule="exact"/>
        <w:ind w:firstLine="5460" w:firstLineChars="1950"/>
        <w:rPr>
          <w:rFonts w:ascii="宋体" w:hAnsi="宋体"/>
          <w:sz w:val="28"/>
          <w:szCs w:val="28"/>
        </w:rPr>
      </w:pPr>
    </w:p>
    <w:p>
      <w:pPr>
        <w:spacing w:line="560" w:lineRule="exact"/>
        <w:ind w:firstLine="4760" w:firstLineChars="1700"/>
        <w:rPr>
          <w:rFonts w:ascii="宋体" w:hAnsi="宋体"/>
          <w:sz w:val="28"/>
          <w:szCs w:val="28"/>
        </w:rPr>
      </w:pPr>
      <w:r>
        <w:rPr>
          <w:rFonts w:hint="eastAsia" w:ascii="宋体" w:hAnsi="宋体"/>
          <w:sz w:val="28"/>
          <w:szCs w:val="28"/>
        </w:rPr>
        <w:t>兖矿能源集团股份有限公司</w:t>
      </w:r>
    </w:p>
    <w:p>
      <w:pPr>
        <w:spacing w:line="560" w:lineRule="exact"/>
        <w:ind w:firstLine="5600" w:firstLineChars="2000"/>
        <w:rPr>
          <w:rFonts w:ascii="宋体" w:hAnsi="宋体"/>
          <w:sz w:val="28"/>
          <w:szCs w:val="28"/>
        </w:rPr>
      </w:pPr>
      <w:r>
        <w:rPr>
          <w:rFonts w:hint="eastAsia" w:ascii="宋体" w:hAnsi="宋体"/>
          <w:sz w:val="28"/>
          <w:szCs w:val="28"/>
        </w:rPr>
        <w:t>2025年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val="en-US" w:eastAsia="zh-CN"/>
        </w:rPr>
        <w:t>5</w:t>
      </w:r>
      <w:r>
        <w:rPr>
          <w:rFonts w:hint="eastAsia" w:ascii="宋体" w:hAnsi="宋体"/>
          <w:sz w:val="28"/>
          <w:szCs w:val="28"/>
        </w:rPr>
        <w:t>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utura Bk">
    <w:altName w:val="Segoe UI"/>
    <w:panose1 w:val="00000000000000000000"/>
    <w:charset w:val="00"/>
    <w:family w:val="swiss"/>
    <w:pitch w:val="default"/>
    <w:sig w:usb0="00000000"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3</w:t>
    </w:r>
    <w:r>
      <w:fldChar w:fldCharType="end"/>
    </w:r>
  </w:p>
  <w:p>
    <w:pPr>
      <w:pStyle w:val="13"/>
      <w:jc w:val="right"/>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w:t>
    </w:r>
    <w:r>
      <w:fldChar w:fldCharType="end"/>
    </w:r>
  </w:p>
  <w:p>
    <w:pPr>
      <w:spacing w:line="400" w:lineRule="exact"/>
      <w:rPr>
        <w:rFonts w:ascii="仿宋_GB2312" w:eastAsia="仿宋_GB2312"/>
        <w:bCs/>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s>
  <w:rsids>
    <w:rsidRoot w:val="00773CF3"/>
    <w:rsid w:val="00013B9B"/>
    <w:rsid w:val="000B64DA"/>
    <w:rsid w:val="001773DA"/>
    <w:rsid w:val="0018172F"/>
    <w:rsid w:val="001F1C1D"/>
    <w:rsid w:val="0026040D"/>
    <w:rsid w:val="003240D5"/>
    <w:rsid w:val="003C6CEA"/>
    <w:rsid w:val="004134D3"/>
    <w:rsid w:val="0041362E"/>
    <w:rsid w:val="00436B74"/>
    <w:rsid w:val="005473AE"/>
    <w:rsid w:val="005E3112"/>
    <w:rsid w:val="00773CF3"/>
    <w:rsid w:val="00803F11"/>
    <w:rsid w:val="00866D70"/>
    <w:rsid w:val="00952CB7"/>
    <w:rsid w:val="0096166A"/>
    <w:rsid w:val="009C2AB3"/>
    <w:rsid w:val="00A25560"/>
    <w:rsid w:val="00AE655E"/>
    <w:rsid w:val="00C71488"/>
    <w:rsid w:val="00DE78B9"/>
    <w:rsid w:val="00E916D2"/>
    <w:rsid w:val="00F53CA6"/>
    <w:rsid w:val="00FB6394"/>
    <w:rsid w:val="04B76AA3"/>
    <w:rsid w:val="0E62779A"/>
    <w:rsid w:val="123B37A0"/>
    <w:rsid w:val="14213E6D"/>
    <w:rsid w:val="176F167E"/>
    <w:rsid w:val="17BE23BE"/>
    <w:rsid w:val="1A404D20"/>
    <w:rsid w:val="1FFB3834"/>
    <w:rsid w:val="2480698E"/>
    <w:rsid w:val="27A33107"/>
    <w:rsid w:val="3BDD601C"/>
    <w:rsid w:val="413715A0"/>
    <w:rsid w:val="459A3962"/>
    <w:rsid w:val="46862ED8"/>
    <w:rsid w:val="48A806D2"/>
    <w:rsid w:val="4BF871E2"/>
    <w:rsid w:val="52D03C21"/>
    <w:rsid w:val="576158FB"/>
    <w:rsid w:val="59BD183B"/>
    <w:rsid w:val="5A566CC1"/>
    <w:rsid w:val="63DE27AE"/>
    <w:rsid w:val="77B227F5"/>
    <w:rsid w:val="79FC7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qFormat/>
    <w:uiPriority w:val="0"/>
    <w:pPr>
      <w:jc w:val="left"/>
    </w:pPr>
  </w:style>
  <w:style w:type="paragraph" w:styleId="5">
    <w:name w:val="Body Text 3"/>
    <w:basedOn w:val="1"/>
    <w:qFormat/>
    <w:uiPriority w:val="0"/>
    <w:pPr>
      <w:spacing w:line="840" w:lineRule="exact"/>
      <w:jc w:val="center"/>
    </w:pPr>
    <w:rPr>
      <w:rFonts w:ascii="方正大标宋简体" w:hAnsi="宋体" w:eastAsia="方正大标宋简体"/>
      <w:bCs/>
      <w:sz w:val="42"/>
      <w:szCs w:val="42"/>
    </w:rPr>
  </w:style>
  <w:style w:type="paragraph" w:styleId="6">
    <w:name w:val="Body Text"/>
    <w:basedOn w:val="1"/>
    <w:qFormat/>
    <w:uiPriority w:val="0"/>
    <w:pPr>
      <w:spacing w:after="120"/>
    </w:pPr>
  </w:style>
  <w:style w:type="paragraph" w:styleId="7">
    <w:name w:val="Body Text Indent"/>
    <w:basedOn w:val="1"/>
    <w:link w:val="28"/>
    <w:qFormat/>
    <w:uiPriority w:val="0"/>
    <w:pPr>
      <w:spacing w:line="600" w:lineRule="atLeast"/>
      <w:ind w:firstLine="646"/>
    </w:pPr>
    <w:rPr>
      <w:rFonts w:ascii="仿宋_GB2312" w:eastAsia="仿宋_GB2312"/>
      <w:sz w:val="32"/>
      <w:szCs w:val="20"/>
    </w:rPr>
  </w:style>
  <w:style w:type="paragraph" w:styleId="8">
    <w:name w:val="Block Text"/>
    <w:basedOn w:val="1"/>
    <w:qFormat/>
    <w:uiPriority w:val="0"/>
    <w:pPr>
      <w:spacing w:line="360" w:lineRule="auto"/>
      <w:ind w:left="840" w:right="840"/>
      <w:jc w:val="center"/>
    </w:pPr>
    <w:rPr>
      <w:sz w:val="36"/>
      <w:szCs w:val="20"/>
    </w:rPr>
  </w:style>
  <w:style w:type="paragraph" w:styleId="9">
    <w:name w:val="Plain Text"/>
    <w:basedOn w:val="1"/>
    <w:qFormat/>
    <w:uiPriority w:val="0"/>
    <w:rPr>
      <w:rFonts w:hint="eastAsia" w:ascii="宋体" w:hAnsi="Courier New"/>
      <w:szCs w:val="20"/>
    </w:rPr>
  </w:style>
  <w:style w:type="paragraph" w:styleId="10">
    <w:name w:val="Date"/>
    <w:basedOn w:val="1"/>
    <w:next w:val="1"/>
    <w:link w:val="29"/>
    <w:qFormat/>
    <w:uiPriority w:val="0"/>
    <w:rPr>
      <w:rFonts w:ascii="楷体_GB2312" w:eastAsia="楷体_GB2312"/>
      <w:sz w:val="32"/>
      <w:szCs w:val="20"/>
    </w:rPr>
  </w:style>
  <w:style w:type="paragraph" w:styleId="11">
    <w:name w:val="Body Text Indent 2"/>
    <w:basedOn w:val="1"/>
    <w:link w:val="30"/>
    <w:qFormat/>
    <w:uiPriority w:val="0"/>
    <w:pPr>
      <w:spacing w:line="600" w:lineRule="exact"/>
      <w:ind w:firstLine="600" w:firstLineChars="200"/>
    </w:pPr>
    <w:rPr>
      <w:rFonts w:ascii="仿宋_GB2312" w:hAnsi="宋体" w:eastAsia="仿宋_GB2312"/>
      <w:sz w:val="30"/>
      <w:szCs w:val="30"/>
    </w:rPr>
  </w:style>
  <w:style w:type="paragraph" w:styleId="12">
    <w:name w:val="Balloon Text"/>
    <w:basedOn w:val="1"/>
    <w:link w:val="31"/>
    <w:semiHidden/>
    <w:qFormat/>
    <w:uiPriority w:val="0"/>
    <w:rPr>
      <w:sz w:val="18"/>
      <w:szCs w:val="18"/>
    </w:rPr>
  </w:style>
  <w:style w:type="paragraph" w:styleId="13">
    <w:name w:val="footer"/>
    <w:basedOn w:val="1"/>
    <w:link w:val="32"/>
    <w:qFormat/>
    <w:uiPriority w:val="99"/>
    <w:pPr>
      <w:tabs>
        <w:tab w:val="center" w:pos="4153"/>
        <w:tab w:val="right" w:pos="8306"/>
      </w:tabs>
      <w:snapToGrid w:val="0"/>
      <w:jc w:val="left"/>
    </w:pPr>
    <w:rPr>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16">
    <w:name w:val="Body Text 2"/>
    <w:basedOn w:val="1"/>
    <w:qFormat/>
    <w:uiPriority w:val="0"/>
    <w:pPr>
      <w:spacing w:line="840" w:lineRule="exact"/>
      <w:jc w:val="center"/>
    </w:pPr>
    <w:rPr>
      <w:rFonts w:ascii="黑体" w:hAnsi="宋体" w:eastAsia="黑体"/>
      <w:b/>
      <w:sz w:val="44"/>
      <w:szCs w:val="42"/>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4"/>
    <w:qFormat/>
    <w:uiPriority w:val="0"/>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qFormat/>
    <w:uiPriority w:val="0"/>
  </w:style>
  <w:style w:type="character" w:styleId="24">
    <w:name w:val="FollowedHyperlink"/>
    <w:qFormat/>
    <w:uiPriority w:val="0"/>
    <w:rPr>
      <w:color w:val="800080"/>
      <w:u w:val="single"/>
    </w:rPr>
  </w:style>
  <w:style w:type="character" w:styleId="25">
    <w:name w:val="Hyperlink"/>
    <w:unhideWhenUsed/>
    <w:qFormat/>
    <w:uiPriority w:val="0"/>
    <w:rPr>
      <w:color w:val="0000FF"/>
      <w:u w:val="single"/>
    </w:rPr>
  </w:style>
  <w:style w:type="character" w:styleId="26">
    <w:name w:val="annotation reference"/>
    <w:qFormat/>
    <w:uiPriority w:val="0"/>
    <w:rPr>
      <w:sz w:val="21"/>
      <w:szCs w:val="21"/>
    </w:rPr>
  </w:style>
  <w:style w:type="character" w:customStyle="1" w:styleId="27">
    <w:name w:val="批注文字 字符"/>
    <w:link w:val="4"/>
    <w:qFormat/>
    <w:uiPriority w:val="0"/>
    <w:rPr>
      <w:kern w:val="2"/>
      <w:sz w:val="21"/>
      <w:szCs w:val="24"/>
    </w:rPr>
  </w:style>
  <w:style w:type="character" w:customStyle="1" w:styleId="28">
    <w:name w:val="正文文本缩进 字符"/>
    <w:link w:val="7"/>
    <w:qFormat/>
    <w:uiPriority w:val="0"/>
    <w:rPr>
      <w:rFonts w:ascii="仿宋_GB2312" w:eastAsia="仿宋_GB2312"/>
      <w:kern w:val="2"/>
      <w:sz w:val="32"/>
      <w:lang w:val="en-US" w:eastAsia="zh-CN" w:bidi="ar-SA"/>
    </w:rPr>
  </w:style>
  <w:style w:type="character" w:customStyle="1" w:styleId="29">
    <w:name w:val="日期 字符"/>
    <w:link w:val="10"/>
    <w:qFormat/>
    <w:uiPriority w:val="0"/>
    <w:rPr>
      <w:rFonts w:ascii="楷体_GB2312" w:eastAsia="楷体_GB2312"/>
      <w:kern w:val="2"/>
      <w:sz w:val="32"/>
      <w:lang w:val="en-US" w:eastAsia="zh-CN" w:bidi="ar-SA"/>
    </w:rPr>
  </w:style>
  <w:style w:type="character" w:customStyle="1" w:styleId="30">
    <w:name w:val="正文文本缩进 2 字符"/>
    <w:link w:val="11"/>
    <w:qFormat/>
    <w:uiPriority w:val="0"/>
    <w:rPr>
      <w:rFonts w:ascii="仿宋_GB2312" w:hAnsi="宋体" w:eastAsia="仿宋_GB2312"/>
      <w:kern w:val="2"/>
      <w:sz w:val="30"/>
      <w:szCs w:val="30"/>
      <w:lang w:val="en-US" w:eastAsia="zh-CN" w:bidi="ar-SA"/>
    </w:rPr>
  </w:style>
  <w:style w:type="character" w:customStyle="1" w:styleId="31">
    <w:name w:val="批注框文本 字符"/>
    <w:link w:val="12"/>
    <w:semiHidden/>
    <w:qFormat/>
    <w:uiPriority w:val="0"/>
    <w:rPr>
      <w:rFonts w:eastAsia="宋体"/>
      <w:kern w:val="2"/>
      <w:sz w:val="18"/>
      <w:szCs w:val="18"/>
      <w:lang w:val="en-US" w:eastAsia="zh-CN" w:bidi="ar-SA"/>
    </w:rPr>
  </w:style>
  <w:style w:type="character" w:customStyle="1" w:styleId="32">
    <w:name w:val="页脚 字符"/>
    <w:link w:val="13"/>
    <w:qFormat/>
    <w:uiPriority w:val="99"/>
    <w:rPr>
      <w:rFonts w:eastAsia="宋体"/>
      <w:kern w:val="2"/>
      <w:sz w:val="18"/>
      <w:szCs w:val="18"/>
      <w:lang w:val="en-US" w:eastAsia="zh-CN" w:bidi="ar-SA"/>
    </w:rPr>
  </w:style>
  <w:style w:type="character" w:customStyle="1" w:styleId="33">
    <w:name w:val="页眉 字符"/>
    <w:link w:val="14"/>
    <w:qFormat/>
    <w:uiPriority w:val="0"/>
    <w:rPr>
      <w:rFonts w:eastAsia="宋体"/>
      <w:kern w:val="2"/>
      <w:sz w:val="18"/>
      <w:szCs w:val="18"/>
      <w:lang w:val="en-US" w:eastAsia="zh-CN" w:bidi="ar-SA"/>
    </w:rPr>
  </w:style>
  <w:style w:type="character" w:customStyle="1" w:styleId="34">
    <w:name w:val="批注主题 字符"/>
    <w:link w:val="18"/>
    <w:qFormat/>
    <w:uiPriority w:val="0"/>
    <w:rPr>
      <w:b/>
      <w:bCs/>
      <w:kern w:val="2"/>
      <w:sz w:val="21"/>
      <w:szCs w:val="24"/>
    </w:rPr>
  </w:style>
  <w:style w:type="character" w:customStyle="1" w:styleId="35">
    <w:name w:val="afont1"/>
    <w:qFormat/>
    <w:uiPriority w:val="0"/>
  </w:style>
  <w:style w:type="character" w:customStyle="1" w:styleId="36">
    <w:name w:val="Body Text Indent Char"/>
    <w:qFormat/>
    <w:locked/>
    <w:uiPriority w:val="0"/>
    <w:rPr>
      <w:rFonts w:ascii="仿宋_GB2312" w:eastAsia="仿宋_GB2312"/>
      <w:kern w:val="2"/>
      <w:sz w:val="32"/>
      <w:lang w:val="en-US" w:eastAsia="zh-CN" w:bidi="ar-SA"/>
    </w:rPr>
  </w:style>
  <w:style w:type="character" w:customStyle="1" w:styleId="37">
    <w:name w:val="未处理的提及1"/>
    <w:unhideWhenUsed/>
    <w:qFormat/>
    <w:uiPriority w:val="99"/>
    <w:rPr>
      <w:color w:val="605E5C"/>
      <w:shd w:val="clear" w:color="auto" w:fill="E1DFDD"/>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_Style 7"/>
    <w:basedOn w:val="1"/>
    <w:next w:val="8"/>
    <w:qFormat/>
    <w:uiPriority w:val="0"/>
    <w:pPr>
      <w:spacing w:line="360" w:lineRule="auto"/>
      <w:ind w:left="840" w:leftChars="400" w:right="840" w:rightChars="400"/>
      <w:jc w:val="center"/>
    </w:pPr>
    <w:rPr>
      <w:sz w:val="36"/>
    </w:rPr>
  </w:style>
  <w:style w:type="paragraph" w:customStyle="1" w:styleId="4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41">
    <w:name w:val="彩色列表 - 强调文字颜色 11"/>
    <w:basedOn w:val="1"/>
    <w:qFormat/>
    <w:uiPriority w:val="0"/>
    <w:pPr>
      <w:widowControl/>
      <w:spacing w:after="200" w:line="276" w:lineRule="auto"/>
      <w:ind w:left="720"/>
      <w:contextualSpacing/>
      <w:jc w:val="left"/>
    </w:pPr>
    <w:rPr>
      <w:rFonts w:ascii="Cambria" w:hAnsi="Cambria"/>
      <w:kern w:val="0"/>
      <w:sz w:val="22"/>
      <w:szCs w:val="22"/>
      <w:lang w:eastAsia="en-US" w:bidi="en-US"/>
    </w:rPr>
  </w:style>
  <w:style w:type="paragraph" w:customStyle="1" w:styleId="42">
    <w:name w:val="Char1"/>
    <w:basedOn w:val="1"/>
    <w:qFormat/>
    <w:uiPriority w:val="0"/>
    <w:pPr>
      <w:widowControl/>
      <w:pBdr>
        <w:bottom w:val="single" w:color="auto" w:sz="6" w:space="1"/>
      </w:pBdr>
      <w:jc w:val="left"/>
    </w:pPr>
    <w:rPr>
      <w:rFonts w:ascii="Futura Bk" w:hAnsi="Futura Bk"/>
      <w:kern w:val="0"/>
      <w:sz w:val="20"/>
      <w:szCs w:val="20"/>
      <w:lang w:val="en-GB" w:eastAsia="en-US"/>
    </w:rPr>
  </w:style>
  <w:style w:type="paragraph" w:styleId="4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1169</Words>
  <Characters>1543</Characters>
  <Lines>4</Lines>
  <Paragraphs>1</Paragraphs>
  <TotalTime>56</TotalTime>
  <ScaleCrop>false</ScaleCrop>
  <LinksUpToDate>false</LinksUpToDate>
  <CharactersWithSpaces>1569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2025-09-03T08:44:00Z</dcterms:created>
  <dc:creator>熊振中</dc:creator>
  <cp:lastModifiedBy>YUANSU HU</cp:lastModifiedBy>
  <cp:lastPrinted>2025-09-05T03:46:00Z</cp:lastPrinted>
  <dcterms:modified xsi:type="dcterms:W3CDTF">2025-09-05T06:23:08Z</dcterms:modified>
  <dc:title>上证交字〔2003〕10号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_FileSaveTime">
    <vt:lpwstr>2021-03-16 09:35:12</vt:lpwstr>
  </property>
  <property fmtid="{D5CDD505-2E9C-101B-9397-08002B2CF9AE}" pid="3" name="BD_Doc_Page_Count">
    <vt:lpwstr>3</vt:lpwstr>
  </property>
  <property fmtid="{D5CDD505-2E9C-101B-9397-08002B2CF9AE}" pid="4" name="KSOProductBuildVer">
    <vt:lpwstr>2052-11.1.0.14309</vt:lpwstr>
  </property>
  <property fmtid="{D5CDD505-2E9C-101B-9397-08002B2CF9AE}" pid="5" name="ICV">
    <vt:lpwstr>0AA81197260B4ADD89B20514F54975CA_13</vt:lpwstr>
  </property>
  <property fmtid="{D5CDD505-2E9C-101B-9397-08002B2CF9AE}" pid="6" name="5B77E7CEEC58BC6AFAE8886BEB80DBEB">
    <vt:lpwstr>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</vt:lpwstr>
  </property>
  <property fmtid="{D5CDD505-2E9C-101B-9397-08002B2CF9AE}" pid="7" name="KSOTemplateDocerSaveRecord">
    <vt:lpwstr>eyJoZGlkIjoiNmJjMzlkOGJiNjZiNTM0ZTE5OGJjZDMyNWQxNjRhYjciLCJ1c2VySWQiOiI0NDYyMDcwMjAifQ==</vt:lpwstr>
  </property>
</Properties>
</file>