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w:t>
      </w:r>
      <w:r>
        <w:rPr>
          <w:rFonts w:hint="eastAsia" w:ascii="黑体" w:hAnsi="黑体" w:eastAsia="黑体"/>
          <w:color w:val="000000"/>
          <w:lang w:val="en-US" w:eastAsia="zh-CN"/>
        </w:rPr>
        <w:t>5</w:t>
      </w:r>
      <w:r>
        <w:rPr>
          <w:rFonts w:ascii="黑体" w:hAnsi="黑体" w:eastAsia="黑体"/>
          <w:color w:val="000000"/>
        </w:rPr>
        <w:t>-</w:t>
      </w:r>
      <w:r>
        <w:rPr>
          <w:rFonts w:hint="eastAsia" w:ascii="黑体" w:hAnsi="黑体" w:eastAsia="黑体"/>
          <w:color w:val="000000"/>
        </w:rPr>
        <w:t>0</w:t>
      </w:r>
      <w:r>
        <w:rPr>
          <w:rFonts w:hint="eastAsia" w:ascii="黑体" w:hAnsi="黑体" w:eastAsia="黑体"/>
          <w:color w:val="000000"/>
          <w:lang w:val="en-US" w:eastAsia="zh-CN"/>
        </w:rPr>
        <w:t>54</w:t>
      </w:r>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202</w:t>
      </w:r>
      <w:r>
        <w:rPr>
          <w:rFonts w:hint="eastAsia" w:ascii="黑体" w:eastAsia="黑体"/>
          <w:b/>
          <w:bCs/>
          <w:color w:val="FF0000"/>
          <w:sz w:val="36"/>
          <w:szCs w:val="36"/>
          <w:lang w:val="en-US" w:eastAsia="zh-CN"/>
        </w:rPr>
        <w:t>5</w:t>
      </w:r>
      <w:r>
        <w:rPr>
          <w:rFonts w:hint="eastAsia" w:ascii="黑体" w:eastAsia="黑体"/>
          <w:b/>
          <w:bCs/>
          <w:color w:val="FF0000"/>
          <w:sz w:val="36"/>
          <w:szCs w:val="36"/>
        </w:rPr>
        <w:t>年</w:t>
      </w:r>
      <w:r>
        <w:rPr>
          <w:rFonts w:hint="eastAsia" w:ascii="黑体" w:eastAsia="黑体"/>
          <w:b/>
          <w:bCs/>
          <w:color w:val="FF0000"/>
          <w:sz w:val="36"/>
          <w:szCs w:val="36"/>
          <w:lang w:val="en-US" w:eastAsia="zh-CN"/>
        </w:rPr>
        <w:t>半年</w:t>
      </w:r>
      <w:r>
        <w:rPr>
          <w:rFonts w:hint="eastAsia" w:ascii="黑体" w:eastAsia="黑体"/>
          <w:b/>
          <w:bCs/>
          <w:color w:val="FF0000"/>
          <w:sz w:val="36"/>
          <w:szCs w:val="36"/>
        </w:rPr>
        <w:t>度利润分配方案公告</w:t>
      </w:r>
    </w:p>
    <w:p>
      <w:pPr>
        <w:spacing w:line="500" w:lineRule="exact"/>
        <w:jc w:val="center"/>
        <w:rPr>
          <w:rFonts w:ascii="黑体" w:eastAsia="黑体"/>
          <w:b/>
          <w:bCs/>
          <w:color w:val="FF0000"/>
          <w:sz w:val="36"/>
          <w:szCs w:val="36"/>
        </w:rPr>
      </w:pPr>
      <w:r>
        <w:rPr>
          <w:rFonts w:ascii="黑体" w:eastAsia="黑体"/>
          <w:b/>
          <w:bCs/>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10160" t="8255" r="8890" b="1143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540"/>
        <w:textAlignment w:val="auto"/>
        <w:rPr>
          <w:rFonts w:ascii="宋体" w:hAnsi="宋体"/>
          <w:b/>
          <w:color w:val="000000"/>
          <w:sz w:val="28"/>
          <w:szCs w:val="28"/>
        </w:rPr>
      </w:pPr>
      <w:r>
        <w:rPr>
          <w:rFonts w:hint="eastAsia" w:ascii="宋体" w:hAnsi="宋体"/>
          <w:b/>
          <w:color w:val="000000"/>
          <w:sz w:val="28"/>
          <w:szCs w:val="28"/>
        </w:rPr>
        <w:t>重要内容提示：</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hint="eastAsia" w:ascii="宋体" w:hAnsi="宋体" w:eastAsia="宋体"/>
          <w:color w:val="000000"/>
          <w:sz w:val="28"/>
          <w:szCs w:val="28"/>
          <w:lang w:eastAsia="zh-CN"/>
        </w:rPr>
      </w:pPr>
      <w:r>
        <w:rPr>
          <w:rFonts w:hint="eastAsia" w:ascii="宋体" w:hAnsi="宋体"/>
          <w:color w:val="000000"/>
          <w:sz w:val="28"/>
          <w:szCs w:val="28"/>
        </w:rPr>
        <w:t>● 每股分配比例：每股派发现金</w:t>
      </w:r>
      <w:r>
        <w:rPr>
          <w:rFonts w:hint="eastAsia" w:ascii="宋体" w:hAnsi="宋体"/>
          <w:color w:val="000000"/>
          <w:sz w:val="28"/>
          <w:szCs w:val="28"/>
          <w:lang w:val="en-US" w:eastAsia="zh-CN"/>
        </w:rPr>
        <w:t>股</w:t>
      </w:r>
      <w:r>
        <w:rPr>
          <w:rFonts w:hint="eastAsia" w:ascii="宋体" w:hAnsi="宋体"/>
          <w:color w:val="000000"/>
          <w:sz w:val="28"/>
          <w:szCs w:val="28"/>
        </w:rPr>
        <w:t>利</w:t>
      </w:r>
      <w:r>
        <w:rPr>
          <w:rFonts w:hint="eastAsia" w:ascii="宋体" w:hAnsi="宋体"/>
          <w:color w:val="000000"/>
          <w:sz w:val="28"/>
          <w:szCs w:val="28"/>
          <w:lang w:val="en-US" w:eastAsia="zh-CN"/>
        </w:rPr>
        <w:t>人民币0.18</w:t>
      </w:r>
      <w:r>
        <w:rPr>
          <w:rFonts w:hint="eastAsia" w:ascii="宋体" w:hAnsi="宋体"/>
          <w:color w:val="000000"/>
          <w:sz w:val="28"/>
          <w:szCs w:val="28"/>
        </w:rPr>
        <w:t>元（含税）</w:t>
      </w:r>
      <w:r>
        <w:rPr>
          <w:rFonts w:hint="eastAsia" w:ascii="宋体" w:hAnsi="宋体"/>
          <w:color w:val="00000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 本次利润分配以实施权益分派股权登记日登记的总股本为基数，具体日期将在权益分派实施公告中明确。</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highlight w:val="none"/>
        </w:rPr>
        <w:t>在实施权益分派的股权登记日前</w:t>
      </w: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如</w:t>
      </w:r>
      <w:r>
        <w:rPr>
          <w:rFonts w:hint="eastAsia" w:ascii="宋体" w:hAnsi="宋体"/>
          <w:color w:val="000000"/>
          <w:sz w:val="28"/>
          <w:szCs w:val="28"/>
          <w:highlight w:val="none"/>
        </w:rPr>
        <w:t>公司总股本发生变动，拟维持每股分配</w:t>
      </w:r>
      <w:r>
        <w:rPr>
          <w:rFonts w:hint="eastAsia" w:ascii="宋体" w:hAnsi="宋体"/>
          <w:color w:val="000000"/>
          <w:sz w:val="28"/>
          <w:szCs w:val="28"/>
          <w:highlight w:val="none"/>
          <w:lang w:val="en-US" w:eastAsia="zh-CN"/>
        </w:rPr>
        <w:t>金额</w:t>
      </w:r>
      <w:r>
        <w:rPr>
          <w:rFonts w:hint="eastAsia" w:ascii="宋体" w:hAnsi="宋体"/>
          <w:color w:val="000000"/>
          <w:sz w:val="28"/>
          <w:szCs w:val="28"/>
          <w:highlight w:val="none"/>
        </w:rPr>
        <w:t>不变，相应调整分配总额，并另行公告具体调整情况。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一、利润分配方案内容</w:t>
      </w:r>
    </w:p>
    <w:p>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r>
        <w:rPr>
          <w:rFonts w:hint="eastAsia" w:ascii="宋体" w:hAnsi="宋体"/>
          <w:color w:val="000000"/>
          <w:sz w:val="28"/>
          <w:szCs w:val="28"/>
        </w:rPr>
        <w:t>截至</w:t>
      </w:r>
      <w:r>
        <w:rPr>
          <w:rFonts w:hint="eastAsia" w:ascii="宋体" w:hAnsi="宋体"/>
          <w:color w:val="000000"/>
          <w:sz w:val="28"/>
          <w:szCs w:val="28"/>
          <w:lang w:val="en-US" w:eastAsia="zh-CN"/>
        </w:rPr>
        <w:t>2025</w:t>
      </w:r>
      <w:r>
        <w:rPr>
          <w:rFonts w:hint="eastAsia" w:ascii="宋体" w:hAnsi="宋体"/>
          <w:color w:val="000000"/>
          <w:sz w:val="28"/>
          <w:szCs w:val="28"/>
        </w:rPr>
        <w:t>年</w:t>
      </w:r>
      <w:r>
        <w:rPr>
          <w:rFonts w:hint="eastAsia" w:ascii="宋体" w:hAnsi="宋体"/>
          <w:color w:val="000000"/>
          <w:sz w:val="28"/>
          <w:szCs w:val="28"/>
          <w:lang w:val="en-US" w:eastAsia="zh-CN"/>
        </w:rPr>
        <w:t>6</w:t>
      </w:r>
      <w:r>
        <w:rPr>
          <w:rFonts w:hint="eastAsia" w:ascii="宋体" w:hAnsi="宋体"/>
          <w:color w:val="000000"/>
          <w:sz w:val="28"/>
          <w:szCs w:val="28"/>
        </w:rPr>
        <w:t>月</w:t>
      </w:r>
      <w:r>
        <w:rPr>
          <w:rFonts w:hint="eastAsia" w:ascii="宋体" w:hAnsi="宋体"/>
          <w:color w:val="000000"/>
          <w:sz w:val="28"/>
          <w:szCs w:val="28"/>
          <w:lang w:val="en-US" w:eastAsia="zh-CN"/>
        </w:rPr>
        <w:t>30</w:t>
      </w:r>
      <w:r>
        <w:rPr>
          <w:rFonts w:hint="eastAsia" w:ascii="宋体" w:hAnsi="宋体"/>
          <w:color w:val="000000"/>
          <w:sz w:val="28"/>
          <w:szCs w:val="28"/>
        </w:rPr>
        <w:t>日，公司母公司报表</w:t>
      </w:r>
      <w:r>
        <w:rPr>
          <w:rFonts w:hint="eastAsia" w:ascii="宋体" w:hAnsi="宋体"/>
          <w:color w:val="000000"/>
          <w:sz w:val="28"/>
          <w:szCs w:val="28"/>
          <w:lang w:val="en-US" w:eastAsia="zh-CN"/>
        </w:rPr>
        <w:t>半年度</w:t>
      </w:r>
      <w:r>
        <w:rPr>
          <w:rFonts w:hint="eastAsia" w:ascii="宋体" w:hAnsi="宋体"/>
          <w:color w:val="000000"/>
          <w:sz w:val="28"/>
          <w:szCs w:val="28"/>
        </w:rPr>
        <w:t>末未分配利润为人民币</w:t>
      </w:r>
      <w:r>
        <w:rPr>
          <w:rFonts w:hint="eastAsia" w:ascii="宋体" w:hAnsi="宋体"/>
          <w:color w:val="000000"/>
          <w:sz w:val="28"/>
          <w:szCs w:val="28"/>
          <w:lang w:val="en-US" w:eastAsia="zh-CN"/>
        </w:rPr>
        <w:t>54.59</w:t>
      </w:r>
      <w:r>
        <w:rPr>
          <w:rFonts w:hint="eastAsia" w:ascii="宋体" w:hAnsi="宋体" w:cs="宋体"/>
          <w:color w:val="000000"/>
          <w:sz w:val="28"/>
          <w:szCs w:val="28"/>
          <w:lang w:val="en-US" w:eastAsia="zh-CN"/>
        </w:rPr>
        <w:t>亿</w:t>
      </w:r>
      <w:r>
        <w:rPr>
          <w:rFonts w:hint="eastAsia" w:ascii="宋体" w:hAnsi="宋体"/>
          <w:color w:val="000000"/>
          <w:sz w:val="28"/>
          <w:szCs w:val="28"/>
        </w:rPr>
        <w:t>元。经董事会决议，公司</w:t>
      </w:r>
      <w:r>
        <w:rPr>
          <w:rFonts w:hint="eastAsia" w:ascii="宋体" w:hAnsi="宋体"/>
          <w:color w:val="000000"/>
          <w:sz w:val="28"/>
          <w:szCs w:val="28"/>
          <w:lang w:val="en-US" w:eastAsia="zh-CN"/>
        </w:rPr>
        <w:t>2025</w:t>
      </w:r>
      <w:r>
        <w:rPr>
          <w:rFonts w:hint="eastAsia" w:ascii="宋体" w:hAnsi="宋体"/>
          <w:color w:val="000000"/>
          <w:sz w:val="28"/>
          <w:szCs w:val="28"/>
        </w:rPr>
        <w:t>年半年度拟以实施权益分派股权登记日登记的总股本为基数分配利润。本次利润分配方案如下：</w:t>
      </w:r>
    </w:p>
    <w:p>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lang w:eastAsia="zh-CN"/>
        </w:rPr>
      </w:pPr>
      <w:r>
        <w:rPr>
          <w:rFonts w:hint="eastAsia" w:ascii="宋体" w:hAnsi="宋体"/>
          <w:color w:val="000000"/>
          <w:sz w:val="28"/>
          <w:szCs w:val="28"/>
        </w:rPr>
        <w:t>公司拟向全体股东</w:t>
      </w:r>
      <w:r>
        <w:rPr>
          <w:rFonts w:hint="eastAsia" w:ascii="宋体" w:hAnsi="宋体"/>
          <w:color w:val="000000"/>
          <w:sz w:val="28"/>
          <w:szCs w:val="28"/>
          <w:lang w:val="en-US" w:eastAsia="zh-CN"/>
        </w:rPr>
        <w:t>派发2025</w:t>
      </w:r>
      <w:r>
        <w:rPr>
          <w:rFonts w:hint="eastAsia" w:ascii="宋体" w:hAnsi="宋体"/>
          <w:color w:val="000000"/>
          <w:sz w:val="28"/>
          <w:szCs w:val="28"/>
        </w:rPr>
        <w:t>年半年度现金股利</w:t>
      </w:r>
      <w:r>
        <w:rPr>
          <w:rFonts w:hint="eastAsia" w:ascii="宋体" w:hAnsi="宋体"/>
          <w:color w:val="000000"/>
          <w:sz w:val="28"/>
          <w:szCs w:val="28"/>
          <w:lang w:val="en-US" w:eastAsia="zh-CN"/>
        </w:rPr>
        <w:t>人民币0.18</w:t>
      </w:r>
      <w:r>
        <w:rPr>
          <w:rFonts w:hint="eastAsia" w:ascii="宋体" w:hAnsi="宋体"/>
          <w:color w:val="000000"/>
          <w:sz w:val="28"/>
          <w:szCs w:val="28"/>
        </w:rPr>
        <w:t>元/股（含税）</w:t>
      </w:r>
      <w:r>
        <w:rPr>
          <w:rFonts w:hint="eastAsia" w:ascii="宋体" w:hAnsi="宋体"/>
          <w:color w:val="000000"/>
          <w:sz w:val="28"/>
          <w:szCs w:val="28"/>
          <w:lang w:eastAsia="zh-CN"/>
        </w:rPr>
        <w:t>。</w:t>
      </w:r>
      <w:r>
        <w:rPr>
          <w:rFonts w:hint="eastAsia" w:ascii="宋体" w:hAnsi="宋体"/>
          <w:color w:val="000000"/>
          <w:sz w:val="28"/>
          <w:szCs w:val="28"/>
        </w:rPr>
        <w:t>截至</w:t>
      </w:r>
      <w:r>
        <w:rPr>
          <w:rFonts w:hint="eastAsia" w:ascii="宋体" w:hAnsi="宋体"/>
          <w:color w:val="000000"/>
          <w:sz w:val="28"/>
          <w:szCs w:val="28"/>
          <w:lang w:val="en-US" w:eastAsia="zh-CN"/>
        </w:rPr>
        <w:t>本公告披露日</w:t>
      </w:r>
      <w:r>
        <w:rPr>
          <w:rFonts w:hint="eastAsia" w:ascii="宋体" w:hAnsi="宋体"/>
          <w:color w:val="000000"/>
          <w:sz w:val="28"/>
          <w:szCs w:val="28"/>
        </w:rPr>
        <w:t>，公司总股本为</w:t>
      </w:r>
      <w:r>
        <w:rPr>
          <w:rFonts w:hint="eastAsia" w:ascii="宋体" w:hAnsi="宋体"/>
          <w:color w:val="000000"/>
          <w:sz w:val="28"/>
          <w:szCs w:val="28"/>
          <w:lang w:val="en-US" w:eastAsia="zh-CN"/>
        </w:rPr>
        <w:t>10</w:t>
      </w:r>
      <w:bookmarkStart w:id="0" w:name="_GoBack"/>
      <w:bookmarkEnd w:id="0"/>
      <w:r>
        <w:rPr>
          <w:rFonts w:hint="eastAsia" w:ascii="宋体" w:hAnsi="宋体"/>
          <w:color w:val="000000"/>
          <w:sz w:val="28"/>
          <w:szCs w:val="28"/>
          <w:lang w:val="en-US" w:eastAsia="zh-CN"/>
        </w:rPr>
        <w:t>,037,480,544</w:t>
      </w:r>
      <w:r>
        <w:rPr>
          <w:rFonts w:hint="eastAsia" w:ascii="宋体" w:hAnsi="宋体"/>
          <w:color w:val="000000"/>
          <w:sz w:val="28"/>
          <w:szCs w:val="28"/>
        </w:rPr>
        <w:t>股，以此计算合计拟派发现金</w:t>
      </w:r>
      <w:r>
        <w:rPr>
          <w:rFonts w:hint="eastAsia" w:ascii="宋体" w:hAnsi="宋体"/>
          <w:color w:val="000000"/>
          <w:sz w:val="28"/>
          <w:szCs w:val="28"/>
          <w:lang w:val="en-US" w:eastAsia="zh-CN"/>
        </w:rPr>
        <w:t>股</w:t>
      </w:r>
      <w:r>
        <w:rPr>
          <w:rFonts w:hint="eastAsia" w:ascii="宋体" w:hAnsi="宋体"/>
          <w:color w:val="000000"/>
          <w:sz w:val="28"/>
          <w:szCs w:val="28"/>
        </w:rPr>
        <w:t>利</w:t>
      </w:r>
      <w:r>
        <w:rPr>
          <w:rFonts w:hint="eastAsia" w:ascii="宋体" w:hAnsi="宋体"/>
          <w:color w:val="000000"/>
          <w:sz w:val="28"/>
          <w:szCs w:val="28"/>
          <w:lang w:val="en-US" w:eastAsia="zh-CN"/>
        </w:rPr>
        <w:t>人民币1,806,746,497.92</w:t>
      </w:r>
      <w:r>
        <w:rPr>
          <w:rFonts w:hint="eastAsia" w:ascii="宋体" w:hAnsi="宋体"/>
          <w:color w:val="000000"/>
          <w:sz w:val="28"/>
          <w:szCs w:val="28"/>
        </w:rPr>
        <w:t>元（含税）</w:t>
      </w:r>
      <w:r>
        <w:rPr>
          <w:rFonts w:hint="eastAsia" w:ascii="宋体" w:hAnsi="宋体"/>
          <w:color w:val="000000"/>
          <w:sz w:val="28"/>
          <w:szCs w:val="28"/>
          <w:lang w:eastAsia="zh-CN"/>
        </w:rPr>
        <w:t>。</w:t>
      </w:r>
    </w:p>
    <w:p>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rPr>
      </w:pPr>
      <w:r>
        <w:rPr>
          <w:rFonts w:hint="eastAsia" w:ascii="宋体" w:hAnsi="宋体"/>
          <w:color w:val="000000"/>
          <w:sz w:val="28"/>
          <w:szCs w:val="28"/>
        </w:rPr>
        <w:t>如在本公告披露之日起至实施权益分派股权登记日期间，公司总股本发生变动，公司维持每股分配</w:t>
      </w:r>
      <w:r>
        <w:rPr>
          <w:rFonts w:hint="eastAsia" w:ascii="宋体" w:hAnsi="宋体"/>
          <w:color w:val="000000"/>
          <w:sz w:val="28"/>
          <w:szCs w:val="28"/>
          <w:lang w:val="en-US" w:eastAsia="zh-CN"/>
        </w:rPr>
        <w:t>金额</w:t>
      </w:r>
      <w:r>
        <w:rPr>
          <w:rFonts w:hint="eastAsia" w:ascii="宋体" w:hAnsi="宋体"/>
          <w:color w:val="000000"/>
          <w:sz w:val="28"/>
          <w:szCs w:val="28"/>
        </w:rPr>
        <w:t>不变，相应调整分配总额，并另行公告具体调整情况。</w:t>
      </w:r>
    </w:p>
    <w:p>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b/>
          <w:bCs/>
          <w:color w:val="000000"/>
          <w:sz w:val="28"/>
          <w:szCs w:val="28"/>
        </w:rPr>
      </w:pPr>
      <w:r>
        <w:rPr>
          <w:rFonts w:hint="eastAsia" w:ascii="宋体" w:hAnsi="宋体"/>
          <w:b/>
          <w:bCs/>
          <w:color w:val="000000"/>
          <w:sz w:val="28"/>
          <w:szCs w:val="28"/>
        </w:rPr>
        <w:t>二、公司履行的决策程序</w:t>
      </w:r>
    </w:p>
    <w:p>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rPr>
      </w:pPr>
      <w:r>
        <w:rPr>
          <w:rFonts w:hint="eastAsia" w:ascii="宋体" w:hAnsi="宋体"/>
          <w:color w:val="000000"/>
          <w:sz w:val="28"/>
          <w:szCs w:val="28"/>
          <w:lang w:val="en-US" w:eastAsia="zh-CN"/>
        </w:rPr>
        <w:t>根据《公司章程》规定，半年度</w:t>
      </w:r>
      <w:r>
        <w:rPr>
          <w:rFonts w:hint="eastAsia" w:ascii="宋体" w:hAnsi="宋体"/>
          <w:color w:val="000000"/>
          <w:sz w:val="28"/>
          <w:szCs w:val="28"/>
        </w:rPr>
        <w:t>利润分配方案</w:t>
      </w:r>
      <w:r>
        <w:rPr>
          <w:rFonts w:hint="eastAsia" w:ascii="宋体" w:hAnsi="宋体"/>
          <w:color w:val="000000"/>
          <w:sz w:val="28"/>
          <w:szCs w:val="28"/>
          <w:lang w:val="en-US" w:eastAsia="zh-CN"/>
        </w:rPr>
        <w:t>属公司董事会审批权限，无</w:t>
      </w:r>
      <w:r>
        <w:rPr>
          <w:rFonts w:hint="eastAsia" w:ascii="宋体" w:hAnsi="宋体"/>
          <w:color w:val="000000"/>
          <w:sz w:val="28"/>
          <w:szCs w:val="28"/>
        </w:rPr>
        <w:t>需提交股东会审议。</w:t>
      </w:r>
    </w:p>
    <w:p>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rPr>
      </w:pPr>
      <w:r>
        <w:rPr>
          <w:rFonts w:hint="eastAsia" w:ascii="宋体" w:hAnsi="宋体"/>
          <w:color w:val="000000"/>
          <w:sz w:val="28"/>
          <w:szCs w:val="28"/>
        </w:rPr>
        <w:t>公司于202</w:t>
      </w:r>
      <w:r>
        <w:rPr>
          <w:rFonts w:hint="eastAsia" w:ascii="宋体" w:hAnsi="宋体"/>
          <w:color w:val="000000"/>
          <w:sz w:val="28"/>
          <w:szCs w:val="28"/>
          <w:lang w:val="en-US" w:eastAsia="zh-CN"/>
        </w:rPr>
        <w:t>5</w:t>
      </w:r>
      <w:r>
        <w:rPr>
          <w:rFonts w:hint="eastAsia" w:ascii="宋体" w:hAnsi="宋体"/>
          <w:color w:val="000000"/>
          <w:sz w:val="28"/>
          <w:szCs w:val="28"/>
        </w:rPr>
        <w:t>年</w:t>
      </w:r>
      <w:r>
        <w:rPr>
          <w:rFonts w:hint="eastAsia" w:ascii="宋体" w:hAnsi="宋体"/>
          <w:color w:val="000000"/>
          <w:sz w:val="28"/>
          <w:szCs w:val="28"/>
          <w:lang w:val="en-US" w:eastAsia="zh-CN"/>
        </w:rPr>
        <w:t>8</w:t>
      </w:r>
      <w:r>
        <w:rPr>
          <w:rFonts w:hint="eastAsia" w:ascii="宋体" w:hAnsi="宋体"/>
          <w:color w:val="000000"/>
          <w:sz w:val="28"/>
          <w:szCs w:val="28"/>
        </w:rPr>
        <w:t>月</w:t>
      </w:r>
      <w:r>
        <w:rPr>
          <w:rFonts w:hint="eastAsia" w:ascii="宋体" w:hAnsi="宋体"/>
          <w:color w:val="000000"/>
          <w:sz w:val="28"/>
          <w:szCs w:val="28"/>
          <w:lang w:val="en-US" w:eastAsia="zh-CN"/>
        </w:rPr>
        <w:t>29</w:t>
      </w:r>
      <w:r>
        <w:rPr>
          <w:rFonts w:hint="eastAsia" w:ascii="宋体" w:hAnsi="宋体"/>
          <w:color w:val="000000"/>
          <w:sz w:val="28"/>
          <w:szCs w:val="28"/>
        </w:rPr>
        <w:t>日召开第</w:t>
      </w:r>
      <w:r>
        <w:rPr>
          <w:rFonts w:hint="eastAsia" w:ascii="宋体" w:hAnsi="宋体"/>
          <w:color w:val="000000"/>
          <w:sz w:val="28"/>
          <w:szCs w:val="28"/>
          <w:lang w:val="en-US" w:eastAsia="zh-CN"/>
        </w:rPr>
        <w:t>九</w:t>
      </w:r>
      <w:r>
        <w:rPr>
          <w:rFonts w:hint="eastAsia" w:ascii="宋体" w:hAnsi="宋体"/>
          <w:color w:val="000000"/>
          <w:sz w:val="28"/>
          <w:szCs w:val="28"/>
        </w:rPr>
        <w:t>届董事会第</w:t>
      </w:r>
      <w:r>
        <w:rPr>
          <w:rFonts w:hint="eastAsia" w:ascii="宋体" w:hAnsi="宋体"/>
          <w:color w:val="000000"/>
          <w:sz w:val="28"/>
          <w:szCs w:val="28"/>
          <w:lang w:val="en-US" w:eastAsia="zh-CN"/>
        </w:rPr>
        <w:t>十八</w:t>
      </w:r>
      <w:r>
        <w:rPr>
          <w:rFonts w:hint="eastAsia" w:ascii="宋体" w:hAnsi="宋体"/>
          <w:color w:val="000000"/>
          <w:sz w:val="28"/>
          <w:szCs w:val="28"/>
        </w:rPr>
        <w:t>次会议，审议</w:t>
      </w:r>
      <w:r>
        <w:rPr>
          <w:rFonts w:hint="eastAsia" w:ascii="宋体" w:hAnsi="宋体"/>
          <w:color w:val="000000"/>
          <w:sz w:val="28"/>
          <w:szCs w:val="28"/>
          <w:lang w:val="en-US" w:eastAsia="zh-CN"/>
        </w:rPr>
        <w:t>批准</w:t>
      </w:r>
      <w:r>
        <w:rPr>
          <w:rFonts w:hint="eastAsia" w:ascii="宋体" w:hAnsi="宋体"/>
          <w:color w:val="000000"/>
          <w:sz w:val="28"/>
          <w:szCs w:val="28"/>
        </w:rPr>
        <w:t>公司202</w:t>
      </w:r>
      <w:r>
        <w:rPr>
          <w:rFonts w:hint="eastAsia" w:ascii="宋体" w:hAnsi="宋体"/>
          <w:color w:val="000000"/>
          <w:sz w:val="28"/>
          <w:szCs w:val="28"/>
          <w:lang w:val="en-US" w:eastAsia="zh-CN"/>
        </w:rPr>
        <w:t>5</w:t>
      </w:r>
      <w:r>
        <w:rPr>
          <w:rFonts w:hint="eastAsia" w:ascii="宋体" w:hAnsi="宋体"/>
          <w:color w:val="000000"/>
          <w:sz w:val="28"/>
          <w:szCs w:val="28"/>
        </w:rPr>
        <w:t>年</w:t>
      </w:r>
      <w:r>
        <w:rPr>
          <w:rFonts w:hint="eastAsia" w:ascii="宋体" w:hAnsi="宋体"/>
          <w:color w:val="000000"/>
          <w:sz w:val="28"/>
          <w:szCs w:val="28"/>
          <w:lang w:val="en-US" w:eastAsia="zh-CN"/>
        </w:rPr>
        <w:t>半年</w:t>
      </w:r>
      <w:r>
        <w:rPr>
          <w:rFonts w:hint="eastAsia" w:ascii="宋体" w:hAnsi="宋体"/>
          <w:color w:val="000000"/>
          <w:sz w:val="28"/>
          <w:szCs w:val="28"/>
        </w:rPr>
        <w:t>度利润分配</w:t>
      </w:r>
      <w:r>
        <w:rPr>
          <w:rFonts w:hint="eastAsia" w:ascii="宋体" w:hAnsi="宋体"/>
          <w:color w:val="000000"/>
          <w:sz w:val="28"/>
          <w:szCs w:val="28"/>
          <w:lang w:val="en-US" w:eastAsia="zh-CN"/>
        </w:rPr>
        <w:t>方案</w:t>
      </w:r>
      <w:r>
        <w:rPr>
          <w:rFonts w:hint="eastAsia" w:ascii="宋体" w:hAnsi="宋体"/>
          <w:color w:val="000000"/>
          <w:sz w:val="28"/>
          <w:szCs w:val="28"/>
        </w:rPr>
        <w:t>。董事会认为：公司</w:t>
      </w:r>
      <w:r>
        <w:rPr>
          <w:rFonts w:hint="eastAsia" w:ascii="宋体" w:hAnsi="宋体"/>
          <w:color w:val="000000"/>
          <w:sz w:val="28"/>
          <w:szCs w:val="28"/>
          <w:lang w:val="en-US" w:eastAsia="zh-CN"/>
        </w:rPr>
        <w:t>2025</w:t>
      </w:r>
      <w:r>
        <w:rPr>
          <w:rFonts w:hint="eastAsia" w:ascii="宋体" w:hAnsi="宋体"/>
          <w:color w:val="000000"/>
          <w:sz w:val="28"/>
          <w:szCs w:val="28"/>
        </w:rPr>
        <w:t>年半年度利润分配</w:t>
      </w:r>
      <w:r>
        <w:rPr>
          <w:rFonts w:hint="eastAsia" w:ascii="宋体" w:hAnsi="宋体"/>
          <w:color w:val="000000"/>
          <w:sz w:val="28"/>
          <w:szCs w:val="28"/>
          <w:lang w:val="en-US" w:eastAsia="zh-CN"/>
        </w:rPr>
        <w:t>方案</w:t>
      </w:r>
      <w:r>
        <w:rPr>
          <w:rFonts w:hint="eastAsia" w:ascii="宋体" w:hAnsi="宋体"/>
          <w:color w:val="000000"/>
          <w:sz w:val="28"/>
          <w:szCs w:val="28"/>
        </w:rPr>
        <w:t>充分考虑了公司当前财务状况并兼顾股东长远利益，符合《公司章程》和公司已披露的2023-2025年度利润分配政策。</w:t>
      </w:r>
    </w:p>
    <w:p>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、相关风险提示</w:t>
      </w:r>
    </w:p>
    <w:p>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lang w:val="en-US" w:eastAsia="zh-CN"/>
        </w:rPr>
      </w:pPr>
      <w:r>
        <w:rPr>
          <w:rFonts w:hint="eastAsia" w:ascii="宋体" w:hAnsi="宋体"/>
          <w:color w:val="000000"/>
          <w:sz w:val="28"/>
          <w:szCs w:val="28"/>
          <w:lang w:val="en-US" w:eastAsia="zh-CN"/>
        </w:rPr>
        <w:t>综合考虑目前盈利水平、资金需求等因素，公司实施2025年半年度利润分配方案，不会对公司现金流产生重大影响，不会影响公司正常经营和长期发展。</w:t>
      </w:r>
    </w:p>
    <w:p>
      <w:pPr>
        <w:keepNext w:val="0"/>
        <w:keepLines w:val="0"/>
        <w:pageBreakBefore w:val="0"/>
        <w:widowControl w:val="0"/>
        <w:kinsoku/>
        <w:wordWrap/>
        <w:overflowPunct/>
        <w:topLinePunct w:val="0"/>
        <w:autoSpaceDE/>
        <w:autoSpaceDN/>
        <w:bidi w:val="0"/>
        <w:spacing w:line="520" w:lineRule="exact"/>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r>
        <w:rPr>
          <w:rFonts w:hint="eastAsia" w:ascii="宋体" w:hAnsi="宋体"/>
          <w:color w:val="000000"/>
          <w:sz w:val="28"/>
          <w:szCs w:val="28"/>
        </w:rPr>
        <w:t>特此公告。</w:t>
      </w:r>
    </w:p>
    <w:p>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4480" w:firstLineChars="1600"/>
        <w:textAlignment w:val="auto"/>
        <w:rPr>
          <w:rFonts w:ascii="宋体" w:hAnsi="宋体"/>
          <w:color w:val="000000"/>
          <w:sz w:val="28"/>
          <w:szCs w:val="28"/>
        </w:rPr>
      </w:pPr>
      <w:r>
        <w:rPr>
          <w:rFonts w:hint="eastAsia" w:ascii="宋体" w:hAnsi="宋体"/>
          <w:color w:val="000000"/>
          <w:sz w:val="28"/>
          <w:szCs w:val="28"/>
        </w:rPr>
        <w:t>兖矿能源集团股份有限公司董事会</w:t>
      </w:r>
    </w:p>
    <w:p>
      <w:pPr>
        <w:keepNext w:val="0"/>
        <w:keepLines w:val="0"/>
        <w:pageBreakBefore w:val="0"/>
        <w:widowControl w:val="0"/>
        <w:kinsoku/>
        <w:wordWrap/>
        <w:overflowPunct/>
        <w:topLinePunct w:val="0"/>
        <w:autoSpaceDE/>
        <w:autoSpaceDN/>
        <w:bidi w:val="0"/>
        <w:adjustRightInd w:val="0"/>
        <w:snapToGrid w:val="0"/>
        <w:spacing w:line="520" w:lineRule="exact"/>
        <w:ind w:firstLine="5600" w:firstLineChars="2000"/>
        <w:textAlignment w:val="auto"/>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5</w:t>
      </w:r>
      <w:r>
        <w:rPr>
          <w:rFonts w:hint="eastAsia" w:ascii="宋体" w:hAnsi="宋体"/>
          <w:color w:val="000000"/>
          <w:sz w:val="28"/>
          <w:szCs w:val="28"/>
        </w:rPr>
        <w:t>年</w:t>
      </w:r>
      <w:r>
        <w:rPr>
          <w:rFonts w:hint="eastAsia" w:ascii="宋体" w:hAnsi="宋体"/>
          <w:color w:val="000000"/>
          <w:sz w:val="28"/>
          <w:szCs w:val="28"/>
          <w:lang w:val="en-US" w:eastAsia="zh-CN"/>
        </w:rPr>
        <w:t>8</w:t>
      </w:r>
      <w:r>
        <w:rPr>
          <w:rFonts w:hint="eastAsia" w:ascii="宋体" w:hAnsi="宋体"/>
          <w:color w:val="000000"/>
          <w:sz w:val="28"/>
          <w:szCs w:val="28"/>
        </w:rPr>
        <w:t>月</w:t>
      </w:r>
      <w:r>
        <w:rPr>
          <w:rFonts w:hint="eastAsia" w:ascii="宋体" w:hAnsi="宋体"/>
          <w:color w:val="000000"/>
          <w:sz w:val="28"/>
          <w:szCs w:val="28"/>
          <w:lang w:val="en-US" w:eastAsia="zh-CN"/>
        </w:rPr>
        <w:t>29</w:t>
      </w:r>
      <w:r>
        <w:rPr>
          <w:rFonts w:hint="eastAsia" w:ascii="宋体" w:hAnsi="宋体"/>
          <w:color w:val="000000"/>
          <w:sz w:val="28"/>
          <w:szCs w:val="28"/>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ZWNiM2VmZjgxMjBiNzdiZDlkMDYyNmFhN2VhZDUifQ=="/>
    <w:docVar w:name="KSO_WPS_MARK_KEY" w:val="43a14701-f02b-4d52-9e22-f30b6f29e892"/>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2BBC"/>
    <w:rsid w:val="00056597"/>
    <w:rsid w:val="00056E40"/>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429A"/>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67E07"/>
    <w:rsid w:val="001702E8"/>
    <w:rsid w:val="001710E6"/>
    <w:rsid w:val="001723C6"/>
    <w:rsid w:val="00172B92"/>
    <w:rsid w:val="00174DB2"/>
    <w:rsid w:val="0017535D"/>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E5AE2"/>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1F21"/>
    <w:rsid w:val="00342EC4"/>
    <w:rsid w:val="003468C1"/>
    <w:rsid w:val="003475E3"/>
    <w:rsid w:val="003504E3"/>
    <w:rsid w:val="003517CB"/>
    <w:rsid w:val="00353B50"/>
    <w:rsid w:val="00354828"/>
    <w:rsid w:val="00356C7A"/>
    <w:rsid w:val="0036105B"/>
    <w:rsid w:val="00361481"/>
    <w:rsid w:val="00362AB2"/>
    <w:rsid w:val="00362B84"/>
    <w:rsid w:val="00365905"/>
    <w:rsid w:val="00367782"/>
    <w:rsid w:val="00370C02"/>
    <w:rsid w:val="0037169E"/>
    <w:rsid w:val="0037171C"/>
    <w:rsid w:val="003727D6"/>
    <w:rsid w:val="0037389C"/>
    <w:rsid w:val="00382979"/>
    <w:rsid w:val="003832E6"/>
    <w:rsid w:val="00383CEA"/>
    <w:rsid w:val="00386052"/>
    <w:rsid w:val="003866E8"/>
    <w:rsid w:val="00390DB7"/>
    <w:rsid w:val="0039344E"/>
    <w:rsid w:val="0039366A"/>
    <w:rsid w:val="003977B7"/>
    <w:rsid w:val="00397E1A"/>
    <w:rsid w:val="003A2833"/>
    <w:rsid w:val="003B4E49"/>
    <w:rsid w:val="003B6E18"/>
    <w:rsid w:val="003C0976"/>
    <w:rsid w:val="003C323D"/>
    <w:rsid w:val="003C5316"/>
    <w:rsid w:val="003D2F8D"/>
    <w:rsid w:val="003D41D0"/>
    <w:rsid w:val="003D4C2D"/>
    <w:rsid w:val="003D6483"/>
    <w:rsid w:val="003D69B9"/>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1198"/>
    <w:rsid w:val="00435781"/>
    <w:rsid w:val="0044668E"/>
    <w:rsid w:val="00450237"/>
    <w:rsid w:val="00450DA1"/>
    <w:rsid w:val="004547D2"/>
    <w:rsid w:val="00455889"/>
    <w:rsid w:val="00461A88"/>
    <w:rsid w:val="00464520"/>
    <w:rsid w:val="00467F4B"/>
    <w:rsid w:val="00470AE7"/>
    <w:rsid w:val="00470CA9"/>
    <w:rsid w:val="00471C27"/>
    <w:rsid w:val="00471FC9"/>
    <w:rsid w:val="00472A24"/>
    <w:rsid w:val="0047354B"/>
    <w:rsid w:val="004777C3"/>
    <w:rsid w:val="004803DD"/>
    <w:rsid w:val="00481DBE"/>
    <w:rsid w:val="00482903"/>
    <w:rsid w:val="00485459"/>
    <w:rsid w:val="00486F95"/>
    <w:rsid w:val="004935A1"/>
    <w:rsid w:val="004A278C"/>
    <w:rsid w:val="004A343E"/>
    <w:rsid w:val="004A41D3"/>
    <w:rsid w:val="004A6538"/>
    <w:rsid w:val="004A6667"/>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B2665"/>
    <w:rsid w:val="005B5482"/>
    <w:rsid w:val="005B7EC3"/>
    <w:rsid w:val="005C147B"/>
    <w:rsid w:val="005C2F10"/>
    <w:rsid w:val="005C4795"/>
    <w:rsid w:val="005C5A2A"/>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1CAF"/>
    <w:rsid w:val="00695716"/>
    <w:rsid w:val="00696B88"/>
    <w:rsid w:val="00697447"/>
    <w:rsid w:val="006A1145"/>
    <w:rsid w:val="006A19E1"/>
    <w:rsid w:val="006A3B24"/>
    <w:rsid w:val="006B4BC2"/>
    <w:rsid w:val="006B5268"/>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4943"/>
    <w:rsid w:val="0078750B"/>
    <w:rsid w:val="00793A51"/>
    <w:rsid w:val="007944F2"/>
    <w:rsid w:val="00794620"/>
    <w:rsid w:val="00794C77"/>
    <w:rsid w:val="00795BF6"/>
    <w:rsid w:val="007A1165"/>
    <w:rsid w:val="007A2AC9"/>
    <w:rsid w:val="007A5ACB"/>
    <w:rsid w:val="007A5FC6"/>
    <w:rsid w:val="007A6B1B"/>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57BF"/>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3A2C"/>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1A2D"/>
    <w:rsid w:val="0090211E"/>
    <w:rsid w:val="0090511B"/>
    <w:rsid w:val="00906C92"/>
    <w:rsid w:val="00913BDF"/>
    <w:rsid w:val="009204E7"/>
    <w:rsid w:val="009210CF"/>
    <w:rsid w:val="00922772"/>
    <w:rsid w:val="00923ED4"/>
    <w:rsid w:val="00927C54"/>
    <w:rsid w:val="009307E8"/>
    <w:rsid w:val="00930BDD"/>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4D21"/>
    <w:rsid w:val="009C5C9F"/>
    <w:rsid w:val="009C6448"/>
    <w:rsid w:val="009C74B0"/>
    <w:rsid w:val="009D2963"/>
    <w:rsid w:val="009D2CCF"/>
    <w:rsid w:val="009D2EF6"/>
    <w:rsid w:val="009D35C0"/>
    <w:rsid w:val="009D73F1"/>
    <w:rsid w:val="009D7E9A"/>
    <w:rsid w:val="009D7EA2"/>
    <w:rsid w:val="009E42CB"/>
    <w:rsid w:val="009E4682"/>
    <w:rsid w:val="009E4D5A"/>
    <w:rsid w:val="009E5693"/>
    <w:rsid w:val="009E7113"/>
    <w:rsid w:val="009E7CB4"/>
    <w:rsid w:val="009F07B8"/>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1C7B"/>
    <w:rsid w:val="00B42464"/>
    <w:rsid w:val="00B42D22"/>
    <w:rsid w:val="00B44564"/>
    <w:rsid w:val="00B51371"/>
    <w:rsid w:val="00B60411"/>
    <w:rsid w:val="00B60906"/>
    <w:rsid w:val="00B63297"/>
    <w:rsid w:val="00B63472"/>
    <w:rsid w:val="00B7141E"/>
    <w:rsid w:val="00B73D7D"/>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5634"/>
    <w:rsid w:val="00C05DEC"/>
    <w:rsid w:val="00C07942"/>
    <w:rsid w:val="00C07CAB"/>
    <w:rsid w:val="00C1004E"/>
    <w:rsid w:val="00C10305"/>
    <w:rsid w:val="00C13779"/>
    <w:rsid w:val="00C14E3C"/>
    <w:rsid w:val="00C16ECD"/>
    <w:rsid w:val="00C1713D"/>
    <w:rsid w:val="00C236B2"/>
    <w:rsid w:val="00C268EA"/>
    <w:rsid w:val="00C27170"/>
    <w:rsid w:val="00C30320"/>
    <w:rsid w:val="00C346EF"/>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61EF"/>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D7B3D"/>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75A9"/>
    <w:rsid w:val="00E41C44"/>
    <w:rsid w:val="00E45BB3"/>
    <w:rsid w:val="00E5124D"/>
    <w:rsid w:val="00E51F9A"/>
    <w:rsid w:val="00E520CE"/>
    <w:rsid w:val="00E52A71"/>
    <w:rsid w:val="00E55F70"/>
    <w:rsid w:val="00E57253"/>
    <w:rsid w:val="00E5771C"/>
    <w:rsid w:val="00E578B9"/>
    <w:rsid w:val="00E60BA0"/>
    <w:rsid w:val="00E6217F"/>
    <w:rsid w:val="00E63007"/>
    <w:rsid w:val="00E63088"/>
    <w:rsid w:val="00E63D89"/>
    <w:rsid w:val="00E649AD"/>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3A54"/>
    <w:rsid w:val="00F2524B"/>
    <w:rsid w:val="00F259FF"/>
    <w:rsid w:val="00F260E9"/>
    <w:rsid w:val="00F2675B"/>
    <w:rsid w:val="00F313B8"/>
    <w:rsid w:val="00F3237F"/>
    <w:rsid w:val="00F32597"/>
    <w:rsid w:val="00F3646B"/>
    <w:rsid w:val="00F42221"/>
    <w:rsid w:val="00F43DDB"/>
    <w:rsid w:val="00F44480"/>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0A78AE"/>
    <w:rsid w:val="021D4C24"/>
    <w:rsid w:val="03C2777E"/>
    <w:rsid w:val="03E01ABB"/>
    <w:rsid w:val="065310FB"/>
    <w:rsid w:val="0BF35AD1"/>
    <w:rsid w:val="0D786450"/>
    <w:rsid w:val="0E5576AA"/>
    <w:rsid w:val="0F4A3B35"/>
    <w:rsid w:val="1130228A"/>
    <w:rsid w:val="13D00ACE"/>
    <w:rsid w:val="176470DA"/>
    <w:rsid w:val="182D487C"/>
    <w:rsid w:val="18515C19"/>
    <w:rsid w:val="186A0E25"/>
    <w:rsid w:val="1A2A65EF"/>
    <w:rsid w:val="22890DBA"/>
    <w:rsid w:val="234A2E0A"/>
    <w:rsid w:val="2BAC44F6"/>
    <w:rsid w:val="2BF632BA"/>
    <w:rsid w:val="2D5E4D30"/>
    <w:rsid w:val="2E7A5CFF"/>
    <w:rsid w:val="2FCC0D76"/>
    <w:rsid w:val="3056140B"/>
    <w:rsid w:val="345341B0"/>
    <w:rsid w:val="3546393E"/>
    <w:rsid w:val="36DE740B"/>
    <w:rsid w:val="3A472CC1"/>
    <w:rsid w:val="3C487BC7"/>
    <w:rsid w:val="3CDA16AD"/>
    <w:rsid w:val="46135147"/>
    <w:rsid w:val="47E67EE9"/>
    <w:rsid w:val="48760991"/>
    <w:rsid w:val="48947988"/>
    <w:rsid w:val="49837025"/>
    <w:rsid w:val="4A3D5202"/>
    <w:rsid w:val="4C1F276D"/>
    <w:rsid w:val="50F477D1"/>
    <w:rsid w:val="553A75EB"/>
    <w:rsid w:val="57B80539"/>
    <w:rsid w:val="592F0AD2"/>
    <w:rsid w:val="59B0564C"/>
    <w:rsid w:val="5AA24BA8"/>
    <w:rsid w:val="5C64411C"/>
    <w:rsid w:val="5D5D3774"/>
    <w:rsid w:val="5DE007BC"/>
    <w:rsid w:val="5F94409A"/>
    <w:rsid w:val="64910BCD"/>
    <w:rsid w:val="695559E0"/>
    <w:rsid w:val="69A77D86"/>
    <w:rsid w:val="6BC161EF"/>
    <w:rsid w:val="72895FDA"/>
    <w:rsid w:val="75CD7A22"/>
    <w:rsid w:val="76E9489D"/>
    <w:rsid w:val="76FF13B0"/>
    <w:rsid w:val="787F1C42"/>
    <w:rsid w:val="7B2A7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30"/>
    <w:semiHidden/>
    <w:qFormat/>
    <w:uiPriority w:val="99"/>
    <w:pPr>
      <w:jc w:val="left"/>
    </w:pPr>
  </w:style>
  <w:style w:type="paragraph" w:styleId="4">
    <w:name w:val="Body Text"/>
    <w:basedOn w:val="1"/>
    <w:next w:val="5"/>
    <w:qFormat/>
    <w:uiPriority w:val="0"/>
    <w:pPr>
      <w:spacing w:after="120"/>
    </w:pPr>
  </w:style>
  <w:style w:type="paragraph" w:customStyle="1" w:styleId="5">
    <w:name w:val="Date1"/>
    <w:basedOn w:val="1"/>
    <w:next w:val="1"/>
    <w:qFormat/>
    <w:uiPriority w:val="0"/>
    <w:rPr>
      <w:szCs w:val="20"/>
    </w:rPr>
  </w:style>
  <w:style w:type="paragraph" w:styleId="6">
    <w:name w:val="Body Text Indent"/>
    <w:basedOn w:val="1"/>
    <w:qFormat/>
    <w:uiPriority w:val="0"/>
    <w:pPr>
      <w:spacing w:line="480" w:lineRule="exact"/>
      <w:ind w:firstLine="560"/>
    </w:pPr>
    <w:rPr>
      <w:rFonts w:ascii="宋体" w:hAnsi="宋体"/>
    </w:rPr>
  </w:style>
  <w:style w:type="paragraph" w:styleId="7">
    <w:name w:val="Plain Text"/>
    <w:basedOn w:val="1"/>
    <w:qFormat/>
    <w:uiPriority w:val="0"/>
    <w:rPr>
      <w:rFonts w:ascii="宋体" w:hAnsi="Courier New"/>
    </w:rPr>
  </w:style>
  <w:style w:type="paragraph" w:styleId="8">
    <w:name w:val="Date"/>
    <w:basedOn w:val="1"/>
    <w:next w:val="1"/>
    <w:link w:val="31"/>
    <w:qFormat/>
    <w:uiPriority w:val="0"/>
    <w:rPr>
      <w:sz w:val="24"/>
    </w:rPr>
  </w:style>
  <w:style w:type="paragraph" w:styleId="9">
    <w:name w:val="Body Text Indent 2"/>
    <w:basedOn w:val="1"/>
    <w:qFormat/>
    <w:uiPriority w:val="0"/>
    <w:pPr>
      <w:ind w:firstLine="539"/>
    </w:pPr>
    <w:rPr>
      <w:color w:val="FF0000"/>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440" w:lineRule="exact"/>
      <w:ind w:firstLine="480"/>
    </w:pPr>
    <w:rPr>
      <w:rFonts w:ascii="宋体" w:hAnsi="宋体"/>
      <w:sz w:val="24"/>
    </w:rPr>
  </w:style>
  <w:style w:type="paragraph" w:styleId="14">
    <w:name w:val="index 1"/>
    <w:basedOn w:val="1"/>
    <w:next w:val="1"/>
    <w:qFormat/>
    <w:uiPriority w:val="0"/>
    <w:rPr>
      <w:rFonts w:eastAsia="楷体_GB2312"/>
      <w:sz w:val="28"/>
      <w:szCs w:val="24"/>
    </w:rPr>
  </w:style>
  <w:style w:type="paragraph" w:styleId="15">
    <w:name w:val="annotation subject"/>
    <w:basedOn w:val="3"/>
    <w:next w:val="3"/>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Colorful 2"/>
    <w:basedOn w:val="16"/>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semiHidden/>
    <w:qFormat/>
    <w:uiPriority w:val="0"/>
    <w:rPr>
      <w:sz w:val="21"/>
      <w:szCs w:val="21"/>
    </w:rPr>
  </w:style>
  <w:style w:type="paragraph" w:customStyle="1" w:styleId="24">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5">
    <w:name w:val="默认段落字体 Para Char Char Char Char Char Char Char"/>
    <w:basedOn w:val="1"/>
    <w:qFormat/>
    <w:uiPriority w:val="0"/>
    <w:rPr>
      <w:rFonts w:ascii="Tahoma" w:hAnsi="Tahoma"/>
      <w:sz w:val="24"/>
    </w:rPr>
  </w:style>
  <w:style w:type="paragraph" w:customStyle="1" w:styleId="26">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8">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9">
    <w:name w:val="页眉 字符"/>
    <w:link w:val="12"/>
    <w:qFormat/>
    <w:uiPriority w:val="0"/>
    <w:rPr>
      <w:kern w:val="2"/>
      <w:sz w:val="18"/>
      <w:szCs w:val="18"/>
    </w:rPr>
  </w:style>
  <w:style w:type="character" w:customStyle="1" w:styleId="30">
    <w:name w:val="批注文字 字符"/>
    <w:link w:val="3"/>
    <w:semiHidden/>
    <w:qFormat/>
    <w:uiPriority w:val="99"/>
    <w:rPr>
      <w:kern w:val="2"/>
      <w:sz w:val="21"/>
    </w:rPr>
  </w:style>
  <w:style w:type="character" w:customStyle="1" w:styleId="31">
    <w:name w:val="日期 字符"/>
    <w:link w:val="8"/>
    <w:qFormat/>
    <w:uiPriority w:val="0"/>
    <w:rPr>
      <w:kern w:val="2"/>
      <w:sz w:val="24"/>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paragraph" w:styleId="33">
    <w:name w:val="List Paragraph"/>
    <w:basedOn w:val="1"/>
    <w:qFormat/>
    <w:uiPriority w:val="34"/>
    <w:pPr>
      <w:ind w:firstLine="420" w:firstLineChars="200"/>
    </w:pPr>
  </w:style>
  <w:style w:type="paragraph" w:customStyle="1" w:styleId="34">
    <w:name w:val="修订2"/>
    <w:hidden/>
    <w:semiHidden/>
    <w:qFormat/>
    <w:uiPriority w:val="99"/>
    <w:rPr>
      <w:rFonts w:ascii="Times New Roman" w:hAnsi="Times New Roman" w:eastAsia="宋体" w:cs="Times New Roman"/>
      <w:kern w:val="2"/>
      <w:sz w:val="21"/>
      <w:lang w:val="en-US" w:eastAsia="zh-CN" w:bidi="ar-SA"/>
    </w:rPr>
  </w:style>
  <w:style w:type="paragraph" w:customStyle="1" w:styleId="35">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C7D1B-EA1F-444C-896D-E5E7F2382914}">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2</Pages>
  <Words>708</Words>
  <Characters>798</Characters>
  <Lines>22</Lines>
  <Paragraphs>6</Paragraphs>
  <TotalTime>10</TotalTime>
  <ScaleCrop>false</ScaleCrop>
  <LinksUpToDate>false</LinksUpToDate>
  <CharactersWithSpaces>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2023-03-16T11:53:00Z</dcterms:created>
  <dc:creator>lx</dc:creator>
  <cp:lastModifiedBy>YUANSU HU</cp:lastModifiedBy>
  <cp:lastPrinted>2024-08-29T10:47:00Z</cp:lastPrinted>
  <dcterms:modified xsi:type="dcterms:W3CDTF">2025-08-29T06:03:42Z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</vt:lpwstr>
  </property>
  <property fmtid="{D5CDD505-2E9C-101B-9397-08002B2CF9AE}" pid="3" name="KSOProductBuildVer">
    <vt:lpwstr>2052-11.1.0.14309</vt:lpwstr>
  </property>
  <property fmtid="{D5CDD505-2E9C-101B-9397-08002B2CF9AE}" pid="4" name="ICV">
    <vt:lpwstr>770DA78EDDA74AA6874B1D428BAB7042</vt:lpwstr>
  </property>
</Properties>
</file>