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eastAsia="zh-CN"/>
        </w:rPr>
      </w:pPr>
      <w:r>
        <w:rPr>
          <w:rFonts w:hint="eastAsia" w:ascii="黑体" w:eastAsia="黑体"/>
          <w:szCs w:val="20"/>
        </w:rPr>
        <w:t>股票简称：兖矿能源              股票代码：60</w:t>
      </w:r>
      <w:bookmarkStart w:id="2" w:name="_GoBack"/>
      <w:bookmarkEnd w:id="2"/>
      <w:r>
        <w:rPr>
          <w:rFonts w:hint="eastAsia" w:ascii="黑体" w:eastAsia="黑体"/>
          <w:szCs w:val="20"/>
        </w:rPr>
        <w:t>0188            编号：临</w:t>
      </w:r>
      <w:r>
        <w:rPr>
          <w:rFonts w:ascii="黑体" w:eastAsia="黑体"/>
          <w:szCs w:val="20"/>
        </w:rPr>
        <w:t>2025</w:t>
      </w:r>
      <w:r>
        <w:rPr>
          <w:rFonts w:hint="eastAsia" w:ascii="黑体" w:eastAsia="黑体"/>
          <w:szCs w:val="20"/>
        </w:rPr>
        <w:t>-</w:t>
      </w:r>
      <w:r>
        <w:rPr>
          <w:rFonts w:hint="eastAsia" w:ascii="黑体" w:eastAsia="黑体"/>
          <w:szCs w:val="20"/>
          <w:lang w:val="en-US" w:eastAsia="zh-CN"/>
        </w:rPr>
        <w:t>065</w:t>
      </w:r>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关于举办2025年第三季度业绩说明会的公告</w:t>
      </w:r>
      <w:bookmarkEnd w:id="0"/>
    </w:p>
    <w:p>
      <w:pPr>
        <w:jc w:val="center"/>
        <w:rPr>
          <w:rFonts w:hint="eastAsia" w:eastAsia="宋体"/>
          <w:b/>
          <w:bCs/>
          <w:sz w:val="20"/>
          <w:lang w:eastAsia="zh-CN"/>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jc w:val="center"/>
        <w:rPr>
          <w:rFonts w:hint="eastAsia" w:eastAsia="宋体"/>
          <w:b/>
          <w:bCs/>
          <w:sz w:val="20"/>
          <w:lang w:eastAsia="zh-CN"/>
        </w:rPr>
      </w:pP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会议召开时间：2025年</w:t>
      </w:r>
      <w:r>
        <w:rPr>
          <w:rFonts w:ascii="宋体" w:hAnsi="宋体"/>
          <w:sz w:val="28"/>
          <w:szCs w:val="28"/>
        </w:rPr>
        <w:t>10</w:t>
      </w:r>
      <w:r>
        <w:rPr>
          <w:rFonts w:hint="eastAsia" w:ascii="宋体" w:hAnsi="宋体"/>
          <w:sz w:val="28"/>
          <w:szCs w:val="28"/>
        </w:rPr>
        <w:t>月31日（周五）</w:t>
      </w:r>
      <w:bookmarkStart w:id="1" w:name="_Hlk211868436"/>
      <w:r>
        <w:rPr>
          <w:rFonts w:ascii="宋体" w:hAnsi="宋体"/>
          <w:sz w:val="28"/>
          <w:szCs w:val="28"/>
        </w:rPr>
        <w:t>09:30-10:30</w:t>
      </w:r>
      <w:bookmarkEnd w:id="1"/>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会议召开方式：电话及网络会议</w:t>
      </w:r>
    </w:p>
    <w:p>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投资者可于2025年</w:t>
      </w:r>
      <w:r>
        <w:rPr>
          <w:rFonts w:ascii="宋体" w:hAnsi="宋体"/>
          <w:sz w:val="28"/>
          <w:szCs w:val="28"/>
        </w:rPr>
        <w:t>10</w:t>
      </w:r>
      <w:r>
        <w:rPr>
          <w:rFonts w:hint="eastAsia" w:ascii="宋体" w:hAnsi="宋体"/>
          <w:sz w:val="28"/>
          <w:szCs w:val="28"/>
        </w:rPr>
        <w:t>月</w:t>
      </w:r>
      <w:r>
        <w:rPr>
          <w:rFonts w:ascii="宋体" w:hAnsi="宋体"/>
          <w:sz w:val="28"/>
          <w:szCs w:val="28"/>
        </w:rPr>
        <w:t>30</w:t>
      </w:r>
      <w:r>
        <w:rPr>
          <w:rFonts w:hint="eastAsia" w:ascii="宋体" w:hAnsi="宋体"/>
          <w:sz w:val="28"/>
          <w:szCs w:val="28"/>
        </w:rPr>
        <w:t>日（周四）17:00前将关注的问题通过电子邮件的形式发送至</w:t>
      </w:r>
      <w:r>
        <w:rPr>
          <w:rFonts w:ascii="宋体" w:hAnsi="宋体"/>
          <w:sz w:val="28"/>
          <w:szCs w:val="28"/>
        </w:rPr>
        <w:t>IR@ykenergy.com</w:t>
      </w:r>
      <w:r>
        <w:rPr>
          <w:rFonts w:hint="eastAsia" w:ascii="宋体" w:hAnsi="宋体"/>
          <w:sz w:val="28"/>
          <w:szCs w:val="28"/>
        </w:rPr>
        <w:t>。本公司将会于2025年第三季度业绩说明会（“业绩说明会”）上对投资者普遍关注的问题进行回答。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兖矿能源集团股份有限公司（“公司”“本公司”）将于2025年</w:t>
      </w:r>
      <w:r>
        <w:rPr>
          <w:rFonts w:ascii="宋体" w:hAnsi="宋体"/>
          <w:sz w:val="28"/>
          <w:szCs w:val="28"/>
        </w:rPr>
        <w:t>10</w:t>
      </w:r>
      <w:r>
        <w:rPr>
          <w:rFonts w:hint="eastAsia" w:ascii="宋体" w:hAnsi="宋体"/>
          <w:sz w:val="28"/>
          <w:szCs w:val="28"/>
        </w:rPr>
        <w:t>月</w:t>
      </w:r>
      <w:r>
        <w:rPr>
          <w:rFonts w:ascii="宋体" w:hAnsi="宋体"/>
          <w:sz w:val="28"/>
          <w:szCs w:val="28"/>
        </w:rPr>
        <w:t>31</w:t>
      </w:r>
      <w:r>
        <w:rPr>
          <w:rFonts w:hint="eastAsia" w:ascii="宋体" w:hAnsi="宋体"/>
          <w:sz w:val="28"/>
          <w:szCs w:val="28"/>
        </w:rPr>
        <w:t>日在上海证券交易所网站、香港联合交易所网站披露2025年第三季度业绩。为协助投资者更好地了解公司业绩，公司拟以电话及网络会议的方式召开业绩说明会。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（一）召开时间：2025年</w:t>
      </w:r>
      <w:r>
        <w:rPr>
          <w:rFonts w:ascii="宋体" w:hAnsi="宋体"/>
          <w:sz w:val="28"/>
          <w:szCs w:val="28"/>
        </w:rPr>
        <w:t>10</w:t>
      </w:r>
      <w:r>
        <w:rPr>
          <w:rFonts w:hint="eastAsia" w:ascii="宋体" w:hAnsi="宋体"/>
          <w:sz w:val="28"/>
          <w:szCs w:val="28"/>
        </w:rPr>
        <w:t>月31日（周五）</w:t>
      </w:r>
      <w:r>
        <w:rPr>
          <w:rFonts w:ascii="宋体" w:hAnsi="宋体"/>
          <w:sz w:val="28"/>
          <w:szCs w:val="28"/>
        </w:rPr>
        <w:t>09:30-10:30</w:t>
      </w:r>
    </w:p>
    <w:p>
      <w:pPr>
        <w:autoSpaceDE w:val="0"/>
        <w:autoSpaceDN w:val="0"/>
        <w:adjustRightInd w:val="0"/>
        <w:spacing w:line="560" w:lineRule="exact"/>
        <w:ind w:firstLine="560" w:firstLineChars="200"/>
        <w:jc w:val="left"/>
        <w:rPr>
          <w:rFonts w:ascii="宋体" w:hAnsi="宋体"/>
          <w:sz w:val="28"/>
          <w:szCs w:val="28"/>
          <w:u w:val="single"/>
        </w:rPr>
      </w:pPr>
      <w:r>
        <w:rPr>
          <w:rFonts w:hint="eastAsia" w:ascii="宋体" w:hAnsi="宋体"/>
          <w:sz w:val="28"/>
          <w:szCs w:val="28"/>
        </w:rPr>
        <w:t>（二）召开方式：电话及网络会议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w:t>
      </w:r>
      <w:r>
        <w:rPr>
          <w:rFonts w:ascii="宋体" w:hAnsi="宋体"/>
          <w:sz w:val="28"/>
          <w:szCs w:val="28"/>
        </w:rPr>
        <w:t>+86-4001510269</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w:t>
      </w:r>
      <w:r>
        <w:rPr>
          <w:rFonts w:ascii="宋体" w:hAnsi="宋体"/>
          <w:sz w:val="28"/>
          <w:szCs w:val="28"/>
        </w:rPr>
        <w:t>852-51089680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w:t>
      </w:r>
      <w:r>
        <w:rPr>
          <w:rFonts w:ascii="宋体" w:hAnsi="宋体"/>
          <w:sz w:val="28"/>
          <w:szCs w:val="28"/>
        </w:rPr>
        <w:t>1-2087016888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 xml:space="preserve">全 </w:t>
      </w:r>
      <w:r>
        <w:rPr>
          <w:rFonts w:ascii="宋体" w:hAnsi="宋体"/>
          <w:sz w:val="28"/>
          <w:szCs w:val="28"/>
        </w:rPr>
        <w:t xml:space="preserve">   </w:t>
      </w:r>
      <w:r>
        <w:rPr>
          <w:rFonts w:hint="eastAsia" w:ascii="宋体" w:hAnsi="宋体"/>
          <w:sz w:val="28"/>
          <w:szCs w:val="28"/>
        </w:rPr>
        <w:t>球：+</w:t>
      </w:r>
      <w:r>
        <w:rPr>
          <w:rFonts w:ascii="宋体" w:hAnsi="宋体"/>
          <w:sz w:val="28"/>
          <w:szCs w:val="28"/>
        </w:rPr>
        <w:t>86-1021377168</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 xml:space="preserve">012166 </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（四）网络参会地址：</w:t>
      </w:r>
      <w:r>
        <w:rPr>
          <w:rFonts w:ascii="宋体" w:hAnsi="宋体"/>
          <w:sz w:val="28"/>
          <w:szCs w:val="28"/>
        </w:rPr>
        <w:t>https://s.comein.cn/rr7h83as</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党委书记、董事、总经理王九红先生，董事、董事会秘书黄霄龙先生，财务总监赵治国先生，独立董事胡家栋先生和有关业务负责人。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（一）届时投资者可以通过电话及网络参加会议，公司将介绍2025年第三季度经营业绩，未来市场分析、经营措施等相关情况，并就投资者关注的问题进行沟通和交流。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（二）投资者可于2025年</w:t>
      </w:r>
      <w:r>
        <w:rPr>
          <w:rFonts w:ascii="宋体" w:hAnsi="宋体"/>
          <w:sz w:val="28"/>
          <w:szCs w:val="28"/>
        </w:rPr>
        <w:t>10</w:t>
      </w:r>
      <w:r>
        <w:rPr>
          <w:rFonts w:hint="eastAsia" w:ascii="宋体" w:hAnsi="宋体"/>
          <w:sz w:val="28"/>
          <w:szCs w:val="28"/>
        </w:rPr>
        <w:t>月</w:t>
      </w:r>
      <w:r>
        <w:rPr>
          <w:rFonts w:ascii="宋体" w:hAnsi="宋体"/>
          <w:sz w:val="28"/>
          <w:szCs w:val="28"/>
        </w:rPr>
        <w:t>30</w:t>
      </w:r>
      <w:r>
        <w:rPr>
          <w:rFonts w:hint="eastAsia" w:ascii="宋体" w:hAnsi="宋体"/>
          <w:sz w:val="28"/>
          <w:szCs w:val="28"/>
        </w:rPr>
        <w:t>日（周四）17:00前将关注的问题通过电子邮件的形式发送至</w:t>
      </w:r>
      <w:r>
        <w:rPr>
          <w:rFonts w:ascii="宋体" w:hAnsi="宋体"/>
          <w:sz w:val="28"/>
          <w:szCs w:val="28"/>
        </w:rPr>
        <w:t>IR@ykenergy.com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联 系 人：刘  佩  +86-</w:t>
      </w:r>
      <w:r>
        <w:t xml:space="preserve"> </w:t>
      </w:r>
      <w:r>
        <w:rPr>
          <w:rFonts w:ascii="宋体" w:hAnsi="宋体"/>
          <w:sz w:val="28"/>
          <w:szCs w:val="28"/>
        </w:rPr>
        <w:t>15513578290</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+86-537 539 2377</w:t>
      </w:r>
    </w:p>
    <w:p>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 xml:space="preserve">IR@ykenergy.com </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2025年</w:t>
      </w:r>
      <w:r>
        <w:rPr>
          <w:rFonts w:ascii="宋体" w:hAnsi="宋体"/>
          <w:sz w:val="28"/>
          <w:szCs w:val="28"/>
        </w:rPr>
        <w:t>10</w:t>
      </w:r>
      <w:r>
        <w:rPr>
          <w:rFonts w:hint="eastAsia" w:ascii="宋体" w:hAnsi="宋体"/>
          <w:sz w:val="28"/>
          <w:szCs w:val="28"/>
        </w:rPr>
        <w:t>月2</w:t>
      </w:r>
      <w:r>
        <w:rPr>
          <w:rFonts w:ascii="宋体" w:hAnsi="宋体"/>
          <w:sz w:val="28"/>
          <w:szCs w:val="28"/>
        </w:rPr>
        <w:t>8</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000000"/>
    <w:rsid w:val="67973B8F"/>
    <w:rsid w:val="6A6B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qFormat/>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未处理的提及1"/>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779</Words>
  <Characters>1032</Characters>
  <Lines>13</Lines>
  <Paragraphs>3</Paragraphs>
  <TotalTime>85</TotalTime>
  <ScaleCrop>false</ScaleCrop>
  <LinksUpToDate>false</LinksUpToDate>
  <CharactersWithSpaces>1831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2024-09-25T02:15:00Z</dcterms:created>
  <dc:creator>xzz</dc:creator>
  <cp:lastModifiedBy>YUANSU HU</cp:lastModifiedBy>
  <cp:lastPrinted>2024-09-29T01:51:00Z</cp:lastPrinted>
  <dcterms:modified xsi:type="dcterms:W3CDTF">2025-10-28T06:18:41Z</dcterms:modified>
  <dc:title>上证交字〔2003〕10号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</vt:lpwstr>
  </property>
  <property fmtid="{D5CDD505-2E9C-101B-9397-08002B2CF9AE}" pid="3" name="HT_FileSaveTime">
    <vt:lpwstr>2021-03-16 09:35:12</vt:lpwstr>
  </property>
  <property fmtid="{D5CDD505-2E9C-101B-9397-08002B2CF9AE}" pid="4" name="BD_Doc_Page_Count">
    <vt:lpwstr>3</vt:lpwstr>
  </property>
  <property fmtid="{D5CDD505-2E9C-101B-9397-08002B2CF9AE}" pid="5" name="KSOProductBuildVer">
    <vt:lpwstr>2052-11.1.0.14309</vt:lpwstr>
  </property>
  <property fmtid="{D5CDD505-2E9C-101B-9397-08002B2CF9AE}" pid="6" name="ICV">
    <vt:lpwstr>17F7674B15334737B12DD1513BA78F42_13</vt:lpwstr>
  </property>
  <property fmtid="{D5CDD505-2E9C-101B-9397-08002B2CF9AE}" pid="7" name="KSOTemplateDocerSaveRecord">
    <vt:lpwstr>eyJoZGlkIjoiNmJjMzlkOGJiNjZiNTM0ZTE5OGJjZDMyNWQxNjRhYjciLCJ1c2VySWQiOiI0NDYyMDcwMjAifQ==</vt:lpwstr>
  </property>
</Properties>
</file>