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eastAsia="黑体"/>
          <w:color w:val="000000"/>
          <w:szCs w:val="20"/>
          <w:lang w:val="en-US" w:eastAsia="zh-CN"/>
        </w:rPr>
      </w:pPr>
      <w:r>
        <w:rPr>
          <w:rFonts w:hint="eastAsia" w:eastAsia="黑体"/>
          <w:color w:val="000000"/>
          <w:szCs w:val="20"/>
        </w:rPr>
        <w:t>股票代码：</w:t>
      </w:r>
      <w:r>
        <w:rPr>
          <w:rFonts w:eastAsia="黑体"/>
          <w:color w:val="000000"/>
          <w:szCs w:val="20"/>
        </w:rPr>
        <w:t>600188</w:t>
      </w:r>
      <w:r>
        <w:rPr>
          <w:rFonts w:hint="eastAsia" w:eastAsia="黑体"/>
          <w:color w:val="000000"/>
          <w:szCs w:val="20"/>
        </w:rPr>
        <w:t xml:space="preserve">     </w:t>
      </w:r>
      <w:r>
        <w:rPr>
          <w:rFonts w:eastAsia="黑体"/>
          <w:color w:val="000000"/>
          <w:szCs w:val="20"/>
        </w:rPr>
        <w:t xml:space="preserve"> </w:t>
      </w:r>
      <w:r>
        <w:rPr>
          <w:rFonts w:hint="eastAsia" w:eastAsia="黑体"/>
          <w:color w:val="000000"/>
          <w:szCs w:val="20"/>
        </w:rPr>
        <w:t xml:space="preserve">        股票简称： 兖矿能源      </w:t>
      </w:r>
      <w:r>
        <w:rPr>
          <w:rFonts w:eastAsia="黑体"/>
          <w:color w:val="000000"/>
          <w:szCs w:val="20"/>
        </w:rPr>
        <w:t xml:space="preserve">   </w:t>
      </w:r>
      <w:r>
        <w:rPr>
          <w:rFonts w:hint="eastAsia" w:eastAsia="黑体"/>
          <w:color w:val="000000"/>
          <w:szCs w:val="20"/>
        </w:rPr>
        <w:t xml:space="preserve">  编号：临2025-</w:t>
      </w:r>
      <w:r>
        <w:rPr>
          <w:rFonts w:hint="eastAsia" w:eastAsia="黑体"/>
          <w:color w:val="000000"/>
          <w:szCs w:val="20"/>
          <w:lang w:val="en-US" w:eastAsia="zh-CN"/>
        </w:rPr>
        <w:t>049</w:t>
      </w:r>
      <w:bookmarkStart w:id="1" w:name="_GoBack"/>
      <w:bookmarkEnd w:id="1"/>
    </w:p>
    <w:p>
      <w:pPr>
        <w:spacing w:line="560" w:lineRule="exact"/>
        <w:jc w:val="center"/>
        <w:rPr>
          <w:rFonts w:ascii="黑体" w:eastAsia="黑体"/>
          <w:b/>
          <w:bCs/>
          <w:color w:val="FF0000"/>
          <w:sz w:val="36"/>
          <w:szCs w:val="36"/>
        </w:rPr>
      </w:pPr>
    </w:p>
    <w:p>
      <w:pPr>
        <w:spacing w:line="560" w:lineRule="exact"/>
        <w:jc w:val="center"/>
        <w:rPr>
          <w:rFonts w:ascii="黑体" w:eastAsia="黑体"/>
          <w:b/>
          <w:bCs/>
          <w:color w:val="FF0000"/>
          <w:sz w:val="36"/>
          <w:szCs w:val="36"/>
        </w:rPr>
      </w:pPr>
      <w:r>
        <w:rPr>
          <w:rFonts w:hint="eastAsia" w:ascii="黑体" w:eastAsia="黑体"/>
          <w:b/>
          <w:bCs/>
          <w:color w:val="FF0000"/>
          <w:sz w:val="36"/>
          <w:szCs w:val="36"/>
        </w:rPr>
        <w:t>兖矿能源集团股份有限公司</w:t>
      </w:r>
    </w:p>
    <w:p>
      <w:pPr>
        <w:spacing w:line="560" w:lineRule="exact"/>
        <w:jc w:val="center"/>
        <w:rPr>
          <w:rFonts w:ascii="黑体" w:eastAsia="黑体"/>
          <w:b/>
          <w:bCs/>
          <w:color w:val="FF0000"/>
          <w:sz w:val="36"/>
          <w:szCs w:val="36"/>
        </w:rPr>
      </w:pPr>
      <w:r>
        <w:rPr>
          <w:rFonts w:hint="eastAsia" w:ascii="黑体" w:eastAsia="黑体"/>
          <w:b/>
          <w:bCs/>
          <w:color w:val="FF0000"/>
          <w:sz w:val="36"/>
          <w:szCs w:val="36"/>
        </w:rPr>
        <w:t>2025年半年度业绩预减公告</w:t>
      </w:r>
    </w:p>
    <w:p>
      <w:pPr>
        <w:spacing w:line="400" w:lineRule="exact"/>
        <w:rPr>
          <w:sz w:val="28"/>
          <w:szCs w:val="28"/>
        </w:rPr>
      </w:pPr>
    </w:p>
    <w:p>
      <w:pPr>
        <w:spacing w:line="360" w:lineRule="auto"/>
        <w:ind w:firstLine="562" w:firstLineChars="200"/>
        <w:rPr>
          <w:rFonts w:hint="eastAsia" w:asciiTheme="minorEastAsia" w:hAnsiTheme="minorEastAsia"/>
          <w:b/>
          <w:bCs/>
          <w:sz w:val="28"/>
          <w:szCs w:val="28"/>
        </w:rPr>
      </w:pPr>
      <w:r>
        <w:rPr>
          <w:rFonts w:hint="eastAsia" w:asciiTheme="minorEastAsia" w:hAnsiTheme="minorEastAsia"/>
          <w:b/>
          <w:bCs/>
          <w:sz w:val="28"/>
          <w:szCs w:val="28"/>
        </w:rPr>
        <w:t>重要内容提示：</w:t>
      </w:r>
    </w:p>
    <w:p>
      <w:pPr>
        <w:numPr>
          <w:ilvl w:val="0"/>
          <w:numId w:val="1"/>
        </w:numPr>
        <w:spacing w:line="360" w:lineRule="auto"/>
        <w:rPr>
          <w:rFonts w:hint="eastAsia" w:ascii="宋体" w:hAnsi="宋体"/>
          <w:sz w:val="28"/>
          <w:szCs w:val="28"/>
        </w:rPr>
      </w:pPr>
      <w:r>
        <w:rPr>
          <w:rFonts w:hint="eastAsia" w:ascii="宋体" w:hAnsi="宋体"/>
          <w:sz w:val="28"/>
          <w:szCs w:val="28"/>
        </w:rPr>
        <w:t>按中国会计准则初步测算，兖矿能源集团股份有限公司（“公司”“本公司”）预计2025年半年度实现归属于上市公司股东的净利润约4</w:t>
      </w:r>
      <w:r>
        <w:rPr>
          <w:rFonts w:ascii="宋体" w:hAnsi="宋体"/>
          <w:sz w:val="28"/>
          <w:szCs w:val="28"/>
        </w:rPr>
        <w:t>6</w:t>
      </w:r>
      <w:r>
        <w:rPr>
          <w:rFonts w:hint="eastAsia" w:ascii="宋体" w:hAnsi="宋体"/>
          <w:sz w:val="28"/>
          <w:szCs w:val="28"/>
        </w:rPr>
        <w:t>.5亿元，与上年同期数据相比，</w:t>
      </w:r>
      <w:bookmarkStart w:id="0" w:name="_Hlk99396991"/>
      <w:r>
        <w:rPr>
          <w:rFonts w:hint="eastAsia" w:ascii="宋体" w:hAnsi="宋体"/>
          <w:sz w:val="28"/>
          <w:szCs w:val="28"/>
        </w:rPr>
        <w:t>减少约29亿元或38%</w:t>
      </w:r>
      <w:bookmarkEnd w:id="0"/>
      <w:r>
        <w:rPr>
          <w:rFonts w:hint="eastAsia" w:ascii="宋体" w:hAnsi="宋体"/>
          <w:sz w:val="28"/>
          <w:szCs w:val="28"/>
        </w:rPr>
        <w:t>；预计2025年半年度实现归属于上市公司股东的扣除非经常性损益的净利润约44亿元，与上年同期数据相比，减少约29亿元或39%。</w:t>
      </w:r>
    </w:p>
    <w:p>
      <w:pPr>
        <w:numPr>
          <w:ilvl w:val="0"/>
          <w:numId w:val="1"/>
        </w:numPr>
        <w:spacing w:line="360" w:lineRule="auto"/>
        <w:rPr>
          <w:rFonts w:asciiTheme="minorEastAsia" w:hAnsiTheme="minorEastAsia"/>
          <w:b/>
          <w:bCs/>
          <w:sz w:val="24"/>
        </w:rPr>
      </w:pPr>
      <w:r>
        <w:rPr>
          <w:rFonts w:hint="eastAsia" w:ascii="宋体" w:hAnsi="宋体"/>
          <w:sz w:val="28"/>
          <w:szCs w:val="28"/>
        </w:rPr>
        <w:t>公司于</w:t>
      </w:r>
      <w:r>
        <w:rPr>
          <w:sz w:val="28"/>
          <w:szCs w:val="2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ge">
                  <wp:posOffset>2529840</wp:posOffset>
                </wp:positionV>
                <wp:extent cx="5372100" cy="980440"/>
                <wp:effectExtent l="0" t="0" r="19050" b="10160"/>
                <wp:wrapTopAndBottom/>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372100" cy="980440"/>
                        </a:xfrm>
                        <a:prstGeom prst="rect">
                          <a:avLst/>
                        </a:prstGeom>
                        <a:solidFill>
                          <a:srgbClr val="FFFFFF"/>
                        </a:solidFill>
                        <a:ln w="9525">
                          <a:solidFill>
                            <a:srgbClr val="000000"/>
                          </a:solidFill>
                          <a:miter lim="800000"/>
                        </a:ln>
                      </wps:spPr>
                      <wps:txbx>
                        <w:txbxContent>
                          <w:p>
                            <w:pPr>
                              <w:adjustRightInd w:val="0"/>
                              <w:snapToGrid w:val="0"/>
                              <w:spacing w:line="480" w:lineRule="exact"/>
                              <w:ind w:firstLine="560" w:firstLineChars="200"/>
                              <w:rPr>
                                <w:sz w:val="28"/>
                              </w:rPr>
                            </w:pPr>
                            <w:r>
                              <w:rPr>
                                <w:rFonts w:hint="eastAsia"/>
                                <w:sz w:val="28"/>
                              </w:rPr>
                              <w:t>本公司董事会及全体董事保证本公告内容不存在任何虚假记载、误导性陈述或者重大遗漏，并对其内容的真实性、准确性和完整性承担法律责任。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199.2pt;height:77.2pt;width:423pt;mso-position-vertical-relative:page;mso-wrap-distance-bottom:0pt;mso-wrap-distance-top:0pt;z-index:251659264;mso-width-relative:page;mso-height-relative:page;" fillcolor="#FFFFFF" filled="t" stroked="t" coordsize="21600,21600" o:gfxdata="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how3d2AAAAAgBAAAPAAAAAAAAAAEAIAAAACIAAABk&#10;cnMvZG93bnJldi54bWxQSwECFAAUAAAACACHTuJAkgeKLj8CAACHBAAADgAAAAAAAAABACAAAAAn&#10;AQAAZHJzL2Uyb0RvYy54bWxQSwUGAAAAAAYABgBZAQAA2AUAAAAA&#10;">
                <v:fill on="t" focussize="0,0"/>
                <v:stroke color="#000000" miterlimit="8" joinstyle="miter"/>
                <v:imagedata o:title=""/>
                <o:lock v:ext="edit" aspectratio="f"/>
                <v:textbox>
                  <w:txbxContent>
                    <w:p>
                      <w:pPr>
                        <w:adjustRightInd w:val="0"/>
                        <w:snapToGrid w:val="0"/>
                        <w:spacing w:line="480" w:lineRule="exact"/>
                        <w:ind w:firstLine="560" w:firstLineChars="200"/>
                        <w:rPr>
                          <w:sz w:val="28"/>
                        </w:rPr>
                      </w:pPr>
                      <w:r>
                        <w:rPr>
                          <w:rFonts w:hint="eastAsia"/>
                          <w:sz w:val="28"/>
                        </w:rPr>
                        <w:t>本公司董事会及全体董事保证本公告内容不存在任何虚假记载、误导性陈述或者重大遗漏，并对其内容的真实性、准确性和完整性承担法律责任。</w:t>
                      </w:r>
                    </w:p>
                  </w:txbxContent>
                </v:textbox>
                <w10:wrap type="topAndBottom"/>
              </v:shape>
            </w:pict>
          </mc:Fallback>
        </mc:AlternateContent>
      </w:r>
      <w:r>
        <w:rPr>
          <w:rFonts w:hint="eastAsia" w:ascii="宋体" w:hAnsi="宋体"/>
          <w:sz w:val="28"/>
          <w:szCs w:val="28"/>
        </w:rPr>
        <w:t>2025年7月将山东能源集团西北矿业有限公司财务报表</w:t>
      </w:r>
      <w:r>
        <w:rPr>
          <w:rFonts w:hint="eastAsia" w:ascii="宋体" w:hAnsi="宋体"/>
          <w:color w:val="000000"/>
          <w:sz w:val="28"/>
          <w:szCs w:val="28"/>
        </w:rPr>
        <w:t>（“西北矿业”）纳入合并范围</w:t>
      </w:r>
      <w:r>
        <w:rPr>
          <w:rFonts w:hint="eastAsia" w:ascii="宋体" w:hAnsi="宋体"/>
          <w:sz w:val="28"/>
          <w:szCs w:val="28"/>
        </w:rPr>
        <w:t>，并入西北矿业以前各年度及2025年1月以来财务数据。</w:t>
      </w:r>
    </w:p>
    <w:p>
      <w:pPr>
        <w:spacing w:line="360" w:lineRule="auto"/>
        <w:ind w:left="560"/>
        <w:rPr>
          <w:rFonts w:hint="eastAsia" w:asciiTheme="minorEastAsia" w:hAnsiTheme="minorEastAsia"/>
          <w:b/>
          <w:bCs/>
          <w:sz w:val="24"/>
        </w:rPr>
      </w:pPr>
    </w:p>
    <w:p>
      <w:pPr>
        <w:spacing w:line="520" w:lineRule="exact"/>
        <w:ind w:firstLine="562" w:firstLineChars="200"/>
        <w:rPr>
          <w:rFonts w:hint="eastAsia" w:ascii="宋体" w:hAnsi="宋体"/>
          <w:b/>
          <w:bCs/>
          <w:sz w:val="28"/>
          <w:szCs w:val="28"/>
        </w:rPr>
      </w:pPr>
      <w:r>
        <w:rPr>
          <w:rFonts w:hint="eastAsia" w:ascii="宋体" w:hAnsi="宋体"/>
          <w:b/>
          <w:bCs/>
          <w:sz w:val="28"/>
          <w:szCs w:val="28"/>
        </w:rPr>
        <w:t>一、本期业绩预告情况（按中国会计准则计算）</w:t>
      </w:r>
    </w:p>
    <w:p>
      <w:pPr>
        <w:spacing w:line="520" w:lineRule="exact"/>
        <w:ind w:firstLine="560" w:firstLineChars="200"/>
        <w:rPr>
          <w:rFonts w:hint="eastAsia" w:ascii="宋体" w:hAnsi="宋体"/>
          <w:sz w:val="28"/>
          <w:szCs w:val="28"/>
        </w:rPr>
      </w:pPr>
      <w:r>
        <w:rPr>
          <w:rFonts w:hint="eastAsia" w:ascii="宋体" w:hAnsi="宋体"/>
          <w:sz w:val="28"/>
          <w:szCs w:val="28"/>
        </w:rPr>
        <w:t>（一）业绩预告期间</w:t>
      </w:r>
    </w:p>
    <w:p>
      <w:pPr>
        <w:spacing w:line="520" w:lineRule="exact"/>
        <w:ind w:firstLine="560" w:firstLineChars="200"/>
        <w:rPr>
          <w:rFonts w:hint="eastAsia" w:ascii="宋体" w:hAnsi="宋体"/>
          <w:sz w:val="28"/>
          <w:szCs w:val="28"/>
        </w:rPr>
      </w:pPr>
      <w:r>
        <w:rPr>
          <w:rFonts w:hint="eastAsia" w:ascii="宋体" w:hAnsi="宋体"/>
          <w:sz w:val="28"/>
          <w:szCs w:val="28"/>
        </w:rPr>
        <w:t>2025年1月1日至2025年</w:t>
      </w:r>
      <w:r>
        <w:rPr>
          <w:rFonts w:ascii="宋体" w:hAnsi="宋体"/>
          <w:sz w:val="28"/>
          <w:szCs w:val="28"/>
        </w:rPr>
        <w:t>6</w:t>
      </w:r>
      <w:r>
        <w:rPr>
          <w:rFonts w:hint="eastAsia" w:ascii="宋体" w:hAnsi="宋体"/>
          <w:sz w:val="28"/>
          <w:szCs w:val="28"/>
        </w:rPr>
        <w:t>月3</w:t>
      </w:r>
      <w:r>
        <w:rPr>
          <w:rFonts w:ascii="宋体" w:hAnsi="宋体"/>
          <w:sz w:val="28"/>
          <w:szCs w:val="28"/>
        </w:rPr>
        <w:t>0</w:t>
      </w:r>
      <w:r>
        <w:rPr>
          <w:rFonts w:hint="eastAsia" w:ascii="宋体" w:hAnsi="宋体"/>
          <w:sz w:val="28"/>
          <w:szCs w:val="28"/>
        </w:rPr>
        <w:t>日。</w:t>
      </w:r>
    </w:p>
    <w:p>
      <w:pPr>
        <w:spacing w:line="520" w:lineRule="exact"/>
        <w:ind w:firstLine="560" w:firstLineChars="200"/>
        <w:rPr>
          <w:rFonts w:hint="eastAsia" w:ascii="宋体" w:hAnsi="宋体"/>
          <w:sz w:val="28"/>
          <w:szCs w:val="28"/>
        </w:rPr>
      </w:pPr>
      <w:r>
        <w:rPr>
          <w:rFonts w:hint="eastAsia" w:ascii="宋体" w:hAnsi="宋体"/>
          <w:sz w:val="28"/>
          <w:szCs w:val="28"/>
        </w:rPr>
        <w:t>（二）业绩预告情况</w:t>
      </w:r>
    </w:p>
    <w:p>
      <w:pPr>
        <w:spacing w:line="520" w:lineRule="exact"/>
        <w:ind w:firstLine="560" w:firstLineChars="200"/>
        <w:rPr>
          <w:rFonts w:hint="eastAsia" w:ascii="宋体" w:hAnsi="宋体"/>
          <w:sz w:val="28"/>
          <w:szCs w:val="28"/>
        </w:rPr>
      </w:pPr>
      <w:r>
        <w:rPr>
          <w:rFonts w:hint="eastAsia" w:ascii="宋体" w:hAnsi="宋体"/>
          <w:sz w:val="28"/>
          <w:szCs w:val="28"/>
        </w:rPr>
        <w:t>1</w:t>
      </w:r>
      <w:r>
        <w:rPr>
          <w:rFonts w:ascii="宋体" w:hAnsi="宋体"/>
          <w:sz w:val="28"/>
          <w:szCs w:val="28"/>
        </w:rPr>
        <w:t>.</w:t>
      </w:r>
      <w:r>
        <w:rPr>
          <w:rFonts w:hint="eastAsia" w:ascii="宋体" w:hAnsi="宋体"/>
          <w:sz w:val="28"/>
          <w:szCs w:val="28"/>
        </w:rPr>
        <w:t>经公司财务部门初步测算，本公司预计2025年半年度实现归属于上市公司股东的净利润约4</w:t>
      </w:r>
      <w:r>
        <w:rPr>
          <w:rFonts w:ascii="宋体" w:hAnsi="宋体"/>
          <w:sz w:val="28"/>
          <w:szCs w:val="28"/>
        </w:rPr>
        <w:t>6</w:t>
      </w:r>
      <w:r>
        <w:rPr>
          <w:rFonts w:hint="eastAsia" w:ascii="宋体" w:hAnsi="宋体"/>
          <w:sz w:val="28"/>
          <w:szCs w:val="28"/>
        </w:rPr>
        <w:t>.5亿元，与上年同期（法定披露数据）相比，减少29亿元左右，同比减少38%左右；</w:t>
      </w:r>
    </w:p>
    <w:p>
      <w:pPr>
        <w:spacing w:line="520" w:lineRule="exact"/>
        <w:ind w:firstLine="560" w:firstLineChars="200"/>
        <w:rPr>
          <w:rFonts w:hint="eastAsia" w:ascii="宋体" w:hAnsi="宋体"/>
          <w:sz w:val="28"/>
          <w:szCs w:val="28"/>
        </w:rPr>
      </w:pPr>
      <w:r>
        <w:rPr>
          <w:rFonts w:hint="eastAsia" w:ascii="宋体" w:hAnsi="宋体"/>
          <w:sz w:val="28"/>
          <w:szCs w:val="28"/>
        </w:rPr>
        <w:t>2</w:t>
      </w:r>
      <w:r>
        <w:rPr>
          <w:rFonts w:ascii="宋体" w:hAnsi="宋体"/>
          <w:sz w:val="28"/>
          <w:szCs w:val="28"/>
        </w:rPr>
        <w:t>.</w:t>
      </w:r>
      <w:r>
        <w:rPr>
          <w:rFonts w:hint="eastAsia" w:ascii="宋体" w:hAnsi="宋体"/>
          <w:sz w:val="28"/>
          <w:szCs w:val="28"/>
        </w:rPr>
        <w:t>经公司财务部门初步测算，本公司预计2025年半年度实现归属于上市公司股东的扣除非经常性损益的净利润约44亿元，与上年同期（法定披露数据）相比，减少29亿元左右，同比减少39%左右。</w:t>
      </w:r>
    </w:p>
    <w:p>
      <w:pPr>
        <w:spacing w:line="520" w:lineRule="exact"/>
        <w:ind w:firstLine="560" w:firstLineChars="200"/>
        <w:rPr>
          <w:rFonts w:hint="eastAsia" w:ascii="宋体" w:hAnsi="宋体"/>
          <w:sz w:val="28"/>
          <w:szCs w:val="28"/>
        </w:rPr>
      </w:pPr>
      <w:r>
        <w:rPr>
          <w:rFonts w:hint="eastAsia" w:ascii="宋体" w:hAnsi="宋体"/>
          <w:sz w:val="28"/>
          <w:szCs w:val="28"/>
        </w:rPr>
        <w:t>（三）本期业绩预告数据未经注册会计师审计。</w:t>
      </w:r>
    </w:p>
    <w:p>
      <w:pPr>
        <w:spacing w:line="520" w:lineRule="exact"/>
        <w:ind w:firstLine="562" w:firstLineChars="200"/>
        <w:rPr>
          <w:rFonts w:hint="eastAsia" w:ascii="宋体" w:hAnsi="宋体"/>
          <w:b/>
          <w:bCs/>
          <w:sz w:val="28"/>
          <w:szCs w:val="28"/>
        </w:rPr>
      </w:pPr>
      <w:r>
        <w:rPr>
          <w:rFonts w:hint="eastAsia" w:ascii="宋体" w:hAnsi="宋体"/>
          <w:b/>
          <w:bCs/>
          <w:sz w:val="28"/>
          <w:szCs w:val="28"/>
        </w:rPr>
        <w:t>二、上年同期业绩情况（按中国会计准则计算）</w:t>
      </w:r>
    </w:p>
    <w:p>
      <w:pPr>
        <w:spacing w:line="520" w:lineRule="exact"/>
        <w:ind w:firstLine="560" w:firstLineChars="200"/>
        <w:jc w:val="left"/>
        <w:rPr>
          <w:rFonts w:hint="eastAsia" w:ascii="宋体" w:hAnsi="宋体"/>
          <w:sz w:val="28"/>
          <w:szCs w:val="28"/>
        </w:rPr>
      </w:pPr>
      <w:r>
        <w:rPr>
          <w:rFonts w:hint="eastAsia" w:ascii="宋体" w:hAnsi="宋体"/>
          <w:sz w:val="28"/>
          <w:szCs w:val="28"/>
        </w:rPr>
        <w:t>（一）归属于上市公司股东的净利润：</w:t>
      </w:r>
      <w:r>
        <w:rPr>
          <w:rFonts w:ascii="宋体" w:hAnsi="宋体"/>
          <w:sz w:val="28"/>
          <w:szCs w:val="28"/>
        </w:rPr>
        <w:t>76</w:t>
      </w:r>
      <w:r>
        <w:rPr>
          <w:rFonts w:hint="eastAsia" w:ascii="宋体" w:hAnsi="宋体"/>
          <w:sz w:val="28"/>
          <w:szCs w:val="28"/>
        </w:rPr>
        <w:t>亿元。</w:t>
      </w:r>
    </w:p>
    <w:p>
      <w:pPr>
        <w:spacing w:line="520" w:lineRule="exact"/>
        <w:ind w:firstLine="560" w:firstLineChars="200"/>
        <w:jc w:val="left"/>
        <w:rPr>
          <w:rFonts w:hint="eastAsia" w:ascii="宋体" w:hAnsi="宋体"/>
          <w:sz w:val="28"/>
          <w:szCs w:val="28"/>
        </w:rPr>
      </w:pPr>
      <w:r>
        <w:rPr>
          <w:rFonts w:hint="eastAsia" w:ascii="宋体" w:hAnsi="宋体"/>
          <w:sz w:val="28"/>
          <w:szCs w:val="28"/>
        </w:rPr>
        <w:t>（二）归属于上市公司股东的扣除非经常性损益的净利润：</w:t>
      </w:r>
      <w:r>
        <w:rPr>
          <w:rFonts w:ascii="宋体" w:hAnsi="宋体"/>
          <w:sz w:val="28"/>
          <w:szCs w:val="28"/>
        </w:rPr>
        <w:t>73</w:t>
      </w:r>
      <w:r>
        <w:rPr>
          <w:rFonts w:hint="eastAsia" w:ascii="宋体" w:hAnsi="宋体"/>
          <w:sz w:val="28"/>
          <w:szCs w:val="28"/>
        </w:rPr>
        <w:t>亿元。</w:t>
      </w:r>
    </w:p>
    <w:p>
      <w:pPr>
        <w:spacing w:line="520" w:lineRule="exact"/>
        <w:ind w:firstLine="560" w:firstLineChars="200"/>
        <w:jc w:val="left"/>
        <w:rPr>
          <w:rFonts w:hint="eastAsia" w:ascii="宋体" w:hAnsi="宋体"/>
          <w:sz w:val="28"/>
          <w:szCs w:val="28"/>
        </w:rPr>
      </w:pPr>
      <w:r>
        <w:rPr>
          <w:rFonts w:hint="eastAsia" w:ascii="宋体" w:hAnsi="宋体"/>
          <w:sz w:val="28"/>
          <w:szCs w:val="28"/>
        </w:rPr>
        <w:t>（三）2024年下半年公司完成了2023年度股票股利派发，根据中国会计准则需对上年同期基本每股收益进行追溯调整，追溯调整后每股收益：0.79元/股。</w:t>
      </w:r>
    </w:p>
    <w:p>
      <w:pPr>
        <w:spacing w:line="520" w:lineRule="exact"/>
        <w:ind w:firstLine="562" w:firstLineChars="200"/>
        <w:rPr>
          <w:rFonts w:hint="eastAsia" w:ascii="宋体" w:hAnsi="宋体"/>
          <w:b/>
          <w:bCs/>
          <w:sz w:val="28"/>
          <w:szCs w:val="28"/>
        </w:rPr>
      </w:pPr>
      <w:r>
        <w:rPr>
          <w:rFonts w:hint="eastAsia" w:ascii="宋体" w:hAnsi="宋体"/>
          <w:b/>
          <w:bCs/>
          <w:sz w:val="28"/>
          <w:szCs w:val="28"/>
        </w:rPr>
        <w:t>三、本期业绩预告的主要原因</w:t>
      </w:r>
    </w:p>
    <w:p>
      <w:pPr>
        <w:autoSpaceDE w:val="0"/>
        <w:autoSpaceDN w:val="0"/>
        <w:adjustRightInd w:val="0"/>
        <w:spacing w:line="560" w:lineRule="exact"/>
        <w:ind w:firstLine="560" w:firstLineChars="200"/>
        <w:jc w:val="left"/>
        <w:rPr>
          <w:rFonts w:hint="eastAsia" w:ascii="宋体" w:hAnsi="宋体"/>
          <w:color w:val="000000"/>
          <w:sz w:val="28"/>
          <w:szCs w:val="28"/>
        </w:rPr>
      </w:pPr>
      <w:r>
        <w:rPr>
          <w:rFonts w:hint="eastAsia" w:ascii="宋体" w:hAnsi="宋体"/>
          <w:color w:val="000000"/>
          <w:sz w:val="28"/>
          <w:szCs w:val="28"/>
        </w:rPr>
        <w:t>报告期内，兖矿能源优化生产组织扩能增量，主要产品产能高效释放，挖潜增效精准发力，成本管控取得良好效果，化工业务实现较好协同增盈，一定程度上对冲了煤炭价格周期性下行影响。但由于煤炭供需总体宽松，煤价较同期大幅下降，影响归母净利润同比减少。</w:t>
      </w:r>
    </w:p>
    <w:p>
      <w:pPr>
        <w:autoSpaceDE w:val="0"/>
        <w:autoSpaceDN w:val="0"/>
        <w:adjustRightInd w:val="0"/>
        <w:spacing w:line="560" w:lineRule="exact"/>
        <w:ind w:firstLine="560" w:firstLineChars="200"/>
        <w:jc w:val="left"/>
        <w:rPr>
          <w:rFonts w:hint="eastAsia" w:ascii="宋体" w:hAnsi="宋体"/>
          <w:color w:val="000000"/>
          <w:sz w:val="28"/>
          <w:szCs w:val="28"/>
        </w:rPr>
      </w:pPr>
      <w:r>
        <w:rPr>
          <w:rFonts w:hint="eastAsia" w:ascii="宋体" w:hAnsi="宋体"/>
          <w:color w:val="000000"/>
          <w:sz w:val="28"/>
          <w:szCs w:val="28"/>
        </w:rPr>
        <w:t>下半年，公司将积极应对市场变化，科学合理优化生产组织，坚定不移释放优势产能；全面加强成本管理，最大限度挖潜降本增效；拓展营销增值渠道，持续挖掘价值创造潜能，为广大投资者创造良好价值回报。</w:t>
      </w:r>
    </w:p>
    <w:p>
      <w:pPr>
        <w:spacing w:line="520" w:lineRule="exact"/>
        <w:ind w:firstLine="562" w:firstLineChars="200"/>
        <w:rPr>
          <w:rFonts w:hint="eastAsia" w:ascii="宋体" w:hAnsi="宋体"/>
          <w:b/>
          <w:bCs/>
          <w:sz w:val="28"/>
          <w:szCs w:val="28"/>
        </w:rPr>
      </w:pPr>
      <w:r>
        <w:rPr>
          <w:rFonts w:hint="eastAsia" w:ascii="宋体" w:hAnsi="宋体"/>
          <w:b/>
          <w:bCs/>
          <w:sz w:val="28"/>
          <w:szCs w:val="28"/>
        </w:rPr>
        <w:t xml:space="preserve">四、风险提示 </w:t>
      </w:r>
    </w:p>
    <w:p>
      <w:pPr>
        <w:spacing w:line="520" w:lineRule="exact"/>
        <w:ind w:firstLine="560" w:firstLineChars="200"/>
        <w:rPr>
          <w:rFonts w:hint="eastAsia" w:ascii="宋体" w:hAnsi="宋体"/>
          <w:sz w:val="28"/>
          <w:szCs w:val="28"/>
        </w:rPr>
      </w:pPr>
      <w:r>
        <w:rPr>
          <w:rFonts w:hint="eastAsia" w:ascii="宋体" w:hAnsi="宋体"/>
          <w:sz w:val="28"/>
          <w:szCs w:val="28"/>
        </w:rPr>
        <w:t>截至目前公司不存在影响本次业绩预告内容准确性的重大不确定因素。</w:t>
      </w:r>
    </w:p>
    <w:p>
      <w:pPr>
        <w:spacing w:line="520" w:lineRule="exact"/>
        <w:ind w:firstLine="562" w:firstLineChars="200"/>
        <w:rPr>
          <w:rFonts w:hint="eastAsia" w:ascii="宋体" w:hAnsi="宋体"/>
          <w:b/>
          <w:bCs/>
          <w:sz w:val="28"/>
          <w:szCs w:val="28"/>
        </w:rPr>
      </w:pPr>
      <w:r>
        <w:rPr>
          <w:rFonts w:hint="eastAsia" w:ascii="宋体" w:hAnsi="宋体"/>
          <w:b/>
          <w:bCs/>
          <w:sz w:val="28"/>
          <w:szCs w:val="28"/>
        </w:rPr>
        <w:t>五、其他说明事项</w:t>
      </w:r>
    </w:p>
    <w:p>
      <w:pPr>
        <w:spacing w:line="520" w:lineRule="exact"/>
        <w:ind w:firstLine="560" w:firstLineChars="200"/>
        <w:rPr>
          <w:rFonts w:hint="eastAsia" w:ascii="宋体" w:hAnsi="宋体"/>
          <w:sz w:val="28"/>
          <w:szCs w:val="28"/>
        </w:rPr>
      </w:pPr>
      <w:r>
        <w:rPr>
          <w:rFonts w:hint="eastAsia" w:ascii="宋体" w:hAnsi="宋体"/>
          <w:sz w:val="28"/>
          <w:szCs w:val="28"/>
        </w:rPr>
        <w:t>以上预告数据仅为初步核算数据，具体准确的财务数据以公司正式披露的2025年半年度报告为准，敬请广大投资者注意投资风险。</w:t>
      </w:r>
    </w:p>
    <w:p>
      <w:pPr>
        <w:spacing w:line="520" w:lineRule="exact"/>
        <w:ind w:firstLine="560" w:firstLineChars="200"/>
        <w:rPr>
          <w:rFonts w:hint="eastAsia" w:ascii="宋体" w:hAnsi="宋体"/>
          <w:sz w:val="28"/>
          <w:szCs w:val="28"/>
        </w:rPr>
      </w:pPr>
      <w:r>
        <w:rPr>
          <w:rFonts w:hint="eastAsia" w:ascii="宋体" w:hAnsi="宋体"/>
          <w:color w:val="000000"/>
          <w:sz w:val="28"/>
          <w:szCs w:val="28"/>
        </w:rPr>
        <w:t>公司已于2025年7月11日完成</w:t>
      </w:r>
      <w:r>
        <w:rPr>
          <w:rFonts w:ascii="宋体" w:hAnsi="宋体"/>
          <w:color w:val="000000"/>
          <w:sz w:val="28"/>
          <w:szCs w:val="28"/>
        </w:rPr>
        <w:t>收购西北矿业</w:t>
      </w:r>
      <w:r>
        <w:rPr>
          <w:rFonts w:hint="eastAsia" w:ascii="宋体" w:hAnsi="宋体"/>
          <w:color w:val="000000"/>
          <w:sz w:val="28"/>
          <w:szCs w:val="28"/>
        </w:rPr>
        <w:t>51%股权的交割程序，自2025年7月起，西北矿业的财务报表纳入公司合并范围。根据中国会计准则的规定，上述事项构成同一控制下企业合并，公司将在2025年第三季度报告中，对相关财务数据进行追溯调整，并入西北矿业以前各年度及2025年1月以来财务数据。</w:t>
      </w:r>
      <w:r>
        <w:rPr>
          <w:rFonts w:ascii="宋体" w:hAnsi="宋体"/>
          <w:sz w:val="28"/>
          <w:szCs w:val="28"/>
        </w:rPr>
        <w:cr/>
      </w:r>
    </w:p>
    <w:p>
      <w:pPr>
        <w:spacing w:line="520" w:lineRule="exact"/>
        <w:ind w:firstLine="560" w:firstLineChars="200"/>
        <w:rPr>
          <w:rFonts w:hint="eastAsia" w:ascii="宋体" w:hAnsi="宋体"/>
          <w:sz w:val="28"/>
          <w:szCs w:val="28"/>
        </w:rPr>
      </w:pPr>
      <w:r>
        <w:rPr>
          <w:rFonts w:hint="eastAsia" w:ascii="宋体" w:hAnsi="宋体"/>
          <w:sz w:val="28"/>
          <w:szCs w:val="28"/>
        </w:rPr>
        <w:t>特此公告。</w:t>
      </w:r>
    </w:p>
    <w:p>
      <w:pPr>
        <w:spacing w:line="520" w:lineRule="exact"/>
        <w:ind w:firstLine="560" w:firstLineChars="200"/>
        <w:rPr>
          <w:rFonts w:hint="eastAsia" w:ascii="宋体" w:hAnsi="宋体"/>
          <w:sz w:val="28"/>
          <w:szCs w:val="28"/>
        </w:rPr>
      </w:pPr>
    </w:p>
    <w:p>
      <w:pPr>
        <w:spacing w:line="520" w:lineRule="exact"/>
        <w:jc w:val="right"/>
        <w:rPr>
          <w:rFonts w:hint="eastAsia" w:ascii="宋体" w:hAnsi="宋体"/>
          <w:sz w:val="28"/>
          <w:szCs w:val="28"/>
        </w:rPr>
      </w:pPr>
    </w:p>
    <w:p>
      <w:pPr>
        <w:spacing w:line="520" w:lineRule="exact"/>
        <w:ind w:firstLine="560" w:firstLineChars="200"/>
        <w:jc w:val="right"/>
        <w:rPr>
          <w:rFonts w:hint="eastAsia" w:ascii="宋体" w:hAnsi="宋体"/>
          <w:sz w:val="28"/>
          <w:szCs w:val="28"/>
        </w:rPr>
      </w:pPr>
      <w:r>
        <w:rPr>
          <w:rFonts w:hint="eastAsia" w:ascii="宋体" w:hAnsi="宋体"/>
          <w:sz w:val="28"/>
          <w:szCs w:val="28"/>
        </w:rPr>
        <w:t>兖矿能源集团股份有限公司董事会</w:t>
      </w:r>
    </w:p>
    <w:p>
      <w:pPr>
        <w:spacing w:line="520" w:lineRule="exact"/>
        <w:ind w:right="560" w:firstLine="560" w:firstLineChars="200"/>
        <w:jc w:val="right"/>
        <w:rPr>
          <w:rFonts w:hint="eastAsia" w:ascii="宋体" w:hAnsi="宋体"/>
          <w:sz w:val="28"/>
          <w:szCs w:val="28"/>
        </w:rPr>
      </w:pPr>
      <w:r>
        <w:rPr>
          <w:rFonts w:hint="eastAsia" w:ascii="宋体" w:hAnsi="宋体"/>
          <w:sz w:val="28"/>
          <w:szCs w:val="28"/>
        </w:rPr>
        <w:t>2025年</w:t>
      </w:r>
      <w:r>
        <w:rPr>
          <w:rFonts w:ascii="宋体" w:hAnsi="宋体"/>
          <w:sz w:val="28"/>
          <w:szCs w:val="28"/>
        </w:rPr>
        <w:t>8</w:t>
      </w:r>
      <w:r>
        <w:rPr>
          <w:rFonts w:hint="eastAsia" w:ascii="宋体" w:hAnsi="宋体"/>
          <w:sz w:val="28"/>
          <w:szCs w:val="28"/>
        </w:rPr>
        <w:t>月1</w:t>
      </w:r>
      <w:r>
        <w:rPr>
          <w:rFonts w:ascii="宋体" w:hAnsi="宋体"/>
          <w:sz w:val="28"/>
          <w:szCs w:val="28"/>
        </w:rPr>
        <w:t>3</w:t>
      </w:r>
      <w:r>
        <w:rPr>
          <w:rFonts w:hint="eastAsia" w:ascii="宋体" w:hAnsi="宋体"/>
          <w:sz w:val="28"/>
          <w:szCs w:val="28"/>
        </w:rPr>
        <w:t xml:space="preserve">日 </w:t>
      </w:r>
      <w:r>
        <w:rPr>
          <w:rFonts w:ascii="宋体" w:hAnsi="宋体"/>
          <w:sz w:val="28"/>
          <w:szCs w:val="28"/>
        </w:rPr>
        <w:t xml:space="preserve">    </w:t>
      </w:r>
    </w:p>
    <w:sectPr>
      <w:headerReference r:id="rId3" w:type="default"/>
      <w:footerReference r:id="rId5" w:type="default"/>
      <w:head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32984120"/>
    </w:sdtPr>
    <w:sdtContent>
      <w:p>
        <w:pPr>
          <w:pStyle w:val="4"/>
          <w:jc w:val="center"/>
        </w:pPr>
        <w:r>
          <w:fldChar w:fldCharType="begin"/>
        </w:r>
        <w:r>
          <w:instrText xml:space="preserve">PAGE   \* MERGEFORMAT</w:instrText>
        </w:r>
        <w:r>
          <w:fldChar w:fldCharType="separate"/>
        </w:r>
        <w:r>
          <w:rPr>
            <w:lang w:val="zh-CN"/>
          </w:rPr>
          <w:t>3</w:t>
        </w:r>
        <w:r>
          <w:fldChar w:fldCharType="end"/>
        </w:r>
      </w:p>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9"/>
      </w:rPr>
    </w:pPr>
    <w:r>
      <w:fldChar w:fldCharType="begin"/>
    </w:r>
    <w:r>
      <w:rPr>
        <w:rStyle w:val="9"/>
      </w:rPr>
      <w:instrText xml:space="preserve">PAGE  </w:instrText>
    </w:r>
    <w:r>
      <w:fldChar w:fldCharType="separate"/>
    </w:r>
    <w:r>
      <w:rPr>
        <w:rStyle w:val="9"/>
      </w:rPr>
      <w:t>1</w:t>
    </w:r>
    <w:r>
      <w:fldChar w:fldCharType="end"/>
    </w:r>
  </w:p>
  <w:p>
    <w:pPr>
      <w:pStyle w:val="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0002C"/>
    <w:multiLevelType w:val="multilevel"/>
    <w:tmpl w:val="74A0002C"/>
    <w:lvl w:ilvl="0" w:tentative="0">
      <w:start w:val="1"/>
      <w:numFmt w:val="bullet"/>
      <w:lvlText w:val=""/>
      <w:lvlJc w:val="left"/>
      <w:pPr>
        <w:ind w:left="980"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U1NmM5OTU2ZmY4Y2RiYTg3ZTQ2ZGQyMTliYjRmY2MifQ=="/>
  </w:docVars>
  <w:rsids>
    <w:rsidRoot w:val="004918FE"/>
    <w:rsid w:val="00265B74"/>
    <w:rsid w:val="003E7792"/>
    <w:rsid w:val="004918FE"/>
    <w:rsid w:val="004F3F00"/>
    <w:rsid w:val="00534DDE"/>
    <w:rsid w:val="005A5D66"/>
    <w:rsid w:val="008C37C5"/>
    <w:rsid w:val="0092546F"/>
    <w:rsid w:val="00954B2B"/>
    <w:rsid w:val="00AE4D3A"/>
    <w:rsid w:val="00BB4909"/>
    <w:rsid w:val="00C33611"/>
    <w:rsid w:val="00FA078A"/>
    <w:rsid w:val="3EBA7D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
    <w:qFormat/>
    <w:uiPriority w:val="9"/>
    <w:pPr>
      <w:keepNext/>
      <w:keepLines/>
      <w:spacing w:before="220" w:after="210"/>
      <w:ind w:firstLine="200" w:firstLineChars="200"/>
      <w:outlineLvl w:val="0"/>
    </w:pPr>
    <w:rPr>
      <w:rFonts w:ascii="Calibri" w:hAnsi="Calibri"/>
      <w:b/>
      <w:bCs/>
      <w:kern w:val="44"/>
      <w:sz w:val="24"/>
      <w:szCs w:val="44"/>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5"/>
    <w:semiHidden/>
    <w:unhideWhenUsed/>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customStyle="1" w:styleId="10">
    <w:name w:val="标题 1 字符"/>
    <w:basedOn w:val="8"/>
    <w:link w:val="2"/>
    <w:qFormat/>
    <w:uiPriority w:val="9"/>
    <w:rPr>
      <w:rFonts w:ascii="Calibri" w:hAnsi="Calibri" w:eastAsia="宋体" w:cs="Times New Roman"/>
      <w:b/>
      <w:bCs/>
      <w:kern w:val="44"/>
      <w:sz w:val="24"/>
      <w:szCs w:val="44"/>
    </w:rPr>
  </w:style>
  <w:style w:type="character" w:customStyle="1" w:styleId="11">
    <w:name w:val="页脚 字符"/>
    <w:basedOn w:val="8"/>
    <w:link w:val="4"/>
    <w:qFormat/>
    <w:uiPriority w:val="99"/>
    <w:rPr>
      <w:rFonts w:ascii="Times New Roman" w:hAnsi="Times New Roman" w:eastAsia="宋体" w:cs="Times New Roman"/>
      <w:sz w:val="18"/>
      <w:szCs w:val="18"/>
    </w:rPr>
  </w:style>
  <w:style w:type="character" w:customStyle="1" w:styleId="12">
    <w:name w:val="页眉 字符"/>
    <w:basedOn w:val="8"/>
    <w:link w:val="5"/>
    <w:qFormat/>
    <w:uiPriority w:val="99"/>
    <w:rPr>
      <w:rFonts w:ascii="Times New Roman" w:hAnsi="Times New Roman" w:eastAsia="宋体" w:cs="Times New Roman"/>
      <w:sz w:val="18"/>
      <w:szCs w:val="18"/>
    </w:rPr>
  </w:style>
  <w:style w:type="paragraph" w:styleId="13">
    <w:name w:val="List Paragraph"/>
    <w:basedOn w:val="1"/>
    <w:unhideWhenUsed/>
    <w:qFormat/>
    <w:uiPriority w:val="99"/>
    <w:pPr>
      <w:ind w:firstLine="420" w:firstLineChars="200"/>
    </w:pPr>
  </w:style>
  <w:style w:type="table" w:customStyle="1" w:styleId="14">
    <w:name w:val="网格型1"/>
    <w:basedOn w:val="6"/>
    <w:qFormat/>
    <w:uiPriority w:val="5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5">
    <w:name w:val="批注框文本 字符"/>
    <w:basedOn w:val="8"/>
    <w:link w:val="3"/>
    <w:semiHidden/>
    <w:uiPriority w:val="99"/>
    <w:rPr>
      <w:rFonts w:ascii="Times New Roman" w:hAnsi="Times New Roman" w:eastAsia="宋体" w:cs="Times New Roman"/>
      <w:sz w:val="18"/>
      <w:szCs w:val="18"/>
    </w:rPr>
  </w:style>
  <w:style w:type="paragraph" w:customStyle="1" w:styleId="16">
    <w:name w:val="修订1"/>
    <w:hidden/>
    <w:semiHidden/>
    <w:uiPriority w:val="99"/>
    <w:rPr>
      <w:rFonts w:ascii="Times New Roman" w:hAnsi="Times New Roman" w:eastAsia="宋体" w:cs="Times New Roman"/>
      <w:kern w:val="2"/>
      <w:sz w:val="21"/>
      <w:szCs w:val="24"/>
      <w:lang w:val="en-US" w:eastAsia="zh-CN" w:bidi="ar-SA"/>
    </w:rPr>
  </w:style>
  <w:style w:type="paragraph" w:customStyle="1" w:styleId="17">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1103</Words>
  <Characters>1195</Characters>
  <Lines>8</Lines>
  <Paragraphs>2</Paragraphs>
  <TotalTime>170</TotalTime>
  <ScaleCrop>false</ScaleCrop>
  <LinksUpToDate>false</LinksUpToDate>
  <CharactersWithSpaces>1227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2025-08-10T06:42:00Z</dcterms:created>
  <dc:creator>熊振中</dc:creator>
  <cp:lastModifiedBy>YUANSU HU</cp:lastModifiedBy>
  <cp:lastPrinted>2025-08-13T07:13:00Z</cp:lastPrinted>
  <dcterms:modified xsi:type="dcterms:W3CDTF">2025-08-13T08:10:56Z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5B77E7CEEC58BC6AFAE8886BEB80DBEB">
    <vt:lpwstr>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</vt:lpwstr>
  </property>
  <property fmtid="{D5CDD505-2E9C-101B-9397-08002B2CF9AE}" pid="3" name="KSOTemplateDocerSaveRecord">
    <vt:lpwstr>eyJoZGlkIjoiYmM1MzgwZDc2OWE1YWVkNTIyNmEyZTU2MDUyODAwM2UiLCJ1c2VySWQiOiI1ODk2NzczMTcifQ==</vt:lpwstr>
  </property>
  <property fmtid="{D5CDD505-2E9C-101B-9397-08002B2CF9AE}" pid="4" name="KSOProductBuildVer">
    <vt:lpwstr>2052-11.1.0.14309</vt:lpwstr>
  </property>
  <property fmtid="{D5CDD505-2E9C-101B-9397-08002B2CF9AE}" pid="5" name="ICV">
    <vt:lpwstr>93E115F2FAE5425992AF5D020FC2634F_12</vt:lpwstr>
  </property>
</Properties>
</file>