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="黑体"/>
          <w:lang w:val="en-US" w:eastAsia="zh-CN"/>
        </w:rPr>
      </w:pPr>
      <w:r>
        <w:rPr>
          <w:rFonts w:eastAsia="黑体"/>
        </w:rPr>
        <w:t>股票代码：600188            股票简称：</w:t>
      </w:r>
      <w:r>
        <w:rPr>
          <w:rFonts w:hint="eastAsia" w:eastAsia="黑体"/>
        </w:rPr>
        <w:t>兖矿</w:t>
      </w:r>
      <w:r>
        <w:rPr>
          <w:rFonts w:eastAsia="黑体"/>
        </w:rPr>
        <w:t>能源</w:t>
      </w:r>
      <w:r>
        <w:rPr>
          <w:rFonts w:hint="eastAsia" w:eastAsia="黑体"/>
        </w:rPr>
        <w:t xml:space="preserve">             </w:t>
      </w:r>
      <w:r>
        <w:rPr>
          <w:rFonts w:eastAsia="黑体"/>
        </w:rPr>
        <w:t>编号：临</w:t>
      </w:r>
      <w:r>
        <w:rPr>
          <w:rFonts w:hint="eastAsia" w:ascii="黑体" w:hAnsi="黑体" w:eastAsia="黑体" w:cs="黑体"/>
        </w:rPr>
        <w:t>202</w:t>
      </w:r>
      <w:r>
        <w:rPr>
          <w:rFonts w:hint="eastAsia" w:ascii="黑体" w:hAnsi="黑体" w:eastAsia="黑体" w:cs="黑体"/>
          <w:lang w:val="en-US" w:eastAsia="zh-CN"/>
        </w:rPr>
        <w:t>5</w:t>
      </w:r>
      <w:r>
        <w:rPr>
          <w:rFonts w:hint="eastAsia" w:ascii="黑体" w:hAnsi="黑体" w:eastAsia="黑体" w:cs="黑体"/>
        </w:rPr>
        <w:t>-</w:t>
      </w:r>
      <w:r>
        <w:rPr>
          <w:rFonts w:hint="eastAsia" w:ascii="黑体" w:hAnsi="黑体" w:eastAsia="黑体" w:cs="黑体"/>
          <w:lang w:val="en-US" w:eastAsia="zh-CN"/>
        </w:rPr>
        <w:t>047</w:t>
      </w:r>
    </w:p>
    <w:p>
      <w:pPr>
        <w:rPr>
          <w:rFonts w:eastAsia="黑体"/>
        </w:rPr>
      </w:pPr>
    </w:p>
    <w:p>
      <w:pPr>
        <w:spacing w:line="50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bookmarkStart w:id="0" w:name="OLE_LINK1"/>
      <w:r>
        <w:rPr>
          <w:rFonts w:hint="eastAsia" w:ascii="黑体" w:eastAsia="黑体"/>
          <w:b/>
          <w:bCs/>
          <w:color w:val="FF0000"/>
          <w:sz w:val="36"/>
          <w:szCs w:val="36"/>
        </w:rPr>
        <w:t>兖矿能源集团股份有限公司</w:t>
      </w:r>
    </w:p>
    <w:p>
      <w:pPr>
        <w:spacing w:line="42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rFonts w:hint="eastAsia" w:ascii="黑体" w:eastAsia="黑体"/>
          <w:b/>
          <w:bCs/>
          <w:color w:val="FF0000"/>
          <w:sz w:val="36"/>
          <w:szCs w:val="36"/>
        </w:rPr>
        <w:t>境外控股子公司发布20</w:t>
      </w:r>
      <w:r>
        <w:rPr>
          <w:rFonts w:ascii="黑体" w:eastAsia="黑体"/>
          <w:b/>
          <w:bCs/>
          <w:color w:val="FF0000"/>
          <w:sz w:val="36"/>
          <w:szCs w:val="36"/>
        </w:rPr>
        <w:t>2</w:t>
      </w:r>
      <w:r>
        <w:rPr>
          <w:rFonts w:hint="eastAsia" w:ascii="黑体" w:eastAsia="黑体"/>
          <w:b/>
          <w:bCs/>
          <w:color w:val="FF0000"/>
          <w:sz w:val="36"/>
          <w:szCs w:val="36"/>
          <w:lang w:val="en-US" w:eastAsia="zh-CN"/>
        </w:rPr>
        <w:t>5</w:t>
      </w:r>
      <w:r>
        <w:rPr>
          <w:rFonts w:hint="eastAsia" w:ascii="黑体" w:eastAsia="黑体"/>
          <w:b/>
          <w:bCs/>
          <w:color w:val="FF0000"/>
          <w:sz w:val="36"/>
          <w:szCs w:val="36"/>
        </w:rPr>
        <w:t>年第二季度产量销量</w:t>
      </w:r>
      <w:bookmarkEnd w:id="0"/>
    </w:p>
    <w:p>
      <w:pPr>
        <w:spacing w:line="420" w:lineRule="exact"/>
        <w:jc w:val="center"/>
        <w:rPr>
          <w:rFonts w:eastAsia="黑体"/>
          <w:bCs/>
          <w:sz w:val="32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236855</wp:posOffset>
                </wp:positionV>
                <wp:extent cx="5372100" cy="1072515"/>
                <wp:effectExtent l="4445" t="4445" r="14605" b="889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1072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80" w:lineRule="exact"/>
                              <w:ind w:firstLine="560" w:firstLineChars="200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本公司董事会及全体董事保证本公告内容不存在任何虚假记载、误导性陈述或者重大遗漏，并对其内容的真实性、准确性和完整性承担法律责任。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0pt;margin-top:18.65pt;height:84.45pt;width:423pt;z-index:251660288;mso-width-relative:page;mso-height-relative:page;" fillcolor="#FFFFFF" filled="t" stroked="t" coordsize="21600,21600" o:gfxdata="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IjPzc3XAAAABwEAAA8AAAAAAAAAAQAgAAAAIgAA&#10;AGRycy9kb3ducmV2LnhtbFBLAQIUABQAAAAIAIdO4kCt8S5bCQIAADcEAAAOAAAAAAAAAAEAIAAA&#10;ACY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480" w:lineRule="exact"/>
                        <w:ind w:firstLine="560" w:firstLineChars="200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本公司董事会及全体董事保证本公告内容不存在任何虚假记载、误导性陈述或者重大遗漏，并对其内容的真实性、准确性和完整性承担法律责任。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560" w:firstLineChars="200"/>
        <w:rPr>
          <w:sz w:val="28"/>
        </w:rPr>
      </w:pPr>
    </w:p>
    <w:p>
      <w:pPr>
        <w:spacing w:line="500" w:lineRule="exact"/>
        <w:rPr>
          <w:sz w:val="28"/>
        </w:rPr>
      </w:pPr>
    </w:p>
    <w:p>
      <w:pPr>
        <w:spacing w:line="500" w:lineRule="exact"/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兖矿能源集团股份有限公司控股子公司兖煤澳大利亚有限公司（“兖煤澳洲公司”，澳大利亚证券交易所上市代码“YAL”、香港联合交易所有限公司上市代码“03668”）发布了20</w:t>
      </w:r>
      <w:r>
        <w:rPr>
          <w:rFonts w:ascii="宋体" w:hAnsi="宋体"/>
          <w:sz w:val="28"/>
        </w:rPr>
        <w:t>2</w:t>
      </w:r>
      <w:r>
        <w:rPr>
          <w:rFonts w:hint="eastAsia" w:ascii="宋体" w:hAnsi="宋体"/>
          <w:sz w:val="28"/>
          <w:lang w:val="en-US" w:eastAsia="zh-CN"/>
        </w:rPr>
        <w:t>5</w:t>
      </w:r>
      <w:r>
        <w:rPr>
          <w:rFonts w:hint="eastAsia" w:ascii="宋体" w:hAnsi="宋体"/>
          <w:sz w:val="28"/>
        </w:rPr>
        <w:t>年第</w:t>
      </w:r>
      <w:r>
        <w:rPr>
          <w:rFonts w:hint="eastAsia" w:ascii="宋体" w:hAnsi="宋体"/>
          <w:sz w:val="28"/>
          <w:lang w:val="en-US" w:eastAsia="zh-CN"/>
        </w:rPr>
        <w:t>二</w:t>
      </w:r>
      <w:r>
        <w:rPr>
          <w:rFonts w:hint="eastAsia" w:ascii="宋体" w:hAnsi="宋体"/>
          <w:sz w:val="28"/>
        </w:rPr>
        <w:t>季度运营数据公告，主要情况如下表：</w:t>
      </w:r>
    </w:p>
    <w:p>
      <w:pPr>
        <w:spacing w:line="500" w:lineRule="exact"/>
        <w:ind w:firstLine="6864" w:firstLineChars="3256"/>
        <w:rPr>
          <w:b/>
          <w:szCs w:val="21"/>
        </w:rPr>
      </w:pPr>
      <w:r>
        <w:rPr>
          <w:rFonts w:hint="eastAsia"/>
          <w:b/>
          <w:szCs w:val="21"/>
        </w:rPr>
        <w:t>单位：百万吨</w:t>
      </w:r>
    </w:p>
    <w:tbl>
      <w:tblPr>
        <w:tblStyle w:val="8"/>
        <w:tblW w:w="9271" w:type="dxa"/>
        <w:tblInd w:w="-37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9"/>
        <w:gridCol w:w="1134"/>
        <w:gridCol w:w="1052"/>
        <w:gridCol w:w="1017"/>
        <w:gridCol w:w="1134"/>
        <w:gridCol w:w="1134"/>
        <w:gridCol w:w="11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609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0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第二季度</w:t>
            </w:r>
          </w:p>
        </w:tc>
        <w:tc>
          <w:tcPr>
            <w:tcW w:w="345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上半年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60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20</w:t>
            </w:r>
            <w:r>
              <w:rPr>
                <w:rFonts w:ascii="宋体" w:hAnsi="宋体"/>
                <w:b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年</w:t>
            </w:r>
          </w:p>
        </w:tc>
        <w:tc>
          <w:tcPr>
            <w:tcW w:w="105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20</w:t>
            </w:r>
            <w:r>
              <w:rPr>
                <w:rFonts w:ascii="宋体" w:hAnsi="宋体"/>
                <w:b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年</w:t>
            </w:r>
          </w:p>
        </w:tc>
        <w:tc>
          <w:tcPr>
            <w:tcW w:w="101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增减幅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20</w:t>
            </w:r>
            <w:r>
              <w:rPr>
                <w:rFonts w:ascii="宋体" w:hAnsi="宋体"/>
                <w:b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年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20</w:t>
            </w:r>
            <w:r>
              <w:rPr>
                <w:rFonts w:ascii="宋体" w:hAnsi="宋体"/>
                <w:b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年</w:t>
            </w:r>
          </w:p>
        </w:tc>
        <w:tc>
          <w:tcPr>
            <w:tcW w:w="119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增减幅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60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商品煤产量</w:t>
            </w:r>
          </w:p>
          <w:p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（应占份额）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9.4</w:t>
            </w:r>
          </w:p>
        </w:tc>
        <w:tc>
          <w:tcPr>
            <w:tcW w:w="105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8.2</w:t>
            </w:r>
          </w:p>
        </w:tc>
        <w:tc>
          <w:tcPr>
            <w:tcW w:w="1017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15%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18.9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theme="minorHAnsi"/>
                <w:bCs/>
                <w:sz w:val="24"/>
                <w:szCs w:val="24"/>
                <w:lang w:val="en-US" w:eastAsia="zh-CN"/>
              </w:rPr>
              <w:t>17.0</w:t>
            </w:r>
          </w:p>
        </w:tc>
        <w:tc>
          <w:tcPr>
            <w:tcW w:w="119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11%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60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商品煤销量</w:t>
            </w:r>
          </w:p>
          <w:p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（应占份额）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8.1</w:t>
            </w:r>
          </w:p>
        </w:tc>
        <w:tc>
          <w:tcPr>
            <w:tcW w:w="105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8.6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-6%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16.6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theme="minorHAnsi"/>
                <w:bCs/>
                <w:color w:val="000000"/>
                <w:sz w:val="24"/>
                <w:szCs w:val="24"/>
                <w:lang w:val="en-US" w:eastAsia="zh-CN"/>
              </w:rPr>
              <w:t>16.9</w:t>
            </w:r>
          </w:p>
        </w:tc>
        <w:tc>
          <w:tcPr>
            <w:tcW w:w="119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-2%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6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平均实现价格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（澳元/吨）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theme="minorHAnsi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theme="minorHAnsi"/>
                <w:bCs/>
                <w:color w:val="000000"/>
                <w:sz w:val="24"/>
                <w:szCs w:val="24"/>
                <w:lang w:val="en-US" w:eastAsia="zh-CN"/>
              </w:rPr>
              <w:t>142</w:t>
            </w:r>
          </w:p>
        </w:tc>
        <w:tc>
          <w:tcPr>
            <w:tcW w:w="105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theme="minorHAnsi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theme="minorHAnsi"/>
                <w:bCs/>
                <w:color w:val="000000"/>
                <w:sz w:val="24"/>
                <w:szCs w:val="24"/>
                <w:lang w:val="en-US" w:eastAsia="zh-CN"/>
              </w:rPr>
              <w:t>181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theme="minorHAnsi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theme="minorHAnsi"/>
                <w:bCs/>
                <w:color w:val="000000"/>
                <w:sz w:val="24"/>
                <w:szCs w:val="24"/>
                <w:lang w:val="en-US" w:eastAsia="zh-CN"/>
              </w:rPr>
              <w:t>-22%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theme="minorHAnsi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theme="minorHAnsi"/>
                <w:bCs/>
                <w:color w:val="000000"/>
                <w:sz w:val="24"/>
                <w:szCs w:val="24"/>
                <w:lang w:val="en-US" w:eastAsia="zh-CN"/>
              </w:rPr>
              <w:t>149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theme="minorHAnsi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theme="minorHAnsi"/>
                <w:bCs/>
                <w:color w:val="000000"/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119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theme="minorHAnsi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theme="minorHAnsi"/>
                <w:bCs/>
                <w:color w:val="000000"/>
                <w:sz w:val="24"/>
                <w:szCs w:val="24"/>
                <w:lang w:val="en-US" w:eastAsia="zh-CN"/>
              </w:rPr>
              <w:t>-17%</w:t>
            </w:r>
          </w:p>
        </w:tc>
      </w:tr>
    </w:tbl>
    <w:p>
      <w:pPr>
        <w:spacing w:beforeLines="50" w:line="540" w:lineRule="exact"/>
        <w:ind w:firstLine="560" w:firstLineChars="200"/>
        <w:rPr>
          <w:sz w:val="28"/>
        </w:rPr>
      </w:pPr>
      <w:r>
        <w:rPr>
          <w:rFonts w:hint="eastAsia"/>
          <w:sz w:val="28"/>
        </w:rPr>
        <w:t>投资者如需了解详情，请参见兖煤澳洲公司在澳大利亚证券交易所网站（</w:t>
      </w:r>
      <w:r>
        <w:fldChar w:fldCharType="begin"/>
      </w:r>
      <w:r>
        <w:instrText xml:space="preserve"> HYPERLINK "http://www2.asx.com.au" </w:instrText>
      </w:r>
      <w:r>
        <w:fldChar w:fldCharType="separate"/>
      </w:r>
      <w:r>
        <w:rPr>
          <w:rStyle w:val="13"/>
          <w:sz w:val="28"/>
          <w:szCs w:val="28"/>
        </w:rPr>
        <w:t>http://www2.asx.com.au</w:t>
      </w:r>
      <w:r>
        <w:rPr>
          <w:rStyle w:val="13"/>
          <w:sz w:val="28"/>
          <w:szCs w:val="28"/>
        </w:rPr>
        <w:fldChar w:fldCharType="end"/>
      </w:r>
      <w:r>
        <w:rPr>
          <w:rFonts w:hint="eastAsia"/>
          <w:sz w:val="28"/>
        </w:rPr>
        <w:t>）及香港联合交易所有限公司网站（</w:t>
      </w:r>
      <w:r>
        <w:fldChar w:fldCharType="begin"/>
      </w:r>
      <w:r>
        <w:instrText xml:space="preserve"> HYPERLINK "http://www.asx.com.au/asx/statistics/announcements.do?by=asxCode&amp;asxCode=YAL&amp;timeframe=D&amp;period=W" </w:instrText>
      </w:r>
      <w:r>
        <w:fldChar w:fldCharType="separate"/>
      </w:r>
      <w:r>
        <w:rPr>
          <w:rStyle w:val="13"/>
          <w:sz w:val="28"/>
          <w:szCs w:val="28"/>
        </w:rPr>
        <w:t xml:space="preserve">http://www.hkexnews.hk </w:t>
      </w:r>
      <w:r>
        <w:rPr>
          <w:rStyle w:val="13"/>
          <w:sz w:val="28"/>
          <w:szCs w:val="28"/>
        </w:rPr>
        <w:fldChar w:fldCharType="end"/>
      </w:r>
      <w:r>
        <w:rPr>
          <w:rFonts w:hint="eastAsia"/>
          <w:sz w:val="28"/>
        </w:rPr>
        <w:t>）发布的报告全文。</w:t>
      </w:r>
      <w:bookmarkStart w:id="1" w:name="_GoBack"/>
      <w:bookmarkEnd w:id="1"/>
    </w:p>
    <w:p>
      <w:pPr>
        <w:spacing w:line="540" w:lineRule="exact"/>
        <w:ind w:firstLine="560" w:firstLineChars="200"/>
        <w:rPr>
          <w:sz w:val="28"/>
        </w:rPr>
      </w:pPr>
    </w:p>
    <w:p>
      <w:pPr>
        <w:spacing w:line="540" w:lineRule="exact"/>
        <w:ind w:firstLine="560" w:firstLineChars="200"/>
        <w:rPr>
          <w:sz w:val="28"/>
        </w:rPr>
      </w:pPr>
    </w:p>
    <w:p>
      <w:pPr>
        <w:spacing w:line="540" w:lineRule="exact"/>
        <w:ind w:firstLine="3920" w:firstLineChars="1400"/>
        <w:rPr>
          <w:sz w:val="28"/>
        </w:rPr>
      </w:pPr>
      <w:r>
        <w:rPr>
          <w:rFonts w:hint="eastAsia"/>
          <w:sz w:val="28"/>
        </w:rPr>
        <w:t>兖矿能源集团</w:t>
      </w:r>
      <w:r>
        <w:rPr>
          <w:sz w:val="28"/>
        </w:rPr>
        <w:t>股份有限公司</w:t>
      </w:r>
      <w:r>
        <w:rPr>
          <w:rFonts w:hint="eastAsia"/>
          <w:sz w:val="28"/>
        </w:rPr>
        <w:t>董事会</w:t>
      </w:r>
    </w:p>
    <w:p>
      <w:pPr>
        <w:spacing w:line="540" w:lineRule="exact"/>
        <w:ind w:firstLine="5040" w:firstLineChars="180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20</w:t>
      </w:r>
      <w:r>
        <w:rPr>
          <w:rFonts w:hint="eastAsia" w:ascii="宋体" w:hAnsi="宋体"/>
          <w:sz w:val="28"/>
          <w:lang w:val="en-US" w:eastAsia="zh-CN"/>
        </w:rPr>
        <w:t>25年</w:t>
      </w:r>
      <w:r>
        <w:rPr>
          <w:rFonts w:hint="eastAsia" w:ascii="宋体" w:hAnsi="宋体"/>
          <w:sz w:val="28"/>
        </w:rPr>
        <w:t>7月</w:t>
      </w:r>
      <w:r>
        <w:rPr>
          <w:rFonts w:hint="eastAsia" w:ascii="宋体" w:hAnsi="宋体"/>
          <w:sz w:val="28"/>
          <w:lang w:val="en-US" w:eastAsia="zh-CN"/>
        </w:rPr>
        <w:t>17</w:t>
      </w:r>
      <w:r>
        <w:rPr>
          <w:rFonts w:hint="eastAsia" w:ascii="宋体" w:hAnsi="宋体"/>
          <w:sz w:val="28"/>
        </w:rPr>
        <w:t>日</w:t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Style w:val="11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5</w:t>
    </w:r>
    <w:r>
      <w:rPr>
        <w:rStyle w:val="11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1NmM5OTU2ZmY4Y2RiYTg3ZTQ2ZGQyMTliYjRmY2MifQ=="/>
    <w:docVar w:name="KSO_WPS_MARK_KEY" w:val="98549341-04c9-4d44-823b-66f02b924d57"/>
  </w:docVars>
  <w:rsids>
    <w:rsidRoot w:val="00DD0F32"/>
    <w:rsid w:val="0000098C"/>
    <w:rsid w:val="00003FC3"/>
    <w:rsid w:val="00011DF6"/>
    <w:rsid w:val="00032852"/>
    <w:rsid w:val="0003774C"/>
    <w:rsid w:val="00041D43"/>
    <w:rsid w:val="00045A12"/>
    <w:rsid w:val="0005458C"/>
    <w:rsid w:val="00065CD8"/>
    <w:rsid w:val="00073F52"/>
    <w:rsid w:val="0008357A"/>
    <w:rsid w:val="00084027"/>
    <w:rsid w:val="0008789E"/>
    <w:rsid w:val="00090240"/>
    <w:rsid w:val="00093D27"/>
    <w:rsid w:val="000A523A"/>
    <w:rsid w:val="000C5F68"/>
    <w:rsid w:val="000D15CA"/>
    <w:rsid w:val="000D210A"/>
    <w:rsid w:val="000E02DD"/>
    <w:rsid w:val="000E1DE4"/>
    <w:rsid w:val="000F0068"/>
    <w:rsid w:val="000F3B68"/>
    <w:rsid w:val="00116880"/>
    <w:rsid w:val="00125B6B"/>
    <w:rsid w:val="001309BE"/>
    <w:rsid w:val="00133474"/>
    <w:rsid w:val="00134F75"/>
    <w:rsid w:val="00143DC6"/>
    <w:rsid w:val="00144EF7"/>
    <w:rsid w:val="00154F08"/>
    <w:rsid w:val="00160128"/>
    <w:rsid w:val="0016196C"/>
    <w:rsid w:val="00163D3E"/>
    <w:rsid w:val="0017378D"/>
    <w:rsid w:val="00181C24"/>
    <w:rsid w:val="00181E96"/>
    <w:rsid w:val="00185DA1"/>
    <w:rsid w:val="00186122"/>
    <w:rsid w:val="00192E47"/>
    <w:rsid w:val="001A15BE"/>
    <w:rsid w:val="001B694D"/>
    <w:rsid w:val="001C5C05"/>
    <w:rsid w:val="001E2176"/>
    <w:rsid w:val="001E3289"/>
    <w:rsid w:val="001E38A3"/>
    <w:rsid w:val="001E3CD7"/>
    <w:rsid w:val="001E5674"/>
    <w:rsid w:val="001E6076"/>
    <w:rsid w:val="001F0F1B"/>
    <w:rsid w:val="001F64BA"/>
    <w:rsid w:val="001F731E"/>
    <w:rsid w:val="0020058B"/>
    <w:rsid w:val="00207A2D"/>
    <w:rsid w:val="00212CB9"/>
    <w:rsid w:val="0021474B"/>
    <w:rsid w:val="00230A7B"/>
    <w:rsid w:val="0023276B"/>
    <w:rsid w:val="00265390"/>
    <w:rsid w:val="002665FB"/>
    <w:rsid w:val="00271830"/>
    <w:rsid w:val="002A1F12"/>
    <w:rsid w:val="002A3299"/>
    <w:rsid w:val="002A4703"/>
    <w:rsid w:val="002B1338"/>
    <w:rsid w:val="002B396F"/>
    <w:rsid w:val="002C3B7B"/>
    <w:rsid w:val="002C7C38"/>
    <w:rsid w:val="002D66DB"/>
    <w:rsid w:val="002E0FA8"/>
    <w:rsid w:val="002F0A46"/>
    <w:rsid w:val="002F619D"/>
    <w:rsid w:val="0030546C"/>
    <w:rsid w:val="003070E3"/>
    <w:rsid w:val="0031098F"/>
    <w:rsid w:val="00314906"/>
    <w:rsid w:val="00330E71"/>
    <w:rsid w:val="0033114F"/>
    <w:rsid w:val="00337554"/>
    <w:rsid w:val="00341DDB"/>
    <w:rsid w:val="00350EC5"/>
    <w:rsid w:val="003530E8"/>
    <w:rsid w:val="003541AC"/>
    <w:rsid w:val="0035565E"/>
    <w:rsid w:val="00363D84"/>
    <w:rsid w:val="00366180"/>
    <w:rsid w:val="0036756A"/>
    <w:rsid w:val="00367581"/>
    <w:rsid w:val="00367689"/>
    <w:rsid w:val="00373229"/>
    <w:rsid w:val="00380209"/>
    <w:rsid w:val="00382C08"/>
    <w:rsid w:val="00396775"/>
    <w:rsid w:val="003A2BF0"/>
    <w:rsid w:val="003B3E03"/>
    <w:rsid w:val="003C0591"/>
    <w:rsid w:val="003C6877"/>
    <w:rsid w:val="003D6637"/>
    <w:rsid w:val="003E4BD3"/>
    <w:rsid w:val="003F0BC5"/>
    <w:rsid w:val="003F2441"/>
    <w:rsid w:val="003F5471"/>
    <w:rsid w:val="00403BAF"/>
    <w:rsid w:val="00412316"/>
    <w:rsid w:val="004216F5"/>
    <w:rsid w:val="004219CD"/>
    <w:rsid w:val="004540B5"/>
    <w:rsid w:val="004576B9"/>
    <w:rsid w:val="004656A9"/>
    <w:rsid w:val="004714A7"/>
    <w:rsid w:val="00480E23"/>
    <w:rsid w:val="00487504"/>
    <w:rsid w:val="00490A1E"/>
    <w:rsid w:val="004947F9"/>
    <w:rsid w:val="00496147"/>
    <w:rsid w:val="00497471"/>
    <w:rsid w:val="00497DF5"/>
    <w:rsid w:val="004C3E56"/>
    <w:rsid w:val="004D1A33"/>
    <w:rsid w:val="004D1D8F"/>
    <w:rsid w:val="004D277E"/>
    <w:rsid w:val="00505898"/>
    <w:rsid w:val="005145AA"/>
    <w:rsid w:val="00520F98"/>
    <w:rsid w:val="00523918"/>
    <w:rsid w:val="00527182"/>
    <w:rsid w:val="00533DD7"/>
    <w:rsid w:val="00535E01"/>
    <w:rsid w:val="005423C4"/>
    <w:rsid w:val="00545049"/>
    <w:rsid w:val="0054683C"/>
    <w:rsid w:val="005648AE"/>
    <w:rsid w:val="00565F4D"/>
    <w:rsid w:val="00572089"/>
    <w:rsid w:val="0057760C"/>
    <w:rsid w:val="0058028A"/>
    <w:rsid w:val="005A11FC"/>
    <w:rsid w:val="005A2A01"/>
    <w:rsid w:val="005A2E91"/>
    <w:rsid w:val="005A434B"/>
    <w:rsid w:val="005A4D63"/>
    <w:rsid w:val="005B2BA3"/>
    <w:rsid w:val="005B41C7"/>
    <w:rsid w:val="005B4372"/>
    <w:rsid w:val="005B619F"/>
    <w:rsid w:val="005C0102"/>
    <w:rsid w:val="005C7CFB"/>
    <w:rsid w:val="005D405D"/>
    <w:rsid w:val="005D6BAC"/>
    <w:rsid w:val="005F6B18"/>
    <w:rsid w:val="00615104"/>
    <w:rsid w:val="00623DBC"/>
    <w:rsid w:val="00636704"/>
    <w:rsid w:val="006515D8"/>
    <w:rsid w:val="006561C0"/>
    <w:rsid w:val="00660FCF"/>
    <w:rsid w:val="00667800"/>
    <w:rsid w:val="006731B2"/>
    <w:rsid w:val="0068061E"/>
    <w:rsid w:val="00685E8E"/>
    <w:rsid w:val="006869A7"/>
    <w:rsid w:val="00686EFE"/>
    <w:rsid w:val="006A0D22"/>
    <w:rsid w:val="006A4C92"/>
    <w:rsid w:val="006C18D5"/>
    <w:rsid w:val="006C3F98"/>
    <w:rsid w:val="006C4D82"/>
    <w:rsid w:val="006D44E3"/>
    <w:rsid w:val="006D7770"/>
    <w:rsid w:val="006E6E82"/>
    <w:rsid w:val="006E6F28"/>
    <w:rsid w:val="006F1C95"/>
    <w:rsid w:val="0070163B"/>
    <w:rsid w:val="00703536"/>
    <w:rsid w:val="00710C2D"/>
    <w:rsid w:val="00731E79"/>
    <w:rsid w:val="00733D27"/>
    <w:rsid w:val="00737AB9"/>
    <w:rsid w:val="00744D3E"/>
    <w:rsid w:val="00746AE0"/>
    <w:rsid w:val="00750122"/>
    <w:rsid w:val="00754872"/>
    <w:rsid w:val="007615BE"/>
    <w:rsid w:val="00765927"/>
    <w:rsid w:val="00770BDE"/>
    <w:rsid w:val="00770C18"/>
    <w:rsid w:val="00782497"/>
    <w:rsid w:val="00787A6C"/>
    <w:rsid w:val="007938CA"/>
    <w:rsid w:val="007A3721"/>
    <w:rsid w:val="007A6EA5"/>
    <w:rsid w:val="007B17E8"/>
    <w:rsid w:val="007B1970"/>
    <w:rsid w:val="007B3DE7"/>
    <w:rsid w:val="007C0110"/>
    <w:rsid w:val="007C7EFE"/>
    <w:rsid w:val="007D7B86"/>
    <w:rsid w:val="007E6D63"/>
    <w:rsid w:val="007E7A4E"/>
    <w:rsid w:val="007F16D1"/>
    <w:rsid w:val="007F6B1C"/>
    <w:rsid w:val="00800297"/>
    <w:rsid w:val="00801498"/>
    <w:rsid w:val="00802702"/>
    <w:rsid w:val="00812B56"/>
    <w:rsid w:val="00820A4F"/>
    <w:rsid w:val="0082743F"/>
    <w:rsid w:val="0084234C"/>
    <w:rsid w:val="008465BC"/>
    <w:rsid w:val="00850FED"/>
    <w:rsid w:val="00854F55"/>
    <w:rsid w:val="00862C65"/>
    <w:rsid w:val="00863D73"/>
    <w:rsid w:val="00865B5C"/>
    <w:rsid w:val="00865CBA"/>
    <w:rsid w:val="00871634"/>
    <w:rsid w:val="008716FD"/>
    <w:rsid w:val="0087488B"/>
    <w:rsid w:val="00883D8C"/>
    <w:rsid w:val="00887349"/>
    <w:rsid w:val="0089252F"/>
    <w:rsid w:val="00892BDD"/>
    <w:rsid w:val="008A67C3"/>
    <w:rsid w:val="008B5896"/>
    <w:rsid w:val="008D21AF"/>
    <w:rsid w:val="008D6C19"/>
    <w:rsid w:val="008E00E5"/>
    <w:rsid w:val="008F4A8F"/>
    <w:rsid w:val="008F7414"/>
    <w:rsid w:val="00907F4C"/>
    <w:rsid w:val="009172FF"/>
    <w:rsid w:val="00930D47"/>
    <w:rsid w:val="009346BA"/>
    <w:rsid w:val="00935045"/>
    <w:rsid w:val="00940AF2"/>
    <w:rsid w:val="00940DA5"/>
    <w:rsid w:val="00945FCC"/>
    <w:rsid w:val="009535C4"/>
    <w:rsid w:val="00960E21"/>
    <w:rsid w:val="0096320C"/>
    <w:rsid w:val="009662E2"/>
    <w:rsid w:val="0097210C"/>
    <w:rsid w:val="00974EFA"/>
    <w:rsid w:val="009831E4"/>
    <w:rsid w:val="00985213"/>
    <w:rsid w:val="009A54E9"/>
    <w:rsid w:val="009A7876"/>
    <w:rsid w:val="009B28A6"/>
    <w:rsid w:val="009B4E63"/>
    <w:rsid w:val="009B7848"/>
    <w:rsid w:val="009D6E3D"/>
    <w:rsid w:val="009F29B2"/>
    <w:rsid w:val="00A05357"/>
    <w:rsid w:val="00A10D27"/>
    <w:rsid w:val="00A1208D"/>
    <w:rsid w:val="00A15346"/>
    <w:rsid w:val="00A23634"/>
    <w:rsid w:val="00A276C4"/>
    <w:rsid w:val="00A312E7"/>
    <w:rsid w:val="00A326D5"/>
    <w:rsid w:val="00A32C39"/>
    <w:rsid w:val="00A35746"/>
    <w:rsid w:val="00A37A2A"/>
    <w:rsid w:val="00A41097"/>
    <w:rsid w:val="00A436B3"/>
    <w:rsid w:val="00A55B77"/>
    <w:rsid w:val="00A5676D"/>
    <w:rsid w:val="00A607E1"/>
    <w:rsid w:val="00A63DB7"/>
    <w:rsid w:val="00A66B8E"/>
    <w:rsid w:val="00A93791"/>
    <w:rsid w:val="00AA32B8"/>
    <w:rsid w:val="00AA3AEA"/>
    <w:rsid w:val="00AB6A28"/>
    <w:rsid w:val="00AC4B53"/>
    <w:rsid w:val="00AD2689"/>
    <w:rsid w:val="00AD37F1"/>
    <w:rsid w:val="00AD51C1"/>
    <w:rsid w:val="00AE31C5"/>
    <w:rsid w:val="00B062F5"/>
    <w:rsid w:val="00B1048D"/>
    <w:rsid w:val="00B1086C"/>
    <w:rsid w:val="00B1298D"/>
    <w:rsid w:val="00B13BE0"/>
    <w:rsid w:val="00B16965"/>
    <w:rsid w:val="00B2510C"/>
    <w:rsid w:val="00B25A5A"/>
    <w:rsid w:val="00B45B98"/>
    <w:rsid w:val="00B523EA"/>
    <w:rsid w:val="00B52FBA"/>
    <w:rsid w:val="00B61D93"/>
    <w:rsid w:val="00B64AAD"/>
    <w:rsid w:val="00B66C8A"/>
    <w:rsid w:val="00B717F9"/>
    <w:rsid w:val="00B74F7F"/>
    <w:rsid w:val="00B7681D"/>
    <w:rsid w:val="00B76E29"/>
    <w:rsid w:val="00B823AA"/>
    <w:rsid w:val="00B841C0"/>
    <w:rsid w:val="00B86E71"/>
    <w:rsid w:val="00B9508C"/>
    <w:rsid w:val="00B95953"/>
    <w:rsid w:val="00BA09F6"/>
    <w:rsid w:val="00BA0EA1"/>
    <w:rsid w:val="00BA4A0F"/>
    <w:rsid w:val="00BB3C47"/>
    <w:rsid w:val="00BB6526"/>
    <w:rsid w:val="00BB66D9"/>
    <w:rsid w:val="00BC4123"/>
    <w:rsid w:val="00BD3E4A"/>
    <w:rsid w:val="00BD6A03"/>
    <w:rsid w:val="00BD7044"/>
    <w:rsid w:val="00BE3E5F"/>
    <w:rsid w:val="00BE5AFD"/>
    <w:rsid w:val="00BF54EB"/>
    <w:rsid w:val="00C00A0B"/>
    <w:rsid w:val="00C01940"/>
    <w:rsid w:val="00C02B1F"/>
    <w:rsid w:val="00C05612"/>
    <w:rsid w:val="00C11F92"/>
    <w:rsid w:val="00C12C98"/>
    <w:rsid w:val="00C15447"/>
    <w:rsid w:val="00C16765"/>
    <w:rsid w:val="00C1779E"/>
    <w:rsid w:val="00C23A9D"/>
    <w:rsid w:val="00C23B4C"/>
    <w:rsid w:val="00C35345"/>
    <w:rsid w:val="00C3703D"/>
    <w:rsid w:val="00C404F0"/>
    <w:rsid w:val="00C407ED"/>
    <w:rsid w:val="00C45A5F"/>
    <w:rsid w:val="00C55592"/>
    <w:rsid w:val="00C601DD"/>
    <w:rsid w:val="00C65CEC"/>
    <w:rsid w:val="00C66E97"/>
    <w:rsid w:val="00C75722"/>
    <w:rsid w:val="00CA2E52"/>
    <w:rsid w:val="00CB03B3"/>
    <w:rsid w:val="00CB2F8B"/>
    <w:rsid w:val="00CB4A5D"/>
    <w:rsid w:val="00CC0C5F"/>
    <w:rsid w:val="00CC222D"/>
    <w:rsid w:val="00CD02F6"/>
    <w:rsid w:val="00CD74DC"/>
    <w:rsid w:val="00CE45C3"/>
    <w:rsid w:val="00CE6524"/>
    <w:rsid w:val="00CF586A"/>
    <w:rsid w:val="00D03186"/>
    <w:rsid w:val="00D03700"/>
    <w:rsid w:val="00D04676"/>
    <w:rsid w:val="00D04996"/>
    <w:rsid w:val="00D233B9"/>
    <w:rsid w:val="00D332C0"/>
    <w:rsid w:val="00D335A9"/>
    <w:rsid w:val="00D3689C"/>
    <w:rsid w:val="00D36D42"/>
    <w:rsid w:val="00D41C77"/>
    <w:rsid w:val="00D44E02"/>
    <w:rsid w:val="00D51046"/>
    <w:rsid w:val="00D57CBD"/>
    <w:rsid w:val="00D633FB"/>
    <w:rsid w:val="00D634C2"/>
    <w:rsid w:val="00D66262"/>
    <w:rsid w:val="00D669F2"/>
    <w:rsid w:val="00D6745B"/>
    <w:rsid w:val="00D701C4"/>
    <w:rsid w:val="00D91BC1"/>
    <w:rsid w:val="00D94855"/>
    <w:rsid w:val="00DA20AE"/>
    <w:rsid w:val="00DA6FBA"/>
    <w:rsid w:val="00DB0202"/>
    <w:rsid w:val="00DB2004"/>
    <w:rsid w:val="00DC0821"/>
    <w:rsid w:val="00DC3B31"/>
    <w:rsid w:val="00DC6687"/>
    <w:rsid w:val="00DD0F32"/>
    <w:rsid w:val="00DD487A"/>
    <w:rsid w:val="00DD5D7D"/>
    <w:rsid w:val="00DE3959"/>
    <w:rsid w:val="00DE3E5F"/>
    <w:rsid w:val="00DE52AF"/>
    <w:rsid w:val="00DE797D"/>
    <w:rsid w:val="00DF0460"/>
    <w:rsid w:val="00DF7904"/>
    <w:rsid w:val="00E02D7D"/>
    <w:rsid w:val="00E031D4"/>
    <w:rsid w:val="00E120FF"/>
    <w:rsid w:val="00E14FD2"/>
    <w:rsid w:val="00E23F32"/>
    <w:rsid w:val="00E25E09"/>
    <w:rsid w:val="00E30E2A"/>
    <w:rsid w:val="00E3295F"/>
    <w:rsid w:val="00E3362C"/>
    <w:rsid w:val="00E4037C"/>
    <w:rsid w:val="00E4564C"/>
    <w:rsid w:val="00E55AEB"/>
    <w:rsid w:val="00E60843"/>
    <w:rsid w:val="00E60F75"/>
    <w:rsid w:val="00E623E5"/>
    <w:rsid w:val="00E63163"/>
    <w:rsid w:val="00E65F71"/>
    <w:rsid w:val="00E80615"/>
    <w:rsid w:val="00EA31D0"/>
    <w:rsid w:val="00EA43A9"/>
    <w:rsid w:val="00EB1424"/>
    <w:rsid w:val="00EB1C2E"/>
    <w:rsid w:val="00EC2250"/>
    <w:rsid w:val="00EC2EA3"/>
    <w:rsid w:val="00EC4A9C"/>
    <w:rsid w:val="00EC641A"/>
    <w:rsid w:val="00ED38A1"/>
    <w:rsid w:val="00ED7E47"/>
    <w:rsid w:val="00EE522E"/>
    <w:rsid w:val="00EE5501"/>
    <w:rsid w:val="00EF037B"/>
    <w:rsid w:val="00EF1E80"/>
    <w:rsid w:val="00F106D2"/>
    <w:rsid w:val="00F11218"/>
    <w:rsid w:val="00F13681"/>
    <w:rsid w:val="00F13E84"/>
    <w:rsid w:val="00F1576E"/>
    <w:rsid w:val="00F164A1"/>
    <w:rsid w:val="00F16E76"/>
    <w:rsid w:val="00F2304F"/>
    <w:rsid w:val="00F23EF7"/>
    <w:rsid w:val="00F314F3"/>
    <w:rsid w:val="00F31EC3"/>
    <w:rsid w:val="00F32EF4"/>
    <w:rsid w:val="00F33416"/>
    <w:rsid w:val="00F50704"/>
    <w:rsid w:val="00F55501"/>
    <w:rsid w:val="00F56758"/>
    <w:rsid w:val="00F620D2"/>
    <w:rsid w:val="00F658C5"/>
    <w:rsid w:val="00F65CF6"/>
    <w:rsid w:val="00F672D1"/>
    <w:rsid w:val="00F902C6"/>
    <w:rsid w:val="00F92473"/>
    <w:rsid w:val="00F94683"/>
    <w:rsid w:val="00F97439"/>
    <w:rsid w:val="00F9765A"/>
    <w:rsid w:val="00FA0EB2"/>
    <w:rsid w:val="00FA5D9A"/>
    <w:rsid w:val="00FB125B"/>
    <w:rsid w:val="00FB1369"/>
    <w:rsid w:val="00FB13FA"/>
    <w:rsid w:val="00FC4DC0"/>
    <w:rsid w:val="00FD159F"/>
    <w:rsid w:val="00FE2970"/>
    <w:rsid w:val="00FE48F7"/>
    <w:rsid w:val="00FF2780"/>
    <w:rsid w:val="00FF6BA8"/>
    <w:rsid w:val="00FF7CAE"/>
    <w:rsid w:val="0F5102DD"/>
    <w:rsid w:val="135E45CC"/>
    <w:rsid w:val="14BC5A16"/>
    <w:rsid w:val="1CF55E97"/>
    <w:rsid w:val="235A71CA"/>
    <w:rsid w:val="23815EE5"/>
    <w:rsid w:val="26E551B1"/>
    <w:rsid w:val="27A6450D"/>
    <w:rsid w:val="29F74E98"/>
    <w:rsid w:val="2E1A0A00"/>
    <w:rsid w:val="31BB31DD"/>
    <w:rsid w:val="368C2F70"/>
    <w:rsid w:val="36F46FEB"/>
    <w:rsid w:val="41811729"/>
    <w:rsid w:val="460141E8"/>
    <w:rsid w:val="47323B7D"/>
    <w:rsid w:val="476F7E1A"/>
    <w:rsid w:val="47FC4A5F"/>
    <w:rsid w:val="48D90DD7"/>
    <w:rsid w:val="64145B96"/>
    <w:rsid w:val="660B715E"/>
    <w:rsid w:val="66622467"/>
    <w:rsid w:val="79FB4D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qFormat/>
    <w:uiPriority w:val="0"/>
    <w:pPr>
      <w:jc w:val="left"/>
    </w:pPr>
  </w:style>
  <w:style w:type="paragraph" w:styleId="3">
    <w:name w:val="Body Text Indent"/>
    <w:basedOn w:val="1"/>
    <w:qFormat/>
    <w:uiPriority w:val="0"/>
    <w:pPr>
      <w:spacing w:line="500" w:lineRule="exact"/>
      <w:ind w:firstLine="560" w:firstLineChars="200"/>
    </w:pPr>
    <w:rPr>
      <w:sz w:val="28"/>
    </w:r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9"/>
    <w:qFormat/>
    <w:uiPriority w:val="0"/>
    <w:rPr>
      <w:b/>
      <w:bCs/>
    </w:rPr>
  </w:style>
  <w:style w:type="table" w:styleId="9">
    <w:name w:val="Table Grid"/>
    <w:basedOn w:val="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FollowedHyperlink"/>
    <w:basedOn w:val="10"/>
    <w:qFormat/>
    <w:uiPriority w:val="0"/>
    <w:rPr>
      <w:color w:val="800080"/>
      <w:u w:val="single"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styleId="14">
    <w:name w:val="annotation reference"/>
    <w:basedOn w:val="10"/>
    <w:qFormat/>
    <w:uiPriority w:val="0"/>
    <w:rPr>
      <w:sz w:val="21"/>
      <w:szCs w:val="21"/>
    </w:rPr>
  </w:style>
  <w:style w:type="paragraph" w:customStyle="1" w:styleId="15">
    <w:name w:val="默认段落字体 Para Char Char Char 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6">
    <w:name w:val="页眉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7">
    <w:name w:val="批注框文本 Char"/>
    <w:basedOn w:val="10"/>
    <w:link w:val="4"/>
    <w:qFormat/>
    <w:uiPriority w:val="0"/>
    <w:rPr>
      <w:kern w:val="2"/>
      <w:sz w:val="18"/>
      <w:szCs w:val="18"/>
    </w:rPr>
  </w:style>
  <w:style w:type="character" w:customStyle="1" w:styleId="18">
    <w:name w:val="批注文字 Char"/>
    <w:basedOn w:val="10"/>
    <w:link w:val="2"/>
    <w:qFormat/>
    <w:uiPriority w:val="0"/>
    <w:rPr>
      <w:kern w:val="2"/>
      <w:sz w:val="21"/>
      <w:szCs w:val="24"/>
    </w:rPr>
  </w:style>
  <w:style w:type="character" w:customStyle="1" w:styleId="19">
    <w:name w:val="批注主题 Char"/>
    <w:basedOn w:val="18"/>
    <w:link w:val="7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EC070B-DFC7-4BFD-A2F0-A267317861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307</Words>
  <Characters>431</Characters>
  <Lines>4</Lines>
  <Paragraphs>1</Paragraphs>
  <TotalTime>41</TotalTime>
  <ScaleCrop>false</ScaleCrop>
  <LinksUpToDate>false</LinksUpToDate>
  <CharactersWithSpaces>457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2017-10-17T08:27:00Z</dcterms:created>
  <dc:creator>yzc_panst</dc:creator>
  <cp:lastModifiedBy>YUANSU HU</cp:lastModifiedBy>
  <cp:lastPrinted>2025-07-15T09:55:00Z</cp:lastPrinted>
  <dcterms:modified xsi:type="dcterms:W3CDTF">2025-07-17T08:40:07Z</dcterms:modified>
  <dc:title>股票代码：600188             股票简称：兖州煤业             编号：临2008-0●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5B77E7CEEC58BC6AFAE8886BEB80DBEB">
    <vt:lpwstr>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</vt:lpwstr>
  </property>
  <property fmtid="{D5CDD505-2E9C-101B-9397-08002B2CF9AE}" pid="4" name="ICV">
    <vt:lpwstr>C81E5DD4B27046C0BD5C2ACD3088E80F_13</vt:lpwstr>
  </property>
</Properties>
</file>