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934</Characters>
  <Lines>6</Lines>
  <Paragraphs>1</Paragraphs>
  <TotalTime>57</TotalTime>
  <ScaleCrop>false</ScaleCrop>
  <LinksUpToDate>false</LinksUpToDate>
  <CharactersWithSpaces>935</CharactersWithSpaces>
  <Application>WPS Office_12.1.0.18276_F1E327BC-269C-435d-A152-05C5408002CA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2025-02-14T05:54:00Z</dcterms:created>
  <dc:creator>Jenson J Shen (CN - ADVS)</dc:creator>
  <cp:lastModifiedBy>杨继贤</cp:lastModifiedBy>
  <dcterms:modified xsi:type="dcterms:W3CDTF">2025-06-06T07:28:30Z</dcterms:modified>
  <cp:revision>8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5D17FE607AD342BC8A795F054434416E_12</vt:lpwstr>
  </property>
  <property fmtid="{5B77E7CE-EC58-BC6A-FAE8-886BEB80DBEB}" pid="4" name="5B77E7CEEC58BC6AFAE8886BEB80DBEB">
    <vt:lpwstr>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6001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759A4F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生物多样性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保护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制度</w:t>
      </w:r>
    </w:p>
    <w:p w14:paraId="35198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一、目的</w:t>
      </w:r>
    </w:p>
    <w:p w14:paraId="2FB4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兖矿能源集团股份有限公司（“兖矿能源”或“公司”）深刻认识到，必须采取紧急且强有力的措施，以防止自然栖息地的持续退化及生物多样性进一步丧失。我们致力于成为解决这一全球性挑战的重要力量，全力支持全球生物多样性协定，尤其是联合国可持续发展目标15，以保护和恢复生态系统并促进资源的可持续利用。兖矿能源董事会作为公司生物多样性保护工作的最高管治机构，负责监督公司生物多样性保护工作的进展，审阅公司生物多样性保护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制度。</w:t>
      </w:r>
    </w:p>
    <w:p w14:paraId="46B43D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二、承诺</w:t>
      </w:r>
    </w:p>
    <w:p w14:paraId="0517F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我们承诺：</w:t>
      </w:r>
    </w:p>
    <w:p w14:paraId="0BA64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识别并应对与自然相关的风险，包括直接且重大的财务风险、自然依赖性风险以及相关的组织和社会风险。</w:t>
      </w:r>
    </w:p>
    <w:p w14:paraId="062C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评估所有运营活动和新投资项目对生物多样性的影响。</w:t>
      </w:r>
    </w:p>
    <w:p w14:paraId="7F28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针对生物多样性价值较高地区的运营点/项目，制定生物多样性管理计划，并采用科学方法评估生物多样性价值。</w:t>
      </w:r>
    </w:p>
    <w:p w14:paraId="4141E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将生物多样性评估纳入项目全生命周期管理。</w:t>
      </w:r>
    </w:p>
    <w:p w14:paraId="1755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严格遵守包括生态保护红线在内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相关国家政策指引及合规要求，强化生态保护红线观念，严格确保公司所有活动均不会导致世界自然保护联盟（IUCN）红色名录中的濒危物种灭绝。</w:t>
      </w:r>
    </w:p>
    <w:p w14:paraId="4855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秉持 “缓解等级”原则，力争在项目结束阶段使运营区域对生物多样性产生净积极影响。具体措施包括：避免不可接受的影响，减少实际发生的影响，修复已受影响的区域，并对剩余生物多样性净损失予以补偿。</w:t>
      </w:r>
    </w:p>
    <w:p w14:paraId="14E2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建立并完善生物多样性衡量与报告框架，将其纳入现有信息披露体系并持续优化，同时确保与全球标准保持一致。</w:t>
      </w:r>
    </w:p>
    <w:p w14:paraId="5C7B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积极与利益相关方（尤其是当地社区）和学术研究机构合作，共同推进生物多样性保护项目。</w:t>
      </w:r>
    </w:p>
    <w:p w14:paraId="1ABB1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支持并推动生物多样性相关研究计划，为生态保护提供科学依据。</w:t>
      </w:r>
    </w:p>
    <w:p w14:paraId="1AEA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采取行动，最大限度地减少对自然生物及其栖息地的负面影响，并协同价值链伙伴通过推广可持续农业和林业实践，实施植树造林、湿地恢复、草场改良等措施重建生态系统的结构和功能，加强生物多样性保护教育和公众意识，促进生物多样性友好型产业的发展，最大限度地扩大正面影响，努力实现净积极影响。</w:t>
      </w:r>
    </w:p>
    <w:p w14:paraId="1182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级管理层应承担起责任带头执行。子公司应酌情制定与本政策一致的地方相关政策。此外，每位员工都必须了解、宣传并执行本政策，且应向我们的合作伙伴，供应商、承包商、客户和其他利益相关方宣传和推广本政策。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NTMyYmQ4ZjMxNmQ0YTFhODk0MDdlN2YzMjVhZjIifQ=="/>
  </w:docVars>
  <w:rsids>
    <w:rsidRoot w:val="00585BB3"/>
    <w:rsid w:val="00317FF0"/>
    <w:rsid w:val="00515C75"/>
    <w:rsid w:val="00544487"/>
    <w:rsid w:val="00585BB3"/>
    <w:rsid w:val="0063500F"/>
    <w:rsid w:val="00671347"/>
    <w:rsid w:val="006C41A7"/>
    <w:rsid w:val="00733982"/>
    <w:rsid w:val="00761833"/>
    <w:rsid w:val="00836E90"/>
    <w:rsid w:val="008436A9"/>
    <w:rsid w:val="0084719A"/>
    <w:rsid w:val="00876FED"/>
    <w:rsid w:val="009F6F0F"/>
    <w:rsid w:val="00A87F7F"/>
    <w:rsid w:val="00CE2F23"/>
    <w:rsid w:val="00D21EE9"/>
    <w:rsid w:val="00D4651B"/>
    <w:rsid w:val="00E413CA"/>
    <w:rsid w:val="00E60CCB"/>
    <w:rsid w:val="00EB7745"/>
    <w:rsid w:val="00F66E0C"/>
    <w:rsid w:val="33D57CC0"/>
    <w:rsid w:val="384E50DE"/>
    <w:rsid w:val="49621B9F"/>
    <w:rsid w:val="521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Georgia" w:hAnsi="Georgia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Georgia" w:hAnsi="Georgia" w:eastAsia="宋体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Heading 1 Char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Heading 2 Char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Heading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Heading 4 Char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6">
    <w:name w:val="Heading 5 Char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7">
    <w:name w:val="Heading 6 Char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8">
    <w:name w:val="Heading 7 Char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Heading 8 Char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Heading 9 Char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Title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Subtitle Char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Quote Char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Intense Quote Char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Header Char"/>
    <w:basedOn w:val="18"/>
    <w:link w:val="13"/>
    <w:qFormat/>
    <w:uiPriority w:val="99"/>
    <w:rPr>
      <w:sz w:val="18"/>
      <w:szCs w:val="18"/>
    </w:rPr>
  </w:style>
  <w:style w:type="character" w:customStyle="1" w:styleId="41">
    <w:name w:val="Footer Char"/>
    <w:basedOn w:val="18"/>
    <w:link w:val="12"/>
    <w:qFormat/>
    <w:uiPriority w:val="99"/>
    <w:rPr>
      <w:sz w:val="18"/>
      <w:szCs w:val="18"/>
    </w:rPr>
  </w:style>
  <w:style w:type="character" w:customStyle="1" w:styleId="42">
    <w:name w:val="Comment Text Char"/>
    <w:basedOn w:val="18"/>
    <w:link w:val="11"/>
    <w:qFormat/>
    <w:uiPriority w:val="99"/>
  </w:style>
  <w:style w:type="character" w:customStyle="1" w:styleId="43">
    <w:name w:val="Comment Subject Char"/>
    <w:basedOn w:val="42"/>
    <w:link w:val="16"/>
    <w:semiHidden/>
    <w:qFormat/>
    <w:uiPriority w:val="99"/>
    <w:rPr>
      <w:b/>
      <w:bCs/>
    </w:rPr>
  </w:style>
  <w:style w:type="character" w:customStyle="1" w:styleId="44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