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docProps\app.xml><?xml version="1.0" encoding="utf-8"?>
<Properties xmlns="http://schemas.openxmlformats.org/officeDocument/2006/extended-properties" xmlns:vt="http://schemas.openxmlformats.org/officeDocument/2006/docPropsVTypes">
  <Template>Normal.dotm</Template>
  <Pages>2</Pages>
  <Words>627</Words>
  <Characters>627</Characters>
  <Lines>4</Lines>
  <Paragraphs>1</Paragraphs>
  <TotalTime>23</TotalTime>
  <ScaleCrop>false</ScaleCrop>
  <LinksUpToDate>false</LinksUpToDate>
  <CharactersWithSpaces>628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2025-02-14T05:47:00Z</dcterms:created>
  <dc:creator>Jenson J Shen (CN - ADVS)</dc:creator>
  <cp:lastModifiedBy>杨继贤</cp:lastModifiedBy>
  <dcterms:modified xsi:type="dcterms:W3CDTF">2025-06-06T07:29:23Z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F71BA15AB07549259FD3BCE28A8346B5_12</vt:lpwstr>
  </property>
  <property fmtid="{5B77E7CE-EC58-BC6A-FAE8-886BEB80DBEB}" pid="4" name="5B77E7CEEC58BC6AFAE8886BEB80DBEB">
    <vt:lpwstr>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</vt:lpwstr>
  </property>
</Properti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6EC9">
      <w:pPr>
        <w:jc w:val="center"/>
        <w:rPr>
          <w:rFonts w:hint="eastAsia" w:ascii="方正小标宋简体" w:hAnsi="方正小标宋简体" w:eastAsia="方正小标宋简体" w:cs="方正小标宋简体"/>
          <w:b/>
          <w:bCs/>
          <w:sz w:val="44"/>
          <w:szCs w:val="44"/>
        </w:rPr>
      </w:pPr>
    </w:p>
    <w:p w14:paraId="6E42C97A">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董事会多元</w:t>
      </w:r>
      <w:bookmarkStart w:id="0" w:name="_GoBack"/>
      <w:bookmarkEnd w:id="0"/>
      <w:r>
        <w:rPr>
          <w:rFonts w:hint="eastAsia" w:ascii="方正小标宋简体" w:hAnsi="方正小标宋简体" w:eastAsia="方正小标宋简体" w:cs="方正小标宋简体"/>
          <w:b/>
          <w:bCs/>
          <w:sz w:val="44"/>
          <w:szCs w:val="44"/>
        </w:rPr>
        <w:t>化</w:t>
      </w:r>
      <w:r>
        <w:rPr>
          <w:rFonts w:hint="eastAsia" w:ascii="方正小标宋简体" w:hAnsi="方正小标宋简体" w:eastAsia="方正小标宋简体" w:cs="方正小标宋简体"/>
          <w:b/>
          <w:bCs/>
          <w:sz w:val="44"/>
          <w:szCs w:val="44"/>
          <w:lang w:val="en-US" w:eastAsia="zh-CN"/>
        </w:rPr>
        <w:t>制度</w:t>
      </w:r>
    </w:p>
    <w:p w14:paraId="6F50FE76">
      <w:pPr>
        <w:keepNext w:val="0"/>
        <w:keepLines w:val="0"/>
        <w:pageBreakBefore w:val="0"/>
        <w:widowControl w:val="0"/>
        <w:kinsoku/>
        <w:wordWrap/>
        <w:overflowPunct/>
        <w:topLinePunct w:val="0"/>
        <w:autoSpaceDE w:val="0"/>
        <w:autoSpaceDN w:val="0"/>
        <w:bidi w:val="0"/>
        <w:adjustRightInd w:val="0"/>
        <w:snapToGrid/>
        <w:spacing w:after="0" w:line="560" w:lineRule="exact"/>
        <w:ind w:firstLine="656" w:firstLineChars="200"/>
        <w:textAlignment w:val="auto"/>
        <w:rPr>
          <w:rFonts w:hint="eastAsia" w:ascii="仿宋" w:hAnsi="仿宋" w:eastAsia="仿宋" w:cs="仿宋"/>
          <w:color w:val="404040"/>
          <w:sz w:val="32"/>
          <w:szCs w:val="32"/>
        </w:rPr>
      </w:pPr>
      <w:r>
        <w:rPr>
          <w:rFonts w:hint="eastAsia" w:ascii="仿宋" w:hAnsi="仿宋" w:eastAsia="仿宋" w:cs="仿宋"/>
          <w:color w:val="060607"/>
          <w:spacing w:val="4"/>
          <w:sz w:val="32"/>
          <w:szCs w:val="32"/>
          <w:shd w:val="clear" w:color="auto" w:fill="FFFFFF"/>
        </w:rPr>
        <w:t>兖矿能源集团股份有限公司（“兖矿能源”或“ 公司”）致力于构建一个多元化的董事会，以</w:t>
      </w:r>
      <w:r>
        <w:rPr>
          <w:rFonts w:hint="eastAsia" w:ascii="仿宋" w:hAnsi="仿宋" w:eastAsia="仿宋" w:cs="仿宋"/>
          <w:color w:val="404040"/>
          <w:sz w:val="32"/>
          <w:szCs w:val="32"/>
        </w:rPr>
        <w:t>提升公司治理水平与决策质量。</w:t>
      </w:r>
      <w:r>
        <w:rPr>
          <w:rFonts w:hint="eastAsia" w:ascii="仿宋" w:hAnsi="仿宋" w:eastAsia="仿宋" w:cs="仿宋"/>
          <w:sz w:val="32"/>
          <w:szCs w:val="32"/>
        </w:rPr>
        <w:t>董事会和</w:t>
      </w:r>
      <w:r>
        <w:rPr>
          <w:rFonts w:hint="eastAsia" w:ascii="仿宋" w:hAnsi="仿宋" w:eastAsia="仿宋" w:cs="仿宋"/>
          <w:sz w:val="32"/>
          <w:szCs w:val="32"/>
          <w:lang w:val="en-US" w:eastAsia="zh-CN"/>
        </w:rPr>
        <w:t>董事会</w:t>
      </w:r>
      <w:r>
        <w:rPr>
          <w:rFonts w:hint="eastAsia" w:ascii="仿宋" w:hAnsi="仿宋" w:eastAsia="仿宋" w:cs="仿宋"/>
          <w:sz w:val="32"/>
          <w:szCs w:val="32"/>
        </w:rPr>
        <w:t>提名委员会一致认为，董事会成员应具备广泛的技能、深厚的专业知识、丰富的行业经验和多元化的观点。这种多元化的背景能为董事会提供多维度视角，从而有力地推动董事会成员之间以及董事会与管理层之间开展积极的、建设性的对话。</w:t>
      </w:r>
      <w:r>
        <w:rPr>
          <w:rFonts w:hint="eastAsia" w:ascii="仿宋" w:hAnsi="仿宋" w:eastAsia="仿宋" w:cs="仿宋"/>
          <w:color w:val="404040"/>
          <w:sz w:val="32"/>
          <w:szCs w:val="32"/>
        </w:rPr>
        <w:t>同时，多元化政策亦有助于增强董事会的独立性与监督效能，推动公司可持续发展，彰显公司对包容性文化与社会责任的高度重视。</w:t>
      </w:r>
    </w:p>
    <w:p w14:paraId="113EF333">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根据董事会批准的公司治理</w:t>
      </w:r>
      <w:r>
        <w:rPr>
          <w:rFonts w:hint="eastAsia" w:ascii="仿宋" w:hAnsi="仿宋" w:eastAsia="仿宋" w:cs="仿宋"/>
          <w:sz w:val="32"/>
          <w:szCs w:val="32"/>
          <w:lang w:val="en-US" w:eastAsia="zh-CN"/>
        </w:rPr>
        <w:t>制度</w:t>
      </w:r>
      <w:r>
        <w:rPr>
          <w:rFonts w:hint="eastAsia" w:ascii="仿宋" w:hAnsi="仿宋" w:eastAsia="仿宋" w:cs="仿宋"/>
          <w:sz w:val="32"/>
          <w:szCs w:val="32"/>
        </w:rPr>
        <w:t>，提名人选的审查和推荐综合考量了诸多标准，其中包括：</w:t>
      </w:r>
    </w:p>
    <w:p w14:paraId="3704A898">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个人素养和特质、教育背景、职业经历、取得的成就和在商界的声誉；</w:t>
      </w:r>
    </w:p>
    <w:p w14:paraId="48C4AA7B">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目前对能源行业或与公司业务相关行业的了解，以及与影响公司业务所在国内和国际领域的个人或组织的关系；</w:t>
      </w:r>
    </w:p>
    <w:p w14:paraId="3BCD13AA">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为董事会和委员会事务投入足够时间的能力和意愿；</w:t>
      </w:r>
    </w:p>
    <w:p w14:paraId="45783893">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个人的技能和个性与其他董事和潜在董事的技能和个性是否相匹配；</w:t>
      </w:r>
    </w:p>
    <w:p w14:paraId="301F34BF">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候选人在观点、背景和经验是否具有多样性；以及</w:t>
      </w:r>
    </w:p>
    <w:p w14:paraId="7BB8FDA4">
      <w:pPr>
        <w:pStyle w:val="34"/>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firstLine="363"/>
        <w:contextualSpacing w:val="0"/>
        <w:textAlignment w:val="auto"/>
        <w:rPr>
          <w:rFonts w:hint="eastAsia" w:ascii="仿宋" w:hAnsi="仿宋" w:eastAsia="仿宋" w:cs="仿宋"/>
          <w:sz w:val="32"/>
          <w:szCs w:val="32"/>
        </w:rPr>
      </w:pPr>
      <w:r>
        <w:rPr>
          <w:rFonts w:hint="eastAsia" w:ascii="仿宋" w:hAnsi="仿宋" w:eastAsia="仿宋" w:cs="仿宋"/>
          <w:sz w:val="32"/>
          <w:szCs w:val="32"/>
        </w:rPr>
        <w:t>是否符合适用法律和规则规定的独立性和其他资格</w:t>
      </w:r>
      <w:r>
        <w:rPr>
          <w:rFonts w:hint="eastAsia" w:ascii="仿宋" w:hAnsi="仿宋" w:eastAsia="仿宋" w:cs="仿宋"/>
          <w:sz w:val="32"/>
          <w:szCs w:val="32"/>
          <w:lang w:eastAsia="zh-CN"/>
        </w:rPr>
        <w:t>。</w:t>
      </w:r>
    </w:p>
    <w:p w14:paraId="02E7822E">
      <w:pPr>
        <w:keepNext w:val="0"/>
        <w:keepLines w:val="0"/>
        <w:pageBreakBefore w:val="0"/>
        <w:widowControl w:val="0"/>
        <w:kinsoku/>
        <w:wordWrap/>
        <w:overflowPunct/>
        <w:topLinePunct w:val="0"/>
        <w:autoSpaceDE w:val="0"/>
        <w:autoSpaceDN w:val="0"/>
        <w:bidi w:val="0"/>
        <w:adjustRightInd w:val="0"/>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公司承诺，</w:t>
      </w:r>
      <w:r>
        <w:rPr>
          <w:rFonts w:hint="eastAsia" w:ascii="仿宋" w:hAnsi="仿宋" w:eastAsia="仿宋" w:cs="仿宋"/>
          <w:sz w:val="32"/>
          <w:szCs w:val="32"/>
          <w:lang w:val="en-US" w:eastAsia="zh-CN"/>
        </w:rPr>
        <w:t>董事会</w:t>
      </w:r>
      <w:r>
        <w:rPr>
          <w:rFonts w:hint="eastAsia" w:ascii="仿宋" w:hAnsi="仿宋" w:eastAsia="仿宋" w:cs="仿宋"/>
          <w:sz w:val="32"/>
          <w:szCs w:val="32"/>
        </w:rPr>
        <w:t>提名委员会从多个方面考虑董事会成员多元化，包括但不限于国籍、性别、年龄、种族、民族、文化及教育背景、专业经验、技能及服务年限。在全面评估上述有关因素后，提名委员会按董事人选的优势及可为公司及董事会作出的贡献，向董事会提出最终的委任建议。本公司每年对董事会多元化政策进行审阅，以确保其持续有效，并符合监管要求及良好企业管治常规。</w:t>
      </w:r>
    </w:p>
    <w:p w14:paraId="01A0EF15">
      <w:pPr>
        <w:keepNext w:val="0"/>
        <w:keepLines w:val="0"/>
        <w:pageBreakBefore w:val="0"/>
        <w:kinsoku/>
        <w:wordWrap/>
        <w:overflowPunct/>
        <w:topLinePunct w:val="0"/>
        <w:bidi w:val="0"/>
        <w:snapToGrid/>
        <w:spacing w:line="560" w:lineRule="exact"/>
        <w:textAlignment w:val="auto"/>
        <w:rPr>
          <w:rFonts w:hint="eastAsia" w:ascii="仿宋" w:hAnsi="仿宋" w:eastAsia="仿宋" w:cs="仿宋"/>
          <w:sz w:val="32"/>
          <w:szCs w:val="32"/>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ptos Display">
    <w:altName w:val="Segoe Print"/>
    <w:panose1 w:val="020B0004020202020204"/>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ptos">
    <w:altName w:val="Segoe Print"/>
    <w:panose1 w:val="020B0004020202020204"/>
    <w:charset w:val="00"/>
    <w:family w:val="swiss"/>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D5305"/>
    <w:multiLevelType w:val="multilevel"/>
    <w:tmpl w:val="4E7D5305"/>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JhNTMyYmQ4ZjMxNmQ0YTFhODk0MDdlN2YzMjVhZjIifQ=="/>
  </w:docVars>
  <w:rsids>
    <w:rsidRoot w:val="00261F4E"/>
    <w:rsid w:val="00120B5F"/>
    <w:rsid w:val="001C7AEA"/>
    <w:rsid w:val="00210700"/>
    <w:rsid w:val="00261F4E"/>
    <w:rsid w:val="003717A1"/>
    <w:rsid w:val="003E5F74"/>
    <w:rsid w:val="004F4CA9"/>
    <w:rsid w:val="006A39FC"/>
    <w:rsid w:val="006C41A7"/>
    <w:rsid w:val="00836E90"/>
    <w:rsid w:val="008436A9"/>
    <w:rsid w:val="0084719A"/>
    <w:rsid w:val="00863571"/>
    <w:rsid w:val="008A7A88"/>
    <w:rsid w:val="00984123"/>
    <w:rsid w:val="009F6F0F"/>
    <w:rsid w:val="00A1004B"/>
    <w:rsid w:val="00A87F7F"/>
    <w:rsid w:val="00A901B5"/>
    <w:rsid w:val="00B058F8"/>
    <w:rsid w:val="00CB32BA"/>
    <w:rsid w:val="00DD146C"/>
    <w:rsid w:val="00DF057A"/>
    <w:rsid w:val="00E739D7"/>
    <w:rsid w:val="00F44D2B"/>
    <w:rsid w:val="00F47D36"/>
    <w:rsid w:val="00F63994"/>
    <w:rsid w:val="21464CDD"/>
    <w:rsid w:val="294B4004"/>
    <w:rsid w:val="3D144DB3"/>
    <w:rsid w:val="67EF3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Georgia" w:hAnsi="Georgia"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Georgia" w:hAnsi="Georgia" w:eastAsia="宋体" w:cstheme="minorBidi"/>
      <w:sz w:val="22"/>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style>
  <w:style w:type="paragraph" w:styleId="12">
    <w:name w:val="footer"/>
    <w:basedOn w:val="1"/>
    <w:link w:val="43"/>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0"/>
    <w:semiHidden/>
    <w:unhideWhenUsed/>
    <w:qFormat/>
    <w:uiPriority w:val="99"/>
    <w:rPr>
      <w:b/>
      <w:bCs/>
    </w:r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Heading 1 Char"/>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8"/>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5">
    <w:name w:val="Heading 5 Char"/>
    <w:basedOn w:val="18"/>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6">
    <w:name w:val="Heading 6 Char"/>
    <w:basedOn w:val="18"/>
    <w:link w:val="7"/>
    <w:semiHidden/>
    <w:qFormat/>
    <w:uiPriority w:val="9"/>
    <w:rPr>
      <w:rFonts w:asciiTheme="minorHAnsi" w:hAnsiTheme="minorHAnsi" w:eastAsiaTheme="minorEastAsia" w:cstheme="majorBidi"/>
      <w:b/>
      <w:bCs/>
      <w:color w:val="104862" w:themeColor="accent1" w:themeShade="BF"/>
    </w:rPr>
  </w:style>
  <w:style w:type="character" w:customStyle="1" w:styleId="27">
    <w:name w:val="Heading 7 Char"/>
    <w:basedOn w:val="18"/>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8"/>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8"/>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8"/>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8"/>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8"/>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8"/>
    <w:link w:val="36"/>
    <w:qFormat/>
    <w:uiPriority w:val="30"/>
    <w:rPr>
      <w:i/>
      <w:iCs/>
      <w:color w:val="104862" w:themeColor="accent1" w:themeShade="BF"/>
    </w:rPr>
  </w:style>
  <w:style w:type="character" w:customStyle="1" w:styleId="38">
    <w:name w:val="Intense Reference"/>
    <w:basedOn w:val="18"/>
    <w:qFormat/>
    <w:uiPriority w:val="32"/>
    <w:rPr>
      <w:b/>
      <w:bCs/>
      <w:smallCaps/>
      <w:color w:val="104862" w:themeColor="accent1" w:themeShade="BF"/>
      <w:spacing w:val="5"/>
    </w:rPr>
  </w:style>
  <w:style w:type="character" w:customStyle="1" w:styleId="39">
    <w:name w:val="Comment Text Char"/>
    <w:basedOn w:val="18"/>
    <w:link w:val="11"/>
    <w:qFormat/>
    <w:uiPriority w:val="99"/>
  </w:style>
  <w:style w:type="character" w:customStyle="1" w:styleId="40">
    <w:name w:val="Comment Subject Char"/>
    <w:basedOn w:val="39"/>
    <w:link w:val="16"/>
    <w:semiHidden/>
    <w:qFormat/>
    <w:uiPriority w:val="99"/>
    <w:rPr>
      <w:b/>
      <w:bCs/>
    </w:rPr>
  </w:style>
  <w:style w:type="character" w:customStyle="1" w:styleId="41">
    <w:name w:val="Unresolved Mention"/>
    <w:basedOn w:val="18"/>
    <w:semiHidden/>
    <w:unhideWhenUsed/>
    <w:qFormat/>
    <w:uiPriority w:val="99"/>
    <w:rPr>
      <w:color w:val="605E5C"/>
      <w:shd w:val="clear" w:color="auto" w:fill="E1DFDD"/>
    </w:rPr>
  </w:style>
  <w:style w:type="character" w:customStyle="1" w:styleId="42">
    <w:name w:val="Header Char"/>
    <w:basedOn w:val="18"/>
    <w:link w:val="13"/>
    <w:qFormat/>
    <w:uiPriority w:val="99"/>
    <w:rPr>
      <w:sz w:val="18"/>
      <w:szCs w:val="18"/>
    </w:rPr>
  </w:style>
  <w:style w:type="character" w:customStyle="1" w:styleId="43">
    <w:name w:val="Footer Char"/>
    <w:basedOn w:val="18"/>
    <w:link w:val="12"/>
    <w:qFormat/>
    <w:uiPriority w:val="99"/>
    <w:rPr>
      <w:sz w:val="18"/>
      <w:szCs w:val="18"/>
    </w:rPr>
  </w:style>
  <w:style w:type="paragraph" w:customStyle="1" w:styleId="44">
    <w:name w:val="Revision"/>
    <w:hidden/>
    <w:semiHidden/>
    <w:qFormat/>
    <w:uiPriority w:val="99"/>
    <w:pPr>
      <w:spacing w:after="0" w:line="240" w:lineRule="auto"/>
    </w:pPr>
    <w:rPr>
      <w:rFonts w:ascii="Georgia" w:hAnsi="Georgia" w:eastAsia="宋体" w:cstheme="minorBidi"/>
      <w:sz w:val="22"/>
      <w:szCs w:val="22"/>
      <w:lang w:val="en-US" w:eastAsia="zh-CN"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