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0521A">
      <w:pPr>
        <w:widowControl w:val="0"/>
        <w:spacing w:line="240" w:lineRule="auto"/>
        <w:jc w:val="center"/>
        <w:rPr>
          <w:rFonts w:hint="default" w:ascii="黑体" w:hAnsi="黑体" w:eastAsia="黑体" w:cs="Times New Roman"/>
          <w:sz w:val="21"/>
          <w:szCs w:val="21"/>
          <w:lang w:val="en-US" w:eastAsia="zh-CN"/>
        </w:rPr>
      </w:pPr>
      <w:bookmarkStart w:id="0" w:name="票面利率公告"/>
      <w:r>
        <w:rPr>
          <w:rFonts w:hint="eastAsia" w:ascii="黑体" w:hAnsi="黑体" w:eastAsia="黑体" w:cs="Times New Roman"/>
          <w:kern w:val="0"/>
          <w:sz w:val="21"/>
          <w:szCs w:val="21"/>
        </w:rPr>
        <w:t>股票</w:t>
      </w:r>
      <w:r>
        <w:rPr>
          <w:rFonts w:ascii="黑体" w:hAnsi="黑体" w:eastAsia="黑体" w:cs="Times New Roman"/>
          <w:kern w:val="0"/>
          <w:sz w:val="21"/>
          <w:szCs w:val="21"/>
        </w:rPr>
        <w:t>代码：</w:t>
      </w:r>
      <w:r>
        <w:rPr>
          <w:rFonts w:ascii="黑体" w:hAnsi="黑体" w:eastAsia="黑体" w:cs="Times New Roman"/>
          <w:sz w:val="21"/>
          <w:szCs w:val="21"/>
        </w:rPr>
        <w:t>600188</w:t>
      </w:r>
      <w:r>
        <w:rPr>
          <w:rFonts w:hint="eastAsia" w:ascii="黑体" w:hAnsi="黑体" w:eastAsia="黑体" w:cs="Times New Roman"/>
          <w:sz w:val="21"/>
          <w:szCs w:val="21"/>
          <w:lang w:val="en-US" w:eastAsia="zh-CN"/>
        </w:rPr>
        <w:t xml:space="preserve">              </w:t>
      </w:r>
      <w:r>
        <w:rPr>
          <w:rFonts w:hint="eastAsia" w:ascii="黑体" w:hAnsi="黑体" w:eastAsia="黑体" w:cs="Times New Roman"/>
          <w:kern w:val="0"/>
          <w:sz w:val="21"/>
          <w:szCs w:val="21"/>
        </w:rPr>
        <w:t>股票</w:t>
      </w:r>
      <w:r>
        <w:rPr>
          <w:rFonts w:ascii="黑体" w:hAnsi="黑体" w:eastAsia="黑体" w:cs="Times New Roman"/>
          <w:kern w:val="0"/>
          <w:sz w:val="21"/>
          <w:szCs w:val="21"/>
        </w:rPr>
        <w:t>简称：</w:t>
      </w:r>
      <w:r>
        <w:rPr>
          <w:rFonts w:hint="eastAsia" w:ascii="黑体" w:hAnsi="黑体" w:eastAsia="黑体" w:cs="Times New Roman"/>
          <w:kern w:val="0"/>
          <w:sz w:val="21"/>
          <w:szCs w:val="21"/>
          <w:lang w:val="en-US" w:eastAsia="zh-CN"/>
        </w:rPr>
        <w:t xml:space="preserve">兖矿能源            </w:t>
      </w:r>
      <w:r>
        <w:rPr>
          <w:rFonts w:ascii="黑体" w:hAnsi="黑体" w:eastAsia="黑体" w:cs="Times New Roman"/>
          <w:kern w:val="0"/>
          <w:sz w:val="21"/>
          <w:szCs w:val="21"/>
        </w:rPr>
        <w:t>编号：</w:t>
      </w:r>
      <w:r>
        <w:rPr>
          <w:rFonts w:hint="eastAsia" w:ascii="黑体" w:hAnsi="黑体" w:eastAsia="黑体" w:cs="Times New Roman"/>
          <w:kern w:val="0"/>
          <w:sz w:val="21"/>
          <w:szCs w:val="21"/>
        </w:rPr>
        <w:t>临</w:t>
      </w:r>
      <w:r>
        <w:rPr>
          <w:rFonts w:ascii="黑体" w:hAnsi="黑体" w:eastAsia="黑体" w:cs="Times New Roman"/>
          <w:sz w:val="21"/>
          <w:szCs w:val="21"/>
        </w:rPr>
        <w:t>20</w:t>
      </w:r>
      <w:r>
        <w:rPr>
          <w:rFonts w:hint="eastAsia" w:ascii="黑体" w:hAnsi="黑体" w:eastAsia="黑体" w:cs="Times New Roman"/>
          <w:sz w:val="21"/>
          <w:szCs w:val="21"/>
        </w:rPr>
        <w:t>2</w:t>
      </w:r>
      <w:r>
        <w:rPr>
          <w:rFonts w:hint="eastAsia" w:ascii="黑体" w:hAnsi="黑体" w:eastAsia="黑体" w:cs="Times New Roman"/>
          <w:sz w:val="21"/>
          <w:szCs w:val="21"/>
          <w:lang w:val="en-US" w:eastAsia="zh-CN"/>
        </w:rPr>
        <w:t>5</w:t>
      </w:r>
      <w:r>
        <w:rPr>
          <w:rFonts w:ascii="黑体" w:hAnsi="黑体" w:eastAsia="黑体" w:cs="Times New Roman"/>
          <w:sz w:val="21"/>
          <w:szCs w:val="21"/>
        </w:rPr>
        <w:t>-</w:t>
      </w:r>
      <w:r>
        <w:rPr>
          <w:rFonts w:hint="eastAsia" w:ascii="黑体" w:hAnsi="黑体" w:eastAsia="黑体" w:cs="Times New Roman"/>
          <w:sz w:val="21"/>
          <w:szCs w:val="21"/>
        </w:rPr>
        <w:t>0</w:t>
      </w:r>
      <w:r>
        <w:rPr>
          <w:rFonts w:hint="eastAsia" w:ascii="黑体" w:hAnsi="黑体" w:eastAsia="黑体" w:cs="Times New Roman"/>
          <w:sz w:val="21"/>
          <w:szCs w:val="21"/>
          <w:lang w:val="en-US" w:eastAsia="zh-CN"/>
        </w:rPr>
        <w:t>35</w:t>
      </w:r>
    </w:p>
    <w:p w14:paraId="1B1EE15B">
      <w:pPr>
        <w:widowControl w:val="0"/>
        <w:spacing w:line="240" w:lineRule="auto"/>
        <w:rPr>
          <w:rFonts w:ascii="黑体" w:hAnsi="黑体" w:eastAsia="黑体" w:cs="Times New Roman"/>
          <w:sz w:val="21"/>
          <w:szCs w:val="21"/>
        </w:rPr>
      </w:pPr>
    </w:p>
    <w:p w14:paraId="757D47D4">
      <w:pPr>
        <w:spacing w:line="500" w:lineRule="exact"/>
        <w:rPr>
          <w:rFonts w:hint="eastAsia" w:ascii="黑体" w:hAnsi="黑体" w:eastAsia="黑体" w:cs="黑体"/>
          <w:b/>
          <w:bCs/>
          <w:color w:val="FF0000"/>
          <w:kern w:val="0"/>
          <w:sz w:val="36"/>
          <w:szCs w:val="36"/>
        </w:rPr>
      </w:pPr>
      <w:r>
        <w:rPr>
          <w:rFonts w:hint="eastAsia" w:ascii="黑体" w:hAnsi="黑体" w:eastAsia="黑体" w:cs="黑体"/>
          <w:b/>
          <w:bCs/>
          <w:color w:val="FF0000"/>
          <w:kern w:val="0"/>
          <w:sz w:val="36"/>
          <w:szCs w:val="36"/>
          <w:lang w:val="en-US" w:eastAsia="zh-CN"/>
        </w:rPr>
        <w:t>兖矿能源集团股份</w:t>
      </w:r>
      <w:r>
        <w:rPr>
          <w:rFonts w:hint="eastAsia" w:ascii="黑体" w:hAnsi="黑体" w:eastAsia="黑体" w:cs="黑体"/>
          <w:b/>
          <w:bCs/>
          <w:color w:val="FF0000"/>
          <w:kern w:val="0"/>
          <w:sz w:val="36"/>
          <w:szCs w:val="36"/>
        </w:rPr>
        <w:t>有限公司</w:t>
      </w:r>
    </w:p>
    <w:p w14:paraId="2FC77CC0">
      <w:pPr>
        <w:widowControl w:val="0"/>
        <w:spacing w:line="500" w:lineRule="exact"/>
        <w:rPr>
          <w:rFonts w:hint="eastAsia" w:ascii="黑体" w:hAnsi="黑体" w:eastAsia="黑体" w:cs="黑体"/>
          <w:b/>
          <w:bCs/>
          <w:color w:val="FF0000"/>
          <w:kern w:val="0"/>
          <w:sz w:val="36"/>
          <w:szCs w:val="36"/>
        </w:rPr>
      </w:pPr>
      <w:r>
        <w:rPr>
          <w:rFonts w:hint="eastAsia" w:ascii="黑体" w:hAnsi="黑体" w:eastAsia="黑体" w:cs="黑体"/>
          <w:b/>
          <w:bCs/>
          <w:color w:val="FF0000"/>
          <w:kern w:val="0"/>
          <w:sz w:val="36"/>
          <w:szCs w:val="36"/>
        </w:rPr>
        <w:t>关于控股股东</w:t>
      </w:r>
      <w:bookmarkEnd w:id="0"/>
      <w:r>
        <w:rPr>
          <w:rFonts w:hint="eastAsia" w:ascii="黑体" w:hAnsi="黑体" w:eastAsia="黑体" w:cs="黑体"/>
          <w:b/>
          <w:bCs/>
          <w:color w:val="FF0000"/>
          <w:kern w:val="0"/>
          <w:sz w:val="36"/>
          <w:szCs w:val="36"/>
          <w:lang w:val="en-US" w:eastAsia="zh-CN"/>
        </w:rPr>
        <w:t>部分股份解除质押的</w:t>
      </w:r>
      <w:r>
        <w:rPr>
          <w:rFonts w:hint="eastAsia" w:ascii="黑体" w:hAnsi="黑体" w:eastAsia="黑体" w:cs="黑体"/>
          <w:b/>
          <w:bCs/>
          <w:color w:val="FF0000"/>
          <w:kern w:val="0"/>
          <w:sz w:val="36"/>
          <w:szCs w:val="36"/>
        </w:rPr>
        <w:t>公告</w:t>
      </w:r>
    </w:p>
    <w:p w14:paraId="40F2ABAB">
      <w:pPr>
        <w:widowControl w:val="0"/>
        <w:spacing w:before="156" w:beforeLines="50" w:after="156" w:afterLines="50"/>
        <w:ind w:firstLine="723" w:firstLineChars="200"/>
        <w:jc w:val="both"/>
        <w:rPr>
          <w:rFonts w:ascii="宋体" w:hAnsi="宋体" w:cs="Times New Roman"/>
          <w:kern w:val="0"/>
          <w:sz w:val="28"/>
          <w:szCs w:val="28"/>
        </w:rPr>
      </w:pPr>
      <w:bookmarkStart w:id="8" w:name="_GoBack"/>
      <w:bookmarkEnd w:id="8"/>
      <w:r>
        <w:rPr>
          <w:rFonts w:cs="Times New Roman"/>
          <w:b/>
          <w:color w:val="FF0000"/>
          <w:kern w:val="0"/>
          <w:sz w:val="36"/>
          <w:szCs w:val="36"/>
        </w:rPr>
        <w:pict>
          <v:shape id="文本框 2" o:spid="_x0000_s1027" o:spt="202" type="#_x0000_t202" style="position:absolute;left:0pt;margin-left:-3.15pt;margin-top:13.2pt;height:77.2pt;width:423pt;z-index:251659264;mso-width-relative:page;mso-height-relative:page;" coordsize="21600,21600">
            <v:path/>
            <v:fill focussize="0,0"/>
            <v:stroke joinstyle="miter"/>
            <v:imagedata o:title=""/>
            <o:lock v:ext="edit"/>
            <v:textbox>
              <w:txbxContent>
                <w:p w14:paraId="7D6AD93F">
                  <w:pPr>
                    <w:adjustRightInd w:val="0"/>
                    <w:snapToGrid w:val="0"/>
                    <w:spacing w:line="480" w:lineRule="exact"/>
                    <w:ind w:firstLine="560" w:firstLineChars="200"/>
                    <w:jc w:val="both"/>
                    <w:rPr>
                      <w:rFonts w:cs="Times New Roman"/>
                      <w:sz w:val="28"/>
                    </w:rPr>
                  </w:pPr>
                  <w:r>
                    <w:rPr>
                      <w:rFonts w:hint="eastAsia" w:cs="Times New Roman"/>
                      <w:sz w:val="28"/>
                    </w:rPr>
                    <w:t>本公司董事会及全体董事保证本公告内容不存在任何虚假记载、误导性陈述或者重大遗漏，并对其内容的真实性、准确性和完整性承担</w:t>
                  </w:r>
                  <w:r>
                    <w:rPr>
                      <w:rFonts w:hint="eastAsia" w:cs="Times New Roman"/>
                      <w:sz w:val="28"/>
                      <w:lang w:val="en-US" w:eastAsia="zh-CN"/>
                    </w:rPr>
                    <w:t>法律责任</w:t>
                  </w:r>
                  <w:r>
                    <w:rPr>
                      <w:rFonts w:hint="eastAsia" w:cs="Times New Roman"/>
                      <w:sz w:val="28"/>
                    </w:rPr>
                    <w:t>。</w:t>
                  </w:r>
                </w:p>
              </w:txbxContent>
            </v:textbox>
          </v:shape>
        </w:pict>
      </w:r>
    </w:p>
    <w:p w14:paraId="79346B9B">
      <w:pPr>
        <w:widowControl w:val="0"/>
        <w:spacing w:before="468" w:beforeLines="150" w:line="560" w:lineRule="exact"/>
        <w:jc w:val="both"/>
        <w:rPr>
          <w:rFonts w:hint="eastAsia" w:ascii="宋体" w:hAnsi="宋体" w:cs="Times New Roman"/>
          <w:kern w:val="0"/>
          <w:sz w:val="28"/>
          <w:szCs w:val="28"/>
        </w:rPr>
      </w:pPr>
    </w:p>
    <w:p w14:paraId="69D9B5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Times New Roman"/>
          <w:kern w:val="0"/>
          <w:sz w:val="28"/>
          <w:szCs w:val="28"/>
          <w:lang w:val="en-US" w:eastAsia="zh-CN"/>
        </w:rPr>
      </w:pPr>
    </w:p>
    <w:p w14:paraId="68CF4D50">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黑体" w:hAnsi="黑体" w:eastAsia="黑体" w:cs="黑体"/>
          <w:b/>
          <w:bCs/>
          <w:kern w:val="0"/>
          <w:sz w:val="28"/>
          <w:szCs w:val="28"/>
          <w:lang w:val="en-US" w:eastAsia="zh-CN"/>
        </w:rPr>
      </w:pPr>
      <w:r>
        <w:rPr>
          <w:rFonts w:hint="eastAsia" w:ascii="黑体" w:hAnsi="黑体" w:eastAsia="黑体" w:cs="黑体"/>
          <w:b/>
          <w:bCs/>
          <w:kern w:val="0"/>
          <w:sz w:val="28"/>
          <w:szCs w:val="28"/>
          <w:lang w:val="en-US" w:eastAsia="zh-CN"/>
        </w:rPr>
        <w:t>重要内容提示：</w:t>
      </w:r>
    </w:p>
    <w:p w14:paraId="45202A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Times New Roman"/>
          <w:kern w:val="0"/>
          <w:sz w:val="28"/>
          <w:szCs w:val="28"/>
          <w:lang w:val="en-US" w:eastAsia="zh-CN"/>
        </w:rPr>
      </w:pPr>
      <w:r>
        <w:rPr>
          <w:rFonts w:hint="eastAsia" w:ascii="宋体" w:hAnsi="宋体" w:cs="Times New Roman"/>
          <w:kern w:val="0"/>
          <w:sz w:val="28"/>
          <w:szCs w:val="28"/>
          <w:lang w:val="en-US" w:eastAsia="zh-CN"/>
        </w:rPr>
        <w:t>兖矿能源集团股份有限公司（</w:t>
      </w:r>
      <w:r>
        <w:rPr>
          <w:rFonts w:hint="eastAsia" w:ascii="宋体" w:hAnsi="宋体" w:cs="Times New Roman"/>
          <w:kern w:val="0"/>
          <w:sz w:val="28"/>
          <w:szCs w:val="28"/>
          <w:lang w:eastAsia="zh-CN"/>
        </w:rPr>
        <w:t>“</w:t>
      </w:r>
      <w:r>
        <w:rPr>
          <w:rFonts w:hint="eastAsia" w:ascii="宋体" w:hAnsi="宋体" w:cs="Times New Roman"/>
          <w:kern w:val="0"/>
          <w:sz w:val="28"/>
          <w:szCs w:val="28"/>
          <w:lang w:val="en-US" w:eastAsia="zh-CN"/>
        </w:rPr>
        <w:t>兖矿能源</w:t>
      </w:r>
      <w:r>
        <w:rPr>
          <w:rFonts w:hint="eastAsia" w:ascii="宋体" w:hAnsi="宋体" w:cs="Times New Roman"/>
          <w:kern w:val="0"/>
          <w:sz w:val="28"/>
          <w:szCs w:val="28"/>
          <w:lang w:eastAsia="zh-CN"/>
        </w:rPr>
        <w:t>”“</w:t>
      </w:r>
      <w:r>
        <w:rPr>
          <w:rFonts w:hint="eastAsia" w:ascii="宋体" w:hAnsi="宋体" w:cs="Times New Roman"/>
          <w:kern w:val="0"/>
          <w:sz w:val="28"/>
          <w:szCs w:val="28"/>
          <w:lang w:val="en-US" w:eastAsia="zh-CN"/>
        </w:rPr>
        <w:t>公司</w:t>
      </w:r>
      <w:r>
        <w:rPr>
          <w:rFonts w:hint="eastAsia" w:ascii="宋体" w:hAnsi="宋体" w:cs="Times New Roman"/>
          <w:kern w:val="0"/>
          <w:sz w:val="28"/>
          <w:szCs w:val="28"/>
          <w:lang w:eastAsia="zh-CN"/>
        </w:rPr>
        <w:t>”</w:t>
      </w:r>
      <w:r>
        <w:rPr>
          <w:rFonts w:hint="eastAsia" w:ascii="宋体" w:hAnsi="宋体" w:cs="Times New Roman"/>
          <w:kern w:val="0"/>
          <w:sz w:val="28"/>
          <w:szCs w:val="28"/>
          <w:lang w:val="en-US" w:eastAsia="zh-CN"/>
        </w:rPr>
        <w:t>）控股股东山东能源集团有限公司（“山东能源”）直接和间接持有公司</w:t>
      </w:r>
      <w:bookmarkStart w:id="1" w:name="OLE_LINK3"/>
      <w:r>
        <w:rPr>
          <w:rFonts w:hint="eastAsia" w:ascii="宋体" w:hAnsi="宋体" w:cs="Times New Roman"/>
          <w:kern w:val="0"/>
          <w:sz w:val="28"/>
          <w:szCs w:val="28"/>
          <w:lang w:val="en-US" w:eastAsia="zh-CN"/>
        </w:rPr>
        <w:t>A股</w:t>
      </w:r>
      <w:bookmarkEnd w:id="1"/>
      <w:r>
        <w:rPr>
          <w:rFonts w:hint="eastAsia" w:ascii="宋体" w:hAnsi="宋体" w:cs="Times New Roman"/>
          <w:kern w:val="0"/>
          <w:sz w:val="28"/>
          <w:szCs w:val="28"/>
          <w:lang w:val="en-US" w:eastAsia="zh-CN"/>
        </w:rPr>
        <w:t>、H股</w:t>
      </w:r>
      <w:bookmarkStart w:id="2" w:name="OLE_LINK5"/>
      <w:r>
        <w:rPr>
          <w:rFonts w:hint="eastAsia" w:ascii="宋体" w:hAnsi="宋体" w:cs="Times New Roman"/>
          <w:kern w:val="0"/>
          <w:sz w:val="28"/>
          <w:szCs w:val="28"/>
          <w:lang w:val="en-US" w:eastAsia="zh-CN"/>
        </w:rPr>
        <w:t>股份</w:t>
      </w:r>
      <w:bookmarkEnd w:id="2"/>
      <w:r>
        <w:rPr>
          <w:rFonts w:hint="eastAsia" w:ascii="宋体" w:hAnsi="宋体" w:cs="Times New Roman"/>
          <w:kern w:val="0"/>
          <w:sz w:val="28"/>
          <w:szCs w:val="28"/>
          <w:lang w:val="en-US" w:eastAsia="zh-CN"/>
        </w:rPr>
        <w:t>共计5,303,899,421股，占公司总股本的52.84%。山东能源本次解除质押209,803,279股</w:t>
      </w:r>
      <w:bookmarkStart w:id="3" w:name="OLE_LINK6"/>
      <w:r>
        <w:rPr>
          <w:rFonts w:hint="eastAsia" w:ascii="宋体" w:hAnsi="宋体" w:cs="Times New Roman"/>
          <w:kern w:val="0"/>
          <w:sz w:val="28"/>
          <w:szCs w:val="28"/>
          <w:lang w:val="en-US" w:eastAsia="zh-CN"/>
        </w:rPr>
        <w:t>A股股份</w:t>
      </w:r>
      <w:bookmarkEnd w:id="3"/>
      <w:r>
        <w:rPr>
          <w:rFonts w:hint="eastAsia" w:ascii="宋体" w:hAnsi="宋体" w:cs="Times New Roman"/>
          <w:kern w:val="0"/>
          <w:sz w:val="28"/>
          <w:szCs w:val="28"/>
          <w:lang w:val="en-US" w:eastAsia="zh-CN"/>
        </w:rPr>
        <w:t>，占公司总股本的2.09%。本次解除质押后，山东能源不存在质押公司A股股份情况，剩余质押公司H股股份282,697,893股，</w:t>
      </w:r>
      <w:bookmarkStart w:id="4" w:name="OLE_LINK4"/>
      <w:r>
        <w:rPr>
          <w:rFonts w:hint="eastAsia" w:ascii="宋体" w:hAnsi="宋体" w:cs="Times New Roman"/>
          <w:kern w:val="0"/>
          <w:sz w:val="28"/>
          <w:szCs w:val="28"/>
          <w:lang w:val="en-US" w:eastAsia="zh-CN"/>
        </w:rPr>
        <w:t>占公司总股本的2.82%</w:t>
      </w:r>
      <w:bookmarkEnd w:id="4"/>
      <w:r>
        <w:rPr>
          <w:rFonts w:hint="eastAsia" w:ascii="宋体" w:hAnsi="宋体" w:cs="Times New Roman"/>
          <w:kern w:val="0"/>
          <w:sz w:val="28"/>
          <w:szCs w:val="28"/>
          <w:lang w:val="en-US" w:eastAsia="zh-CN"/>
        </w:rPr>
        <w:t>。</w:t>
      </w:r>
    </w:p>
    <w:p w14:paraId="512F4EEA">
      <w:pPr>
        <w:adjustRightInd w:val="0"/>
        <w:spacing w:line="500" w:lineRule="exact"/>
        <w:ind w:firstLine="480" w:firstLineChars="200"/>
        <w:jc w:val="both"/>
        <w:rPr>
          <w:rFonts w:hint="eastAsia" w:cs="Times New Roman"/>
          <w:kern w:val="2"/>
          <w:sz w:val="24"/>
          <w:szCs w:val="24"/>
        </w:rPr>
      </w:pPr>
    </w:p>
    <w:p w14:paraId="1DE4E9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Times New Roman"/>
          <w:kern w:val="0"/>
          <w:sz w:val="28"/>
          <w:szCs w:val="28"/>
          <w:lang w:val="en-US" w:eastAsia="zh-CN"/>
        </w:rPr>
      </w:pPr>
      <w:r>
        <w:rPr>
          <w:rFonts w:hint="eastAsia" w:ascii="宋体" w:hAnsi="宋体" w:cs="Times New Roman"/>
          <w:kern w:val="0"/>
          <w:sz w:val="28"/>
          <w:szCs w:val="28"/>
          <w:lang w:val="en-US" w:eastAsia="zh-CN"/>
        </w:rPr>
        <w:t>2022年4月11日，山东能源质押了部分</w:t>
      </w:r>
      <w:bookmarkStart w:id="5" w:name="OLE_LINK7"/>
      <w:r>
        <w:rPr>
          <w:rFonts w:hint="eastAsia" w:ascii="宋体" w:hAnsi="宋体" w:cs="Times New Roman"/>
          <w:kern w:val="0"/>
          <w:sz w:val="28"/>
          <w:szCs w:val="28"/>
          <w:lang w:val="en-US" w:eastAsia="zh-CN"/>
        </w:rPr>
        <w:t>公司A股股份</w:t>
      </w:r>
      <w:bookmarkEnd w:id="5"/>
      <w:r>
        <w:rPr>
          <w:rFonts w:hint="eastAsia" w:ascii="宋体" w:hAnsi="宋体" w:cs="Times New Roman"/>
          <w:kern w:val="0"/>
          <w:sz w:val="28"/>
          <w:szCs w:val="28"/>
          <w:lang w:val="en-US" w:eastAsia="zh-CN"/>
        </w:rPr>
        <w:t>，为其可交换公司债券换股和本息偿付提供担保。鉴于山东能源已于2025年4月21日完成上述可交换公司债券的本息兑付及摘牌工作，山东能源于近日向中国证券登记结算有限责任公司上海分公司申请办理解除质押手续，将209,803,279股公司A股股份解除质押并划转至山东能源自有证券账户。</w:t>
      </w:r>
    </w:p>
    <w:p w14:paraId="31CF213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宋体" w:hAnsi="宋体" w:eastAsia="宋体" w:cs="Times New Roman"/>
          <w:kern w:val="0"/>
          <w:sz w:val="28"/>
          <w:szCs w:val="28"/>
          <w:lang w:val="en-US" w:eastAsia="zh-CN"/>
        </w:rPr>
      </w:pPr>
      <w:r>
        <w:rPr>
          <w:rFonts w:hint="eastAsia" w:ascii="宋体" w:hAnsi="宋体" w:cs="宋体"/>
          <w:color w:val="000000"/>
          <w:kern w:val="0"/>
          <w:sz w:val="28"/>
          <w:szCs w:val="28"/>
          <w:lang w:bidi="ar"/>
        </w:rPr>
        <w:t>2</w:t>
      </w:r>
      <w:r>
        <w:rPr>
          <w:rFonts w:ascii="宋体" w:hAnsi="宋体" w:cs="宋体"/>
          <w:color w:val="000000"/>
          <w:kern w:val="0"/>
          <w:sz w:val="28"/>
          <w:szCs w:val="28"/>
          <w:lang w:bidi="ar"/>
        </w:rPr>
        <w:t>024</w:t>
      </w:r>
      <w:r>
        <w:rPr>
          <w:rFonts w:hint="eastAsia" w:ascii="宋体" w:hAnsi="宋体" w:cs="宋体"/>
          <w:color w:val="000000"/>
          <w:kern w:val="0"/>
          <w:sz w:val="28"/>
          <w:szCs w:val="28"/>
          <w:lang w:bidi="ar"/>
        </w:rPr>
        <w:t>年9月2</w:t>
      </w:r>
      <w:r>
        <w:rPr>
          <w:rFonts w:ascii="宋体" w:hAnsi="宋体" w:cs="宋体"/>
          <w:color w:val="000000"/>
          <w:kern w:val="0"/>
          <w:sz w:val="28"/>
          <w:szCs w:val="28"/>
          <w:lang w:bidi="ar"/>
        </w:rPr>
        <w:t>4</w:t>
      </w:r>
      <w:r>
        <w:rPr>
          <w:rFonts w:hint="eastAsia" w:ascii="宋体" w:hAnsi="宋体" w:cs="宋体"/>
          <w:color w:val="000000"/>
          <w:kern w:val="0"/>
          <w:sz w:val="28"/>
          <w:szCs w:val="28"/>
          <w:lang w:bidi="ar"/>
        </w:rPr>
        <w:t>日，山东能源</w:t>
      </w:r>
      <w:r>
        <w:rPr>
          <w:rFonts w:hint="eastAsia" w:ascii="宋体" w:hAnsi="宋体" w:cs="宋体"/>
          <w:color w:val="000000"/>
          <w:kern w:val="0"/>
          <w:sz w:val="28"/>
          <w:szCs w:val="28"/>
          <w:lang w:val="en-US" w:eastAsia="zh-CN" w:bidi="ar"/>
        </w:rPr>
        <w:t>通过</w:t>
      </w:r>
      <w:r>
        <w:rPr>
          <w:rFonts w:hint="eastAsia" w:ascii="宋体" w:hAnsi="宋体" w:cs="宋体"/>
          <w:color w:val="000000"/>
          <w:kern w:val="0"/>
          <w:sz w:val="28"/>
          <w:szCs w:val="28"/>
          <w:lang w:bidi="ar"/>
        </w:rPr>
        <w:t>全资子公司兖矿集团（香港）有限公司</w:t>
      </w:r>
      <w:r>
        <w:rPr>
          <w:rFonts w:hint="eastAsia" w:ascii="宋体" w:hAnsi="宋体" w:cs="宋体"/>
          <w:color w:val="000000"/>
          <w:kern w:val="0"/>
          <w:sz w:val="28"/>
          <w:szCs w:val="28"/>
          <w:lang w:val="en-US" w:eastAsia="zh-CN" w:bidi="ar"/>
        </w:rPr>
        <w:t>质押了</w:t>
      </w:r>
      <w:r>
        <w:rPr>
          <w:rFonts w:hint="eastAsia" w:ascii="宋体" w:hAnsi="宋体" w:cs="宋体"/>
          <w:color w:val="000000"/>
          <w:kern w:val="0"/>
          <w:sz w:val="28"/>
          <w:szCs w:val="28"/>
          <w:lang w:bidi="ar"/>
        </w:rPr>
        <w:t>公司</w:t>
      </w:r>
      <w:r>
        <w:rPr>
          <w:rFonts w:ascii="宋体" w:hAnsi="宋体" w:cs="宋体"/>
          <w:color w:val="000000"/>
          <w:kern w:val="0"/>
          <w:sz w:val="28"/>
          <w:szCs w:val="28"/>
          <w:lang w:bidi="ar"/>
        </w:rPr>
        <w:t>282,697,893</w:t>
      </w:r>
      <w:r>
        <w:rPr>
          <w:rFonts w:hint="eastAsia" w:ascii="宋体" w:hAnsi="宋体" w:cs="宋体"/>
          <w:color w:val="000000"/>
          <w:kern w:val="0"/>
          <w:sz w:val="28"/>
          <w:szCs w:val="28"/>
          <w:lang w:bidi="ar"/>
        </w:rPr>
        <w:t>股</w:t>
      </w:r>
      <w:bookmarkStart w:id="6" w:name="OLE_LINK8"/>
      <w:r>
        <w:rPr>
          <w:rFonts w:hint="eastAsia" w:ascii="宋体" w:hAnsi="宋体" w:cs="宋体"/>
          <w:color w:val="000000"/>
          <w:kern w:val="0"/>
          <w:sz w:val="28"/>
          <w:szCs w:val="28"/>
          <w:lang w:bidi="ar"/>
        </w:rPr>
        <w:t>H股股票</w:t>
      </w:r>
      <w:bookmarkEnd w:id="6"/>
      <w:r>
        <w:rPr>
          <w:rFonts w:hint="eastAsia" w:ascii="宋体" w:hAnsi="宋体" w:cs="宋体"/>
          <w:color w:val="000000"/>
          <w:kern w:val="0"/>
          <w:sz w:val="28"/>
          <w:szCs w:val="28"/>
          <w:lang w:bidi="ar"/>
        </w:rPr>
        <w:t>，</w:t>
      </w:r>
      <w:r>
        <w:rPr>
          <w:rFonts w:hint="eastAsia" w:ascii="宋体" w:hAnsi="宋体" w:cs="宋体"/>
          <w:color w:val="000000"/>
          <w:kern w:val="0"/>
          <w:sz w:val="28"/>
          <w:szCs w:val="28"/>
          <w:lang w:val="en-US" w:eastAsia="zh-CN" w:bidi="ar"/>
        </w:rPr>
        <w:t>为其</w:t>
      </w:r>
      <w:r>
        <w:rPr>
          <w:rFonts w:hint="eastAsia" w:ascii="宋体" w:hAnsi="宋体" w:cs="宋体"/>
          <w:color w:val="000000"/>
          <w:kern w:val="0"/>
          <w:sz w:val="28"/>
          <w:szCs w:val="28"/>
          <w:lang w:bidi="ar"/>
        </w:rPr>
        <w:t>全资子公司兖矿集团（开曼）有限公司</w:t>
      </w:r>
      <w:r>
        <w:rPr>
          <w:rFonts w:hint="eastAsia" w:ascii="宋体" w:hAnsi="宋体" w:cs="宋体"/>
          <w:color w:val="000000"/>
          <w:kern w:val="0"/>
          <w:sz w:val="28"/>
          <w:szCs w:val="28"/>
          <w:lang w:val="en-US" w:eastAsia="zh-CN" w:bidi="ar"/>
        </w:rPr>
        <w:t>在</w:t>
      </w:r>
      <w:r>
        <w:rPr>
          <w:rFonts w:hint="eastAsia" w:ascii="宋体" w:hAnsi="宋体" w:cs="宋体"/>
          <w:color w:val="000000"/>
          <w:kern w:val="0"/>
          <w:sz w:val="28"/>
          <w:szCs w:val="28"/>
          <w:lang w:bidi="ar"/>
        </w:rPr>
        <w:t>香港联合交易所</w:t>
      </w:r>
      <w:r>
        <w:rPr>
          <w:rFonts w:hint="eastAsia" w:ascii="宋体" w:hAnsi="宋体" w:cs="宋体"/>
          <w:color w:val="000000"/>
          <w:kern w:val="0"/>
          <w:sz w:val="28"/>
          <w:szCs w:val="28"/>
          <w:lang w:val="en-US" w:eastAsia="zh-CN" w:bidi="ar"/>
        </w:rPr>
        <w:t>有限公司</w:t>
      </w:r>
      <w:r>
        <w:rPr>
          <w:rFonts w:hint="eastAsia" w:ascii="宋体" w:hAnsi="宋体" w:cs="宋体"/>
          <w:color w:val="000000"/>
          <w:kern w:val="0"/>
          <w:sz w:val="28"/>
          <w:szCs w:val="28"/>
          <w:lang w:bidi="ar"/>
        </w:rPr>
        <w:t>发行</w:t>
      </w:r>
      <w:r>
        <w:rPr>
          <w:rFonts w:hint="eastAsia" w:ascii="宋体" w:hAnsi="宋体" w:cs="宋体"/>
          <w:color w:val="000000"/>
          <w:kern w:val="0"/>
          <w:sz w:val="28"/>
          <w:szCs w:val="28"/>
          <w:lang w:val="en-US" w:eastAsia="zh-CN" w:bidi="ar"/>
        </w:rPr>
        <w:t>的</w:t>
      </w:r>
      <w:r>
        <w:rPr>
          <w:rFonts w:hint="eastAsia" w:ascii="宋体" w:hAnsi="宋体" w:cs="宋体"/>
          <w:color w:val="000000"/>
          <w:kern w:val="0"/>
          <w:sz w:val="28"/>
          <w:szCs w:val="28"/>
          <w:lang w:bidi="ar"/>
        </w:rPr>
        <w:t>可交换公司债券</w:t>
      </w:r>
      <w:r>
        <w:rPr>
          <w:rFonts w:hint="eastAsia" w:ascii="宋体" w:hAnsi="宋体" w:cs="宋体"/>
          <w:color w:val="000000"/>
          <w:kern w:val="0"/>
          <w:sz w:val="28"/>
          <w:szCs w:val="28"/>
          <w:lang w:val="en-US" w:eastAsia="zh-CN" w:bidi="ar"/>
        </w:rPr>
        <w:t>提供担保</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val="en-US" w:eastAsia="zh-CN" w:bidi="ar"/>
        </w:rPr>
        <w:t>截至本公告披露日，上述</w:t>
      </w:r>
      <w:r>
        <w:rPr>
          <w:rFonts w:hint="eastAsia" w:ascii="宋体" w:hAnsi="宋体" w:cs="宋体"/>
          <w:color w:val="000000"/>
          <w:kern w:val="0"/>
          <w:sz w:val="28"/>
          <w:szCs w:val="28"/>
          <w:lang w:bidi="ar"/>
        </w:rPr>
        <w:t>H股股票</w:t>
      </w:r>
      <w:r>
        <w:rPr>
          <w:rFonts w:hint="eastAsia" w:ascii="宋体" w:hAnsi="宋体" w:cs="宋体"/>
          <w:color w:val="000000"/>
          <w:kern w:val="0"/>
          <w:sz w:val="28"/>
          <w:szCs w:val="28"/>
          <w:lang w:val="en-US" w:eastAsia="zh-CN" w:bidi="ar"/>
        </w:rPr>
        <w:t>仍处于质押状态。</w:t>
      </w:r>
    </w:p>
    <w:p w14:paraId="2DC6CD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宋体" w:hAnsi="宋体" w:eastAsia="宋体" w:cs="Times New Roman"/>
          <w:kern w:val="0"/>
          <w:sz w:val="28"/>
          <w:szCs w:val="28"/>
          <w:lang w:val="en-US" w:eastAsia="zh-CN"/>
        </w:rPr>
      </w:pPr>
      <w:r>
        <w:rPr>
          <w:rFonts w:hint="eastAsia" w:ascii="宋体" w:hAnsi="宋体" w:cs="Times New Roman"/>
          <w:kern w:val="0"/>
          <w:sz w:val="28"/>
          <w:szCs w:val="28"/>
        </w:rPr>
        <w:t>公司于2025年5月9日</w:t>
      </w:r>
      <w:r>
        <w:rPr>
          <w:rFonts w:hint="eastAsia" w:ascii="宋体" w:hAnsi="宋体" w:cs="Times New Roman"/>
          <w:kern w:val="0"/>
          <w:sz w:val="28"/>
          <w:szCs w:val="28"/>
          <w:lang w:val="en-US" w:eastAsia="zh-CN"/>
        </w:rPr>
        <w:t>接到</w:t>
      </w:r>
      <w:r>
        <w:rPr>
          <w:rFonts w:hint="eastAsia" w:ascii="宋体" w:hAnsi="宋体" w:cs="Times New Roman"/>
          <w:kern w:val="0"/>
          <w:sz w:val="28"/>
          <w:szCs w:val="28"/>
        </w:rPr>
        <w:t>山东能源通知，</w:t>
      </w:r>
      <w:r>
        <w:rPr>
          <w:rFonts w:hint="eastAsia" w:ascii="宋体" w:hAnsi="宋体" w:cs="Times New Roman"/>
          <w:kern w:val="0"/>
          <w:sz w:val="28"/>
          <w:szCs w:val="28"/>
          <w:lang w:val="en-US" w:eastAsia="zh-CN"/>
        </w:rPr>
        <w:t>获悉其将通过</w:t>
      </w:r>
      <w:r>
        <w:rPr>
          <w:rFonts w:hint="eastAsia" w:ascii="宋体" w:hAnsi="宋体" w:cs="Times New Roman"/>
          <w:kern w:val="0"/>
          <w:sz w:val="28"/>
          <w:szCs w:val="28"/>
        </w:rPr>
        <w:t>质押专户持有的公司</w:t>
      </w:r>
      <w:r>
        <w:rPr>
          <w:rFonts w:hint="eastAsia" w:ascii="宋体" w:hAnsi="宋体" w:cs="Times New Roman"/>
          <w:kern w:val="0"/>
          <w:sz w:val="28"/>
          <w:szCs w:val="28"/>
          <w:lang w:val="en-US" w:eastAsia="zh-CN"/>
        </w:rPr>
        <w:t>209,803,279</w:t>
      </w:r>
      <w:r>
        <w:rPr>
          <w:rFonts w:hint="eastAsia" w:ascii="宋体" w:hAnsi="宋体" w:cs="Times New Roman"/>
          <w:kern w:val="0"/>
          <w:sz w:val="28"/>
          <w:szCs w:val="28"/>
        </w:rPr>
        <w:t>股</w:t>
      </w:r>
      <w:r>
        <w:rPr>
          <w:rFonts w:hint="eastAsia" w:ascii="宋体" w:hAnsi="宋体" w:cs="Times New Roman"/>
          <w:kern w:val="0"/>
          <w:sz w:val="28"/>
          <w:szCs w:val="28"/>
          <w:lang w:val="en-US" w:eastAsia="zh-CN"/>
        </w:rPr>
        <w:t>A股</w:t>
      </w:r>
      <w:r>
        <w:rPr>
          <w:rFonts w:hint="eastAsia" w:ascii="宋体" w:hAnsi="宋体" w:cs="Times New Roman"/>
          <w:kern w:val="0"/>
          <w:sz w:val="28"/>
          <w:szCs w:val="28"/>
        </w:rPr>
        <w:t>股份解除质押。</w:t>
      </w:r>
      <w:r>
        <w:rPr>
          <w:rFonts w:hint="eastAsia" w:ascii="宋体" w:hAnsi="宋体" w:cs="Times New Roman"/>
          <w:kern w:val="0"/>
          <w:sz w:val="28"/>
          <w:szCs w:val="28"/>
          <w:lang w:val="en-US" w:eastAsia="zh-CN"/>
        </w:rPr>
        <w:t>具体情况如下：</w:t>
      </w:r>
    </w:p>
    <w:p w14:paraId="3A1EE89D">
      <w:pPr>
        <w:widowControl w:val="0"/>
        <w:spacing w:before="156" w:beforeLines="50" w:after="156" w:afterLines="50"/>
        <w:ind w:firstLine="480" w:firstLineChars="200"/>
        <w:jc w:val="right"/>
        <w:rPr>
          <w:rFonts w:cs="Times New Roman"/>
          <w:kern w:val="0"/>
          <w:sz w:val="24"/>
          <w:szCs w:val="24"/>
        </w:rPr>
      </w:pPr>
      <w:r>
        <w:rPr>
          <w:rFonts w:hint="eastAsia" w:cs="Times New Roman"/>
          <w:kern w:val="0"/>
          <w:sz w:val="24"/>
          <w:szCs w:val="24"/>
        </w:rPr>
        <w:t>单位：股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9"/>
        <w:gridCol w:w="4125"/>
      </w:tblGrid>
      <w:tr w14:paraId="5D9F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vAlign w:val="center"/>
          </w:tcPr>
          <w:p w14:paraId="623C0F46">
            <w:pPr>
              <w:widowControl w:val="0"/>
              <w:spacing w:before="156" w:beforeLines="50" w:after="156" w:afterLines="50" w:line="240" w:lineRule="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股东名称</w:t>
            </w:r>
          </w:p>
        </w:tc>
        <w:tc>
          <w:tcPr>
            <w:tcW w:w="4125" w:type="dxa"/>
            <w:vAlign w:val="center"/>
          </w:tcPr>
          <w:p w14:paraId="43CC3E38">
            <w:pPr>
              <w:widowControl w:val="0"/>
              <w:spacing w:before="156" w:beforeLines="50" w:after="156" w:afterLines="50" w:line="240" w:lineRule="auto"/>
              <w:jc w:val="right"/>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山东能源集团有限公司</w:t>
            </w:r>
          </w:p>
        </w:tc>
      </w:tr>
      <w:tr w14:paraId="332A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vAlign w:val="center"/>
          </w:tcPr>
          <w:p w14:paraId="69F6E9EB">
            <w:pPr>
              <w:widowControl w:val="0"/>
              <w:spacing w:before="156" w:beforeLines="50" w:after="156" w:afterLines="50" w:line="240" w:lineRule="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持股数量</w:t>
            </w:r>
          </w:p>
        </w:tc>
        <w:tc>
          <w:tcPr>
            <w:tcW w:w="4125" w:type="dxa"/>
            <w:vAlign w:val="center"/>
          </w:tcPr>
          <w:p w14:paraId="3AF73721">
            <w:pPr>
              <w:widowControl w:val="0"/>
              <w:spacing w:before="156" w:beforeLines="50" w:after="156" w:afterLines="50" w:line="240" w:lineRule="auto"/>
              <w:jc w:val="right"/>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5,303,899,421</w:t>
            </w:r>
          </w:p>
        </w:tc>
      </w:tr>
      <w:tr w14:paraId="3F0A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vAlign w:val="center"/>
          </w:tcPr>
          <w:p w14:paraId="41F04705">
            <w:pPr>
              <w:widowControl w:val="0"/>
              <w:spacing w:before="156" w:beforeLines="50" w:after="156" w:afterLines="50" w:line="240" w:lineRule="auto"/>
              <w:rPr>
                <w:rFonts w:hint="default" w:ascii="宋体" w:hAnsi="宋体" w:eastAsia="宋体" w:cs="宋体"/>
                <w:b w:val="0"/>
                <w:bCs/>
                <w:kern w:val="0"/>
                <w:sz w:val="24"/>
                <w:szCs w:val="24"/>
                <w:lang w:val="en-US" w:eastAsia="zh-CN"/>
              </w:rPr>
            </w:pPr>
            <w:r>
              <w:rPr>
                <w:rFonts w:hint="eastAsia" w:ascii="宋体" w:hAnsi="宋体" w:cs="宋体"/>
                <w:b w:val="0"/>
                <w:bCs/>
                <w:kern w:val="0"/>
                <w:sz w:val="24"/>
                <w:szCs w:val="24"/>
                <w:lang w:val="en-US" w:eastAsia="zh-CN"/>
              </w:rPr>
              <w:t>持股比例</w:t>
            </w:r>
          </w:p>
        </w:tc>
        <w:tc>
          <w:tcPr>
            <w:tcW w:w="4125" w:type="dxa"/>
            <w:vAlign w:val="center"/>
          </w:tcPr>
          <w:p w14:paraId="08591399">
            <w:pPr>
              <w:widowControl w:val="0"/>
              <w:spacing w:before="156" w:beforeLines="50" w:after="156" w:afterLines="50" w:line="240" w:lineRule="auto"/>
              <w:jc w:val="right"/>
              <w:rPr>
                <w:rFonts w:hint="default" w:ascii="宋体" w:hAnsi="宋体" w:eastAsia="宋体" w:cs="宋体"/>
                <w:b w:val="0"/>
                <w:bCs/>
                <w:kern w:val="0"/>
                <w:sz w:val="24"/>
                <w:szCs w:val="24"/>
                <w:lang w:val="en-US" w:eastAsia="zh-CN"/>
              </w:rPr>
            </w:pPr>
            <w:r>
              <w:rPr>
                <w:rFonts w:hint="eastAsia" w:ascii="宋体" w:hAnsi="宋体" w:cs="宋体"/>
                <w:b w:val="0"/>
                <w:bCs/>
                <w:kern w:val="0"/>
                <w:sz w:val="24"/>
                <w:szCs w:val="24"/>
                <w:lang w:val="en-US" w:eastAsia="zh-CN"/>
              </w:rPr>
              <w:t>52.84%</w:t>
            </w:r>
          </w:p>
        </w:tc>
      </w:tr>
      <w:tr w14:paraId="5CE3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vAlign w:val="center"/>
          </w:tcPr>
          <w:p w14:paraId="7DED18DC">
            <w:pPr>
              <w:widowControl w:val="0"/>
              <w:spacing w:before="156" w:beforeLines="50" w:after="156" w:afterLines="50" w:line="240" w:lineRule="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本次解除质押股份</w:t>
            </w:r>
            <w:r>
              <w:rPr>
                <w:rFonts w:hint="eastAsia" w:ascii="宋体" w:hAnsi="宋体" w:cs="宋体"/>
                <w:b w:val="0"/>
                <w:bCs/>
                <w:kern w:val="0"/>
                <w:sz w:val="24"/>
                <w:szCs w:val="24"/>
                <w:lang w:val="en-US" w:eastAsia="zh-CN"/>
              </w:rPr>
              <w:t>（A股）</w:t>
            </w:r>
          </w:p>
        </w:tc>
        <w:tc>
          <w:tcPr>
            <w:tcW w:w="4125" w:type="dxa"/>
            <w:vAlign w:val="center"/>
          </w:tcPr>
          <w:p w14:paraId="6FA3AC8F">
            <w:pPr>
              <w:widowControl w:val="0"/>
              <w:spacing w:before="156" w:beforeLines="50" w:after="156" w:afterLines="50" w:line="240" w:lineRule="auto"/>
              <w:jc w:val="right"/>
              <w:rPr>
                <w:rFonts w:hint="eastAsia" w:ascii="宋体" w:hAnsi="宋体" w:eastAsia="宋体" w:cs="宋体"/>
                <w:b w:val="0"/>
                <w:bCs/>
                <w:kern w:val="0"/>
                <w:sz w:val="24"/>
                <w:szCs w:val="24"/>
                <w:lang w:val="en-US" w:eastAsia="zh-CN"/>
              </w:rPr>
            </w:pPr>
            <w:bookmarkStart w:id="7" w:name="OLE_LINK2"/>
            <w:r>
              <w:rPr>
                <w:rFonts w:hint="eastAsia" w:ascii="宋体" w:hAnsi="宋体" w:eastAsia="宋体" w:cs="宋体"/>
                <w:b w:val="0"/>
                <w:bCs/>
                <w:sz w:val="24"/>
                <w:szCs w:val="24"/>
                <w:lang w:val="en-US" w:eastAsia="zh-CN"/>
              </w:rPr>
              <w:t>209,803,279</w:t>
            </w:r>
            <w:bookmarkEnd w:id="7"/>
          </w:p>
        </w:tc>
      </w:tr>
      <w:tr w14:paraId="3DF7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vAlign w:val="center"/>
          </w:tcPr>
          <w:p w14:paraId="63A6EABC">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本次解除质押股份占其所持股份比例</w:t>
            </w:r>
          </w:p>
        </w:tc>
        <w:tc>
          <w:tcPr>
            <w:tcW w:w="4125" w:type="dxa"/>
            <w:vAlign w:val="center"/>
          </w:tcPr>
          <w:p w14:paraId="79EADAB9">
            <w:pPr>
              <w:widowControl w:val="0"/>
              <w:spacing w:before="156" w:beforeLines="50" w:after="156" w:afterLines="50" w:line="240" w:lineRule="auto"/>
              <w:jc w:val="right"/>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3.96%</w:t>
            </w:r>
          </w:p>
        </w:tc>
      </w:tr>
      <w:tr w14:paraId="682D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vAlign w:val="center"/>
          </w:tcPr>
          <w:p w14:paraId="6AF6468E">
            <w:pPr>
              <w:widowControl w:val="0"/>
              <w:spacing w:before="156" w:beforeLines="50" w:after="156" w:afterLines="50" w:line="240" w:lineRule="auto"/>
              <w:rPr>
                <w:rFonts w:hint="default" w:ascii="宋体" w:hAnsi="宋体" w:eastAsia="宋体" w:cs="宋体"/>
                <w:b w:val="0"/>
                <w:bCs/>
                <w:kern w:val="0"/>
                <w:sz w:val="24"/>
                <w:szCs w:val="24"/>
                <w:vertAlign w:val="superscript"/>
                <w:lang w:val="en-US" w:eastAsia="zh-CN"/>
              </w:rPr>
            </w:pPr>
            <w:r>
              <w:rPr>
                <w:rFonts w:hint="eastAsia" w:ascii="宋体" w:hAnsi="宋体" w:eastAsia="宋体" w:cs="宋体"/>
                <w:b w:val="0"/>
                <w:bCs/>
                <w:kern w:val="0"/>
                <w:sz w:val="24"/>
                <w:szCs w:val="24"/>
              </w:rPr>
              <w:t>本次解除质押股份占公司总股本</w:t>
            </w:r>
            <w:r>
              <w:rPr>
                <w:rFonts w:hint="eastAsia" w:ascii="宋体" w:hAnsi="宋体" w:cs="宋体"/>
                <w:b w:val="0"/>
                <w:bCs/>
                <w:kern w:val="0"/>
                <w:sz w:val="24"/>
                <w:szCs w:val="24"/>
                <w:lang w:val="en-US" w:eastAsia="zh-CN"/>
              </w:rPr>
              <w:t>比例</w:t>
            </w:r>
          </w:p>
        </w:tc>
        <w:tc>
          <w:tcPr>
            <w:tcW w:w="4125" w:type="dxa"/>
            <w:vAlign w:val="center"/>
          </w:tcPr>
          <w:p w14:paraId="4A8B0F4B">
            <w:pPr>
              <w:widowControl w:val="0"/>
              <w:spacing w:before="156" w:beforeLines="50" w:after="156" w:afterLines="50" w:line="240" w:lineRule="auto"/>
              <w:jc w:val="right"/>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2.09%</w:t>
            </w:r>
          </w:p>
        </w:tc>
      </w:tr>
      <w:tr w14:paraId="523F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vAlign w:val="center"/>
          </w:tcPr>
          <w:p w14:paraId="3A136D31">
            <w:pPr>
              <w:widowControl w:val="0"/>
              <w:spacing w:before="156" w:beforeLines="50" w:after="156" w:afterLines="50" w:line="240" w:lineRule="auto"/>
              <w:rPr>
                <w:rFonts w:hint="default" w:ascii="宋体" w:hAnsi="宋体" w:eastAsia="宋体" w:cs="宋体"/>
                <w:b w:val="0"/>
                <w:bCs/>
                <w:kern w:val="0"/>
                <w:sz w:val="24"/>
                <w:szCs w:val="24"/>
                <w:lang w:val="en-US" w:eastAsia="zh-CN"/>
              </w:rPr>
            </w:pPr>
            <w:r>
              <w:rPr>
                <w:rFonts w:hint="eastAsia" w:ascii="宋体" w:hAnsi="宋体" w:cs="宋体"/>
                <w:b w:val="0"/>
                <w:bCs/>
                <w:kern w:val="0"/>
                <w:sz w:val="24"/>
                <w:szCs w:val="24"/>
                <w:lang w:val="en-US" w:eastAsia="zh-CN"/>
              </w:rPr>
              <w:t>解除质押登记时间</w:t>
            </w:r>
          </w:p>
        </w:tc>
        <w:tc>
          <w:tcPr>
            <w:tcW w:w="4125" w:type="dxa"/>
            <w:vAlign w:val="center"/>
          </w:tcPr>
          <w:p w14:paraId="1942C9B0">
            <w:pPr>
              <w:widowControl w:val="0"/>
              <w:spacing w:before="156" w:beforeLines="50" w:after="156" w:afterLines="50" w:line="240" w:lineRule="auto"/>
              <w:jc w:val="right"/>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2025年5月8日</w:t>
            </w:r>
          </w:p>
        </w:tc>
      </w:tr>
      <w:tr w14:paraId="02AC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vAlign w:val="center"/>
          </w:tcPr>
          <w:p w14:paraId="08B84C0D">
            <w:pPr>
              <w:widowControl w:val="0"/>
              <w:spacing w:before="156" w:beforeLines="50" w:after="156" w:afterLines="50" w:line="240" w:lineRule="auto"/>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rPr>
              <w:t>剩余被质押股份数量</w:t>
            </w: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H股</w:t>
            </w:r>
            <w:r>
              <w:rPr>
                <w:rFonts w:hint="eastAsia" w:ascii="宋体" w:hAnsi="宋体" w:cs="宋体"/>
                <w:b w:val="0"/>
                <w:bCs/>
                <w:kern w:val="0"/>
                <w:sz w:val="24"/>
                <w:szCs w:val="24"/>
                <w:lang w:eastAsia="zh-CN"/>
              </w:rPr>
              <w:t>）</w:t>
            </w:r>
          </w:p>
        </w:tc>
        <w:tc>
          <w:tcPr>
            <w:tcW w:w="4125" w:type="dxa"/>
            <w:vAlign w:val="center"/>
          </w:tcPr>
          <w:p w14:paraId="29069861">
            <w:pPr>
              <w:widowControl w:val="0"/>
              <w:spacing w:before="156" w:beforeLines="50" w:after="156" w:afterLines="50" w:line="240" w:lineRule="auto"/>
              <w:jc w:val="right"/>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282,697,893</w:t>
            </w:r>
          </w:p>
        </w:tc>
      </w:tr>
      <w:tr w14:paraId="65CC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vAlign w:val="center"/>
          </w:tcPr>
          <w:p w14:paraId="5F3D4329">
            <w:pPr>
              <w:widowControl w:val="0"/>
              <w:spacing w:before="156" w:beforeLines="50" w:after="156" w:afterLines="50" w:line="240" w:lineRule="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剩余被质押股份数量占其所持股份比例</w:t>
            </w:r>
          </w:p>
        </w:tc>
        <w:tc>
          <w:tcPr>
            <w:tcW w:w="4125" w:type="dxa"/>
            <w:vAlign w:val="center"/>
          </w:tcPr>
          <w:p w14:paraId="6E53D7CD">
            <w:pPr>
              <w:widowControl w:val="0"/>
              <w:spacing w:before="156" w:beforeLines="50" w:after="156" w:afterLines="50" w:line="240" w:lineRule="auto"/>
              <w:jc w:val="right"/>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5.33%</w:t>
            </w:r>
          </w:p>
        </w:tc>
      </w:tr>
      <w:tr w14:paraId="403B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vAlign w:val="center"/>
          </w:tcPr>
          <w:p w14:paraId="702ECD0A">
            <w:pPr>
              <w:widowControl w:val="0"/>
              <w:spacing w:before="156" w:beforeLines="50" w:after="156" w:afterLines="50" w:line="240" w:lineRule="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剩余被质押股份数量占公司总股本比例</w:t>
            </w:r>
          </w:p>
        </w:tc>
        <w:tc>
          <w:tcPr>
            <w:tcW w:w="4125" w:type="dxa"/>
            <w:vAlign w:val="center"/>
          </w:tcPr>
          <w:p w14:paraId="5D9C9A57">
            <w:pPr>
              <w:widowControl w:val="0"/>
              <w:spacing w:before="156" w:beforeLines="50" w:after="156" w:afterLines="50" w:line="240" w:lineRule="auto"/>
              <w:jc w:val="right"/>
              <w:rPr>
                <w:rFonts w:hint="eastAsia" w:ascii="宋体" w:hAnsi="宋体" w:eastAsia="宋体" w:cs="宋体"/>
                <w:b w:val="0"/>
                <w:bCs/>
                <w:sz w:val="24"/>
                <w:szCs w:val="24"/>
              </w:rPr>
            </w:pPr>
            <w:r>
              <w:rPr>
                <w:rFonts w:hint="eastAsia" w:ascii="宋体" w:hAnsi="宋体" w:cs="宋体"/>
                <w:b w:val="0"/>
                <w:bCs/>
                <w:sz w:val="24"/>
                <w:szCs w:val="24"/>
                <w:lang w:val="en-US" w:eastAsia="zh-CN"/>
              </w:rPr>
              <w:t>2.82%</w:t>
            </w:r>
          </w:p>
        </w:tc>
      </w:tr>
    </w:tbl>
    <w:p w14:paraId="192302B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Times New Roman"/>
          <w:kern w:val="0"/>
          <w:sz w:val="28"/>
          <w:szCs w:val="28"/>
        </w:rPr>
      </w:pPr>
    </w:p>
    <w:p w14:paraId="2159F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Times New Roman"/>
          <w:kern w:val="0"/>
          <w:sz w:val="28"/>
          <w:szCs w:val="28"/>
          <w:lang w:eastAsia="zh-CN"/>
        </w:rPr>
      </w:pPr>
      <w:r>
        <w:rPr>
          <w:rFonts w:hint="eastAsia" w:ascii="宋体" w:hAnsi="宋体" w:cs="Times New Roman"/>
          <w:kern w:val="0"/>
          <w:sz w:val="28"/>
          <w:szCs w:val="28"/>
        </w:rPr>
        <w:t>本次解除质押手续完成后，山东能源所持公司股份暂无后续质押计划。公司将持续关注解除质押的后续事项，并根据相关规定及时履行信息披露义务</w:t>
      </w:r>
      <w:r>
        <w:rPr>
          <w:rFonts w:hint="eastAsia" w:ascii="宋体" w:hAnsi="宋体" w:cs="Times New Roman"/>
          <w:kern w:val="0"/>
          <w:sz w:val="28"/>
          <w:szCs w:val="28"/>
          <w:lang w:eastAsia="zh-CN"/>
        </w:rPr>
        <w:t>。</w:t>
      </w:r>
    </w:p>
    <w:p w14:paraId="4BBE5A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cs="Times New Roman"/>
          <w:kern w:val="0"/>
          <w:sz w:val="28"/>
          <w:szCs w:val="28"/>
        </w:rPr>
      </w:pPr>
    </w:p>
    <w:p w14:paraId="67285CD1">
      <w:pPr>
        <w:widowControl w:val="0"/>
        <w:spacing w:line="560" w:lineRule="exact"/>
        <w:ind w:firstLine="560" w:firstLineChars="200"/>
        <w:jc w:val="both"/>
        <w:rPr>
          <w:rFonts w:ascii="宋体" w:hAnsi="宋体" w:cs="Times New Roman"/>
          <w:kern w:val="0"/>
          <w:sz w:val="28"/>
          <w:szCs w:val="28"/>
        </w:rPr>
      </w:pPr>
      <w:r>
        <w:rPr>
          <w:rFonts w:ascii="宋体" w:hAnsi="宋体" w:cs="Times New Roman"/>
          <w:kern w:val="0"/>
          <w:sz w:val="28"/>
          <w:szCs w:val="28"/>
        </w:rPr>
        <w:t>特此公告。</w:t>
      </w:r>
    </w:p>
    <w:p w14:paraId="4EC5FC51">
      <w:pPr>
        <w:widowControl w:val="0"/>
        <w:spacing w:line="560" w:lineRule="exact"/>
        <w:jc w:val="right"/>
        <w:rPr>
          <w:rFonts w:ascii="宋体" w:hAnsi="宋体" w:cs="Times New Roman"/>
          <w:kern w:val="0"/>
          <w:sz w:val="28"/>
          <w:szCs w:val="28"/>
        </w:rPr>
      </w:pPr>
    </w:p>
    <w:p w14:paraId="52AD92AF">
      <w:pPr>
        <w:widowControl w:val="0"/>
        <w:spacing w:line="560" w:lineRule="exact"/>
        <w:jc w:val="right"/>
        <w:rPr>
          <w:rFonts w:ascii="宋体" w:hAnsi="宋体" w:cs="Times New Roman"/>
          <w:kern w:val="0"/>
          <w:sz w:val="28"/>
          <w:szCs w:val="28"/>
        </w:rPr>
      </w:pPr>
      <w:r>
        <w:rPr>
          <w:rFonts w:hint="eastAsia" w:ascii="宋体" w:hAnsi="宋体" w:cs="Times New Roman"/>
          <w:kern w:val="0"/>
          <w:sz w:val="28"/>
          <w:szCs w:val="28"/>
          <w:lang w:eastAsia="zh-CN"/>
        </w:rPr>
        <w:t>兖矿能源</w:t>
      </w:r>
      <w:r>
        <w:rPr>
          <w:rFonts w:hint="eastAsia" w:ascii="宋体" w:hAnsi="宋体" w:cs="Times New Roman"/>
          <w:kern w:val="0"/>
          <w:sz w:val="28"/>
          <w:szCs w:val="28"/>
          <w:lang w:val="en-US" w:eastAsia="zh-CN"/>
        </w:rPr>
        <w:t>集团</w:t>
      </w:r>
      <w:r>
        <w:rPr>
          <w:rFonts w:hint="eastAsia" w:ascii="宋体" w:hAnsi="宋体" w:cs="Times New Roman"/>
          <w:kern w:val="0"/>
          <w:sz w:val="28"/>
          <w:szCs w:val="28"/>
        </w:rPr>
        <w:t>股份有限公司董事会</w:t>
      </w:r>
    </w:p>
    <w:p w14:paraId="1D43FA3F">
      <w:pPr>
        <w:widowControl w:val="0"/>
        <w:spacing w:line="560" w:lineRule="exact"/>
        <w:ind w:right="560"/>
        <w:jc w:val="center"/>
        <w:rPr>
          <w:rFonts w:ascii="宋体" w:hAnsi="宋体" w:cs="Times New Roman"/>
          <w:kern w:val="0"/>
          <w:sz w:val="28"/>
          <w:szCs w:val="28"/>
        </w:rPr>
      </w:pPr>
      <w:r>
        <w:rPr>
          <w:rFonts w:hint="eastAsia" w:ascii="宋体" w:hAnsi="宋体" w:cs="Times New Roman"/>
          <w:kern w:val="0"/>
          <w:sz w:val="28"/>
          <w:szCs w:val="28"/>
          <w:lang w:val="en-US" w:eastAsia="zh-CN"/>
        </w:rPr>
        <w:t xml:space="preserve">                                   </w:t>
      </w:r>
      <w:r>
        <w:rPr>
          <w:rFonts w:hint="eastAsia" w:ascii="宋体" w:hAnsi="宋体" w:cs="Times New Roman"/>
          <w:kern w:val="0"/>
          <w:sz w:val="28"/>
          <w:szCs w:val="28"/>
        </w:rPr>
        <w:t>2</w:t>
      </w:r>
      <w:r>
        <w:rPr>
          <w:rFonts w:ascii="宋体" w:hAnsi="宋体" w:cs="Times New Roman"/>
          <w:kern w:val="0"/>
          <w:sz w:val="28"/>
          <w:szCs w:val="28"/>
        </w:rPr>
        <w:t>02</w:t>
      </w:r>
      <w:r>
        <w:rPr>
          <w:rFonts w:hint="eastAsia" w:ascii="宋体" w:hAnsi="宋体" w:cs="Times New Roman"/>
          <w:kern w:val="0"/>
          <w:sz w:val="28"/>
          <w:szCs w:val="28"/>
          <w:lang w:val="en-US" w:eastAsia="zh-CN"/>
        </w:rPr>
        <w:t>5</w:t>
      </w:r>
      <w:r>
        <w:rPr>
          <w:rFonts w:ascii="宋体" w:hAnsi="宋体" w:cs="Times New Roman"/>
          <w:kern w:val="0"/>
          <w:sz w:val="28"/>
          <w:szCs w:val="28"/>
        </w:rPr>
        <w:t>年</w:t>
      </w:r>
      <w:r>
        <w:rPr>
          <w:rFonts w:hint="eastAsia" w:ascii="宋体" w:hAnsi="宋体" w:cs="Times New Roman"/>
          <w:kern w:val="0"/>
          <w:sz w:val="28"/>
          <w:szCs w:val="28"/>
        </w:rPr>
        <w:t>5</w:t>
      </w:r>
      <w:r>
        <w:rPr>
          <w:rFonts w:ascii="宋体" w:hAnsi="宋体" w:cs="Times New Roman"/>
          <w:kern w:val="0"/>
          <w:sz w:val="28"/>
          <w:szCs w:val="28"/>
        </w:rPr>
        <w:t>月</w:t>
      </w:r>
      <w:r>
        <w:rPr>
          <w:rFonts w:hint="eastAsia" w:ascii="宋体" w:hAnsi="宋体" w:cs="Times New Roman"/>
          <w:kern w:val="0"/>
          <w:sz w:val="28"/>
          <w:szCs w:val="28"/>
          <w:lang w:val="en-US" w:eastAsia="zh-CN"/>
        </w:rPr>
        <w:t>12</w:t>
      </w:r>
      <w:r>
        <w:rPr>
          <w:rFonts w:ascii="宋体" w:hAnsi="宋体" w:cs="Times New Roman"/>
          <w:kern w:val="0"/>
          <w:sz w:val="28"/>
          <w:szCs w:val="28"/>
        </w:rPr>
        <w:t>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7361795"/>
      <w:docPartObj>
        <w:docPartGallery w:val="autotext"/>
      </w:docPartObj>
    </w:sdtPr>
    <w:sdtContent>
      <w:p w14:paraId="633FFE40">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U2N2U2YmIyMjA3NDY2MDZhNzk5ODU4NzdmMGVlNjUifQ=="/>
    <w:docVar w:name="KSO_WPS_MARK_KEY" w:val="4c968429-4d76-47dd-a222-7a4bf648ef1f"/>
  </w:docVars>
  <w:rsids>
    <w:rsidRoot w:val="007B5AF5"/>
    <w:rsid w:val="00035F1D"/>
    <w:rsid w:val="00053B49"/>
    <w:rsid w:val="0006020F"/>
    <w:rsid w:val="00067CB7"/>
    <w:rsid w:val="000752C3"/>
    <w:rsid w:val="00083D0B"/>
    <w:rsid w:val="000C60E5"/>
    <w:rsid w:val="000E2991"/>
    <w:rsid w:val="000F5394"/>
    <w:rsid w:val="001361CF"/>
    <w:rsid w:val="0014457A"/>
    <w:rsid w:val="00145EA4"/>
    <w:rsid w:val="00172F65"/>
    <w:rsid w:val="001A326D"/>
    <w:rsid w:val="001B3311"/>
    <w:rsid w:val="00262B5D"/>
    <w:rsid w:val="0027245C"/>
    <w:rsid w:val="002B1799"/>
    <w:rsid w:val="002D28AD"/>
    <w:rsid w:val="002E08E4"/>
    <w:rsid w:val="002E2318"/>
    <w:rsid w:val="002F5589"/>
    <w:rsid w:val="00303F37"/>
    <w:rsid w:val="00326307"/>
    <w:rsid w:val="00327DE1"/>
    <w:rsid w:val="0035363F"/>
    <w:rsid w:val="003A5A12"/>
    <w:rsid w:val="003F2B6F"/>
    <w:rsid w:val="00410058"/>
    <w:rsid w:val="00410D7A"/>
    <w:rsid w:val="004138E6"/>
    <w:rsid w:val="0041443B"/>
    <w:rsid w:val="004208EB"/>
    <w:rsid w:val="00441CA0"/>
    <w:rsid w:val="00446D88"/>
    <w:rsid w:val="00452E8D"/>
    <w:rsid w:val="00462394"/>
    <w:rsid w:val="004A7604"/>
    <w:rsid w:val="004E0D63"/>
    <w:rsid w:val="004E3A86"/>
    <w:rsid w:val="004E7922"/>
    <w:rsid w:val="004F4745"/>
    <w:rsid w:val="00502C0C"/>
    <w:rsid w:val="00514884"/>
    <w:rsid w:val="00517DED"/>
    <w:rsid w:val="00540F90"/>
    <w:rsid w:val="00542D50"/>
    <w:rsid w:val="00556A40"/>
    <w:rsid w:val="00597E68"/>
    <w:rsid w:val="005B70A4"/>
    <w:rsid w:val="005C3838"/>
    <w:rsid w:val="005C616D"/>
    <w:rsid w:val="00606CF9"/>
    <w:rsid w:val="006376BC"/>
    <w:rsid w:val="006870D5"/>
    <w:rsid w:val="00693670"/>
    <w:rsid w:val="006E224B"/>
    <w:rsid w:val="007346C0"/>
    <w:rsid w:val="00740EA5"/>
    <w:rsid w:val="00747034"/>
    <w:rsid w:val="007551A0"/>
    <w:rsid w:val="00785BD8"/>
    <w:rsid w:val="00785E29"/>
    <w:rsid w:val="00793334"/>
    <w:rsid w:val="007B5AF5"/>
    <w:rsid w:val="00802002"/>
    <w:rsid w:val="008330DE"/>
    <w:rsid w:val="008351DB"/>
    <w:rsid w:val="008578E0"/>
    <w:rsid w:val="00866CEC"/>
    <w:rsid w:val="00877B89"/>
    <w:rsid w:val="00882A97"/>
    <w:rsid w:val="0089096B"/>
    <w:rsid w:val="00890E99"/>
    <w:rsid w:val="008A1FDD"/>
    <w:rsid w:val="008D27FF"/>
    <w:rsid w:val="008D4867"/>
    <w:rsid w:val="008F076B"/>
    <w:rsid w:val="009245F8"/>
    <w:rsid w:val="00931A8D"/>
    <w:rsid w:val="00933754"/>
    <w:rsid w:val="00942F98"/>
    <w:rsid w:val="00944F06"/>
    <w:rsid w:val="00964D5A"/>
    <w:rsid w:val="00983F40"/>
    <w:rsid w:val="009B37C2"/>
    <w:rsid w:val="009B5B8E"/>
    <w:rsid w:val="009F56C6"/>
    <w:rsid w:val="00A05CC5"/>
    <w:rsid w:val="00A34D07"/>
    <w:rsid w:val="00A60C97"/>
    <w:rsid w:val="00A631A2"/>
    <w:rsid w:val="00A912B9"/>
    <w:rsid w:val="00A92176"/>
    <w:rsid w:val="00AB2C81"/>
    <w:rsid w:val="00AD43F6"/>
    <w:rsid w:val="00AE074C"/>
    <w:rsid w:val="00AE69FD"/>
    <w:rsid w:val="00AF246A"/>
    <w:rsid w:val="00B16EB0"/>
    <w:rsid w:val="00B222E8"/>
    <w:rsid w:val="00B2521E"/>
    <w:rsid w:val="00B52C47"/>
    <w:rsid w:val="00BA39DE"/>
    <w:rsid w:val="00BB05AE"/>
    <w:rsid w:val="00BB381C"/>
    <w:rsid w:val="00BC4EA0"/>
    <w:rsid w:val="00BE3084"/>
    <w:rsid w:val="00BE31D0"/>
    <w:rsid w:val="00C47ECA"/>
    <w:rsid w:val="00C7257D"/>
    <w:rsid w:val="00C80959"/>
    <w:rsid w:val="00C870CD"/>
    <w:rsid w:val="00CA66AA"/>
    <w:rsid w:val="00CB2D37"/>
    <w:rsid w:val="00D119D2"/>
    <w:rsid w:val="00D460D0"/>
    <w:rsid w:val="00D64096"/>
    <w:rsid w:val="00D72B73"/>
    <w:rsid w:val="00D911A0"/>
    <w:rsid w:val="00DA54A3"/>
    <w:rsid w:val="00DB33EA"/>
    <w:rsid w:val="00DB58B9"/>
    <w:rsid w:val="00DC54E1"/>
    <w:rsid w:val="00DC71F2"/>
    <w:rsid w:val="00DC7A55"/>
    <w:rsid w:val="00DE79D5"/>
    <w:rsid w:val="00E16997"/>
    <w:rsid w:val="00E34DB7"/>
    <w:rsid w:val="00E51B61"/>
    <w:rsid w:val="00E54B0D"/>
    <w:rsid w:val="00E6560C"/>
    <w:rsid w:val="00E837EA"/>
    <w:rsid w:val="00EB01FD"/>
    <w:rsid w:val="00EF0571"/>
    <w:rsid w:val="00EF7461"/>
    <w:rsid w:val="00F03090"/>
    <w:rsid w:val="00F03AB9"/>
    <w:rsid w:val="00F563AD"/>
    <w:rsid w:val="00F65199"/>
    <w:rsid w:val="00FB41EA"/>
    <w:rsid w:val="00FD26C2"/>
    <w:rsid w:val="00FF637C"/>
    <w:rsid w:val="107D2F60"/>
    <w:rsid w:val="12EF19A1"/>
    <w:rsid w:val="156C3A73"/>
    <w:rsid w:val="18D23D29"/>
    <w:rsid w:val="236D7867"/>
    <w:rsid w:val="25C3403A"/>
    <w:rsid w:val="2AF0097F"/>
    <w:rsid w:val="337F20A4"/>
    <w:rsid w:val="3BB51D95"/>
    <w:rsid w:val="3DB478D9"/>
    <w:rsid w:val="43BD6E5F"/>
    <w:rsid w:val="53723E9A"/>
    <w:rsid w:val="552F753E"/>
    <w:rsid w:val="56316F1F"/>
    <w:rsid w:val="626E7387"/>
    <w:rsid w:val="64654572"/>
    <w:rsid w:val="661A5591"/>
    <w:rsid w:val="66E85951"/>
    <w:rsid w:val="6F60676D"/>
    <w:rsid w:val="703701EA"/>
    <w:rsid w:val="77CE7663"/>
    <w:rsid w:val="7DB12823"/>
    <w:rsid w:val="7E3A462D"/>
    <w:rsid w:val="7FBC5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center"/>
    </w:pPr>
    <w:rPr>
      <w:rFonts w:ascii="Times New Roman" w:hAnsi="Times New Roman" w:eastAsia="宋体" w:cstheme="minorBidi"/>
      <w:kern w:val="2"/>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589991-DA26-47E4-81B9-AFA199CE1515}">
  <ds:schemaRefs/>
</ds:datastoreItem>
</file>

<file path=docProps/app.xml><?xml version="1.0" encoding="utf-8"?>
<Properties xmlns="http://schemas.openxmlformats.org/officeDocument/2006/extended-properties" xmlns:vt="http://schemas.openxmlformats.org/officeDocument/2006/docPropsVTypes">
  <Template>Normal</Template>
  <Pages>2</Pages>
  <Words>746</Words>
  <Characters>906</Characters>
  <Lines>33</Lines>
  <Paragraphs>25</Paragraphs>
  <TotalTime>10</TotalTime>
  <ScaleCrop>false</ScaleCrop>
  <LinksUpToDate>false</LinksUpToDate>
  <CharactersWithSpaces>967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2021-05-26T06:12:00Z</dcterms:created>
  <dc:creator>王 鹏</dc:creator>
  <cp:lastModifiedBy>金建德</cp:lastModifiedBy>
  <cp:lastPrinted>2025-05-12T06:02:00Z</cp:lastPrinted>
  <dcterms:modified xsi:type="dcterms:W3CDTF">2025-05-12T06:25:10Z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</vt:lpwstr>
  </property>
  <property fmtid="{D5CDD505-2E9C-101B-9397-08002B2CF9AE}" pid="3" name="KSOProductBuildVer">
    <vt:lpwstr>2052-12.1.0.18276</vt:lpwstr>
  </property>
  <property fmtid="{D5CDD505-2E9C-101B-9397-08002B2CF9AE}" pid="4" name="ICV">
    <vt:lpwstr>D676CD9225534EE3B9AC8C86463B53D4_13</vt:lpwstr>
  </property>
</Properties>
</file>