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olor w:val="000000"/>
        </w:rPr>
      </w:pPr>
    </w:p>
    <w:p>
      <w:pPr>
        <w:spacing w:line="360" w:lineRule="auto"/>
        <w:jc w:val="center"/>
        <w:rPr>
          <w:rFonts w:hint="default" w:ascii="黑体" w:hAnsi="黑体" w:eastAsia="黑体"/>
          <w:color w:val="000000"/>
          <w:lang w:val="en-US" w:eastAsia="zh-CN"/>
        </w:rPr>
      </w:pPr>
      <w:r>
        <w:rPr>
          <w:rFonts w:ascii="黑体" w:hAnsi="黑体" w:eastAsia="黑体"/>
          <w:color w:val="000000"/>
        </w:rPr>
        <w:t>股票代码：600188             股票简称：</w:t>
      </w:r>
      <w:r>
        <w:rPr>
          <w:rFonts w:hint="eastAsia" w:ascii="黑体" w:hAnsi="黑体" w:eastAsia="黑体"/>
          <w:color w:val="000000"/>
        </w:rPr>
        <w:t>兖矿能源</w:t>
      </w:r>
      <w:r>
        <w:rPr>
          <w:rFonts w:ascii="黑体" w:hAnsi="黑体" w:eastAsia="黑体"/>
          <w:color w:val="000000"/>
        </w:rPr>
        <w:t xml:space="preserve">             编号：</w:t>
      </w:r>
      <w:r>
        <w:rPr>
          <w:rFonts w:hint="eastAsia" w:ascii="黑体" w:hAnsi="黑体" w:eastAsia="黑体" w:cs="黑体"/>
          <w:color w:val="000000"/>
        </w:rPr>
        <w:t>临</w:t>
      </w:r>
      <w:r>
        <w:rPr>
          <w:rFonts w:hint="eastAsia" w:ascii="黑体" w:hAnsi="黑体" w:eastAsia="黑体" w:cs="黑体"/>
          <w:color w:val="000000"/>
          <w:sz w:val="21"/>
          <w:szCs w:val="21"/>
        </w:rPr>
        <w:t>2025-</w:t>
      </w:r>
      <w:r>
        <w:rPr>
          <w:rFonts w:hint="eastAsia" w:ascii="黑体" w:hAnsi="黑体" w:eastAsia="黑体" w:cs="黑体"/>
          <w:color w:val="000000"/>
          <w:sz w:val="21"/>
          <w:szCs w:val="21"/>
          <w:lang w:val="en-US" w:eastAsia="zh-CN"/>
        </w:rPr>
        <w:t>033</w:t>
      </w:r>
    </w:p>
    <w:p>
      <w:pPr>
        <w:spacing w:line="500" w:lineRule="exact"/>
        <w:jc w:val="center"/>
        <w:rPr>
          <w:rFonts w:eastAsia="黑体"/>
          <w:color w:val="000000"/>
        </w:rPr>
      </w:pPr>
    </w:p>
    <w:p>
      <w:pPr>
        <w:spacing w:line="500" w:lineRule="exact"/>
        <w:jc w:val="center"/>
        <w:rPr>
          <w:rFonts w:ascii="黑体" w:eastAsia="黑体"/>
          <w:b/>
          <w:bCs/>
          <w:color w:val="FF0000"/>
          <w:sz w:val="36"/>
          <w:szCs w:val="36"/>
        </w:rPr>
      </w:pPr>
      <w:bookmarkStart w:id="0" w:name="OLE_LINK1"/>
      <w:r>
        <w:rPr>
          <w:rFonts w:hint="eastAsia" w:ascii="黑体" w:eastAsia="黑体"/>
          <w:b/>
          <w:bCs/>
          <w:color w:val="FF0000"/>
          <w:sz w:val="36"/>
          <w:szCs w:val="36"/>
        </w:rPr>
        <w:t>兖矿能源集团</w:t>
      </w:r>
      <w:r>
        <w:rPr>
          <w:rFonts w:ascii="黑体" w:eastAsia="黑体"/>
          <w:b/>
          <w:bCs/>
          <w:color w:val="FF0000"/>
          <w:sz w:val="36"/>
          <w:szCs w:val="36"/>
        </w:rPr>
        <w:t>股份有限公司</w:t>
      </w:r>
    </w:p>
    <w:p>
      <w:pPr>
        <w:spacing w:line="500" w:lineRule="exact"/>
        <w:jc w:val="center"/>
        <w:rPr>
          <w:b/>
          <w:bCs/>
          <w:color w:val="000000"/>
          <w:sz w:val="32"/>
        </w:rPr>
      </w:pPr>
      <w:r>
        <w:rPr>
          <w:rFonts w:hint="eastAsia" w:ascii="黑体" w:eastAsia="黑体"/>
          <w:b/>
          <w:bCs/>
          <w:color w:val="FF0000"/>
          <w:sz w:val="36"/>
          <w:szCs w:val="36"/>
        </w:rPr>
        <w:t>关于年度预计担保的进展公告</w:t>
      </w:r>
    </w:p>
    <w:bookmarkEnd w:id="0"/>
    <w:p>
      <w:pPr>
        <w:spacing w:line="560" w:lineRule="exact"/>
        <w:jc w:val="center"/>
        <w:rPr>
          <w:b/>
          <w:bCs/>
          <w:color w:val="000000"/>
          <w:sz w:val="28"/>
        </w:rPr>
      </w:pPr>
      <w:r>
        <w:rPr>
          <w:b/>
          <w:bCs/>
          <w:color w:val="000000"/>
          <w:sz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330200</wp:posOffset>
                </wp:positionV>
                <wp:extent cx="5372100" cy="980440"/>
                <wp:effectExtent l="4445" t="4445" r="14605" b="5715"/>
                <wp:wrapNone/>
                <wp:docPr id="1" name="文本框 2"/>
                <wp:cNvGraphicFramePr/>
                <a:graphic xmlns:a="http://schemas.openxmlformats.org/drawingml/2006/main">
                  <a:graphicData uri="http://schemas.microsoft.com/office/word/2010/wordprocessingShape">
                    <wps:wsp>
                      <wps:cNvSpPr txBox="1"/>
                      <wps:spPr>
                        <a:xfrm>
                          <a:off x="0" y="0"/>
                          <a:ext cx="5372100" cy="980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upright="1"/>
                    </wps:wsp>
                  </a:graphicData>
                </a:graphic>
              </wp:anchor>
            </w:drawing>
          </mc:Choice>
          <mc:Fallback>
            <w:pict>
              <v:shape id="文本框 2" o:spid="_x0000_s1026" o:spt="202" type="#_x0000_t202" style="position:absolute;left:0pt;margin-left:9pt;margin-top:26pt;height:77.2pt;width:423pt;z-index:251659264;mso-width-relative:page;mso-height-relative:page;" fillcolor="#FFFFFF" filled="t" stroked="t" coordsize="21600,21600" o:gfxdata="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0gRU9cAAAAJAQAADwAAAAAAAAABACAAAAAi&#10;AAAAZHJzL2Rvd25yZXYueG1sUEsBAhQAFAAAAAgAh07iQLNaixwLAgAANgQAAA4AAAAAAAAAAQAg&#10;AAAAJgEAAGRycy9lMm9Eb2MueG1sUEsFBgAAAAAGAAYAWQEAAKMFAAAAAA==&#10;">
                <v:fill on="t" focussize="0,0"/>
                <v:stroke color="#000000"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adjustRightInd w:val="0"/>
        <w:snapToGrid w:val="0"/>
        <w:spacing w:line="500" w:lineRule="exact"/>
        <w:ind w:firstLine="560" w:firstLineChars="200"/>
        <w:outlineLvl w:val="0"/>
        <w:rPr>
          <w:b/>
          <w:bCs/>
          <w:color w:val="000000"/>
          <w:sz w:val="28"/>
        </w:rPr>
      </w:pPr>
    </w:p>
    <w:p>
      <w:pPr>
        <w:adjustRightInd w:val="0"/>
        <w:snapToGrid w:val="0"/>
        <w:spacing w:line="500" w:lineRule="exact"/>
        <w:ind w:firstLine="560" w:firstLineChars="200"/>
        <w:outlineLvl w:val="0"/>
        <w:rPr>
          <w:b/>
          <w:bCs/>
          <w:color w:val="000000"/>
          <w:sz w:val="28"/>
        </w:rPr>
      </w:pPr>
    </w:p>
    <w:p>
      <w:pPr>
        <w:adjustRightInd w:val="0"/>
        <w:snapToGrid w:val="0"/>
        <w:spacing w:line="500" w:lineRule="exact"/>
        <w:ind w:firstLine="560" w:firstLineChars="200"/>
        <w:outlineLvl w:val="0"/>
        <w:rPr>
          <w:b/>
          <w:bCs/>
          <w:color w:val="000000"/>
          <w:sz w:val="28"/>
        </w:rPr>
      </w:pPr>
    </w:p>
    <w:p>
      <w:pPr>
        <w:adjustRightInd w:val="0"/>
        <w:snapToGrid w:val="0"/>
        <w:spacing w:line="480" w:lineRule="exact"/>
        <w:ind w:firstLine="540"/>
        <w:rPr>
          <w:rFonts w:hint="eastAsia" w:ascii="宋体" w:hAnsi="宋体"/>
          <w:b/>
          <w:color w:val="000000"/>
          <w:sz w:val="28"/>
        </w:rPr>
      </w:pPr>
    </w:p>
    <w:p>
      <w:pPr>
        <w:adjustRightInd w:val="0"/>
        <w:snapToGrid w:val="0"/>
        <w:spacing w:line="520" w:lineRule="exact"/>
        <w:ind w:firstLine="540"/>
        <w:rPr>
          <w:rFonts w:hint="eastAsia" w:ascii="宋体" w:hAnsi="宋体"/>
          <w:b/>
          <w:color w:val="000000"/>
          <w:sz w:val="28"/>
          <w:szCs w:val="28"/>
        </w:rPr>
      </w:pPr>
      <w:r>
        <w:rPr>
          <w:rFonts w:hint="eastAsia" w:ascii="宋体" w:hAnsi="宋体"/>
          <w:b/>
          <w:color w:val="000000"/>
          <w:sz w:val="28"/>
          <w:szCs w:val="28"/>
        </w:rPr>
        <w:t>重要内容提示：</w:t>
      </w:r>
    </w:p>
    <w:p>
      <w:pPr>
        <w:numPr>
          <w:ilvl w:val="0"/>
          <w:numId w:val="1"/>
        </w:numPr>
        <w:adjustRightInd w:val="0"/>
        <w:snapToGrid w:val="0"/>
        <w:spacing w:line="520" w:lineRule="exact"/>
        <w:rPr>
          <w:rFonts w:hint="eastAsia" w:ascii="宋体" w:hAnsi="宋体"/>
          <w:color w:val="000000"/>
          <w:sz w:val="28"/>
          <w:szCs w:val="28"/>
        </w:rPr>
      </w:pPr>
      <w:r>
        <w:rPr>
          <w:rFonts w:hint="eastAsia" w:ascii="宋体" w:hAnsi="宋体"/>
          <w:b/>
          <w:color w:val="000000"/>
          <w:sz w:val="28"/>
          <w:szCs w:val="28"/>
        </w:rPr>
        <w:t>被担保人名称：</w:t>
      </w:r>
      <w:r>
        <w:rPr>
          <w:rFonts w:hint="eastAsia" w:ascii="宋体" w:hAnsi="宋体"/>
          <w:color w:val="000000"/>
          <w:sz w:val="28"/>
          <w:szCs w:val="28"/>
        </w:rPr>
        <w:t>兖矿瑞丰国际贸易有限公司（“兖矿瑞丰”）、兖煤澳大利亚有限公司（“兖煤澳洲”）及其子公司等兖矿能源集团股份有限公司（“兖矿能源”“公司”）澳洲附属公司。上述被担保人均为兖矿能源权属子公司，其中公司持有兖矿瑞丰51%股权；持有兖煤澳洲约62.26%股权。</w:t>
      </w:r>
    </w:p>
    <w:p>
      <w:pPr>
        <w:numPr>
          <w:ilvl w:val="0"/>
          <w:numId w:val="1"/>
        </w:numPr>
        <w:adjustRightInd w:val="0"/>
        <w:snapToGrid w:val="0"/>
        <w:spacing w:line="520" w:lineRule="exact"/>
        <w:rPr>
          <w:rFonts w:hint="eastAsia" w:ascii="宋体" w:hAnsi="宋体"/>
          <w:color w:val="000000"/>
          <w:sz w:val="28"/>
          <w:szCs w:val="28"/>
        </w:rPr>
      </w:pPr>
      <w:r>
        <w:rPr>
          <w:rFonts w:hint="eastAsia" w:ascii="宋体" w:hAnsi="宋体"/>
          <w:b/>
          <w:color w:val="000000"/>
          <w:sz w:val="28"/>
          <w:szCs w:val="28"/>
        </w:rPr>
        <w:t>是否为上市公司关联人：</w:t>
      </w:r>
      <w:r>
        <w:rPr>
          <w:rFonts w:hint="eastAsia" w:ascii="宋体" w:hAnsi="宋体"/>
          <w:color w:val="000000"/>
          <w:sz w:val="28"/>
          <w:szCs w:val="28"/>
        </w:rPr>
        <w:t>否</w:t>
      </w:r>
    </w:p>
    <w:p>
      <w:pPr>
        <w:numPr>
          <w:ilvl w:val="0"/>
          <w:numId w:val="1"/>
        </w:numPr>
        <w:adjustRightInd w:val="0"/>
        <w:snapToGrid w:val="0"/>
        <w:spacing w:line="520" w:lineRule="exact"/>
        <w:rPr>
          <w:rFonts w:hint="eastAsia" w:ascii="宋体" w:hAnsi="宋体"/>
          <w:b/>
          <w:color w:val="000000"/>
          <w:sz w:val="28"/>
          <w:szCs w:val="28"/>
        </w:rPr>
      </w:pPr>
      <w:r>
        <w:rPr>
          <w:rFonts w:hint="eastAsia" w:ascii="宋体" w:hAnsi="宋体"/>
          <w:b/>
          <w:color w:val="000000"/>
          <w:sz w:val="28"/>
          <w:szCs w:val="28"/>
        </w:rPr>
        <w:t>担保金额及担保余额：</w:t>
      </w:r>
      <w:r>
        <w:rPr>
          <w:rFonts w:hint="eastAsia" w:ascii="宋体" w:hAnsi="宋体"/>
          <w:bCs/>
          <w:color w:val="000000"/>
          <w:sz w:val="28"/>
          <w:szCs w:val="28"/>
        </w:rPr>
        <w:t>3月份（</w:t>
      </w:r>
      <w:r>
        <w:rPr>
          <w:rFonts w:hint="eastAsia" w:ascii="宋体" w:hAnsi="宋体"/>
          <w:color w:val="000000"/>
          <w:sz w:val="28"/>
          <w:szCs w:val="28"/>
        </w:rPr>
        <w:t>自2025年3月</w:t>
      </w:r>
      <w:r>
        <w:rPr>
          <w:rFonts w:ascii="宋体" w:hAnsi="宋体"/>
          <w:color w:val="000000"/>
          <w:sz w:val="28"/>
          <w:szCs w:val="28"/>
        </w:rPr>
        <w:t>1</w:t>
      </w:r>
      <w:r>
        <w:rPr>
          <w:rFonts w:hint="eastAsia" w:ascii="宋体" w:hAnsi="宋体"/>
          <w:color w:val="000000"/>
          <w:sz w:val="28"/>
          <w:szCs w:val="28"/>
        </w:rPr>
        <w:t>日至2025年3月31日）公司在年度预计担保金额内为兖矿瑞丰提供担保金额为人民币0.5亿元；截至2025年3月31日，公司为兖矿瑞丰提供的担保余额为人民币6.2亿元；截至2025年3月31日，兖煤澳洲下属子公司为兖矿能源澳洲附属公司提供担保余额为10.04亿澳元。</w:t>
      </w:r>
    </w:p>
    <w:p>
      <w:pPr>
        <w:numPr>
          <w:ilvl w:val="0"/>
          <w:numId w:val="1"/>
        </w:numPr>
        <w:adjustRightInd w:val="0"/>
        <w:snapToGrid w:val="0"/>
        <w:spacing w:line="520" w:lineRule="exact"/>
        <w:ind w:left="567" w:firstLine="0"/>
        <w:rPr>
          <w:rFonts w:hint="eastAsia" w:ascii="宋体" w:hAnsi="宋体"/>
          <w:b/>
          <w:color w:val="000000"/>
          <w:sz w:val="28"/>
          <w:szCs w:val="28"/>
        </w:rPr>
      </w:pPr>
      <w:r>
        <w:rPr>
          <w:rFonts w:hint="eastAsia" w:ascii="宋体" w:hAnsi="宋体"/>
          <w:b/>
          <w:color w:val="000000"/>
          <w:sz w:val="28"/>
          <w:szCs w:val="28"/>
        </w:rPr>
        <w:t>本次担保是否有反担保：</w:t>
      </w:r>
      <w:r>
        <w:rPr>
          <w:rFonts w:hint="eastAsia" w:ascii="宋体" w:hAnsi="宋体"/>
          <w:color w:val="000000"/>
          <w:sz w:val="28"/>
          <w:szCs w:val="28"/>
        </w:rPr>
        <w:t>否</w:t>
      </w:r>
    </w:p>
    <w:p>
      <w:pPr>
        <w:numPr>
          <w:ilvl w:val="0"/>
          <w:numId w:val="1"/>
        </w:numPr>
        <w:adjustRightInd w:val="0"/>
        <w:snapToGrid w:val="0"/>
        <w:spacing w:line="520" w:lineRule="exact"/>
        <w:ind w:left="567" w:firstLine="0"/>
        <w:rPr>
          <w:rFonts w:hint="eastAsia" w:ascii="宋体" w:hAnsi="宋体"/>
          <w:b/>
          <w:color w:val="000000"/>
          <w:sz w:val="28"/>
          <w:szCs w:val="28"/>
        </w:rPr>
      </w:pPr>
      <w:r>
        <w:rPr>
          <w:rFonts w:hint="eastAsia" w:ascii="宋体" w:hAnsi="宋体"/>
          <w:b/>
          <w:color w:val="000000"/>
          <w:sz w:val="28"/>
          <w:szCs w:val="28"/>
        </w:rPr>
        <w:t>公司无逾期对外担保</w:t>
      </w:r>
    </w:p>
    <w:p>
      <w:pPr>
        <w:pStyle w:val="31"/>
        <w:numPr>
          <w:ilvl w:val="0"/>
          <w:numId w:val="1"/>
        </w:numPr>
        <w:spacing w:line="520" w:lineRule="exact"/>
        <w:ind w:firstLineChars="0"/>
        <w:rPr>
          <w:rFonts w:hint="eastAsia" w:ascii="宋体" w:hAnsi="宋体"/>
          <w:bCs/>
          <w:color w:val="000000"/>
          <w:sz w:val="28"/>
          <w:szCs w:val="28"/>
        </w:rPr>
      </w:pPr>
      <w:r>
        <w:rPr>
          <w:rFonts w:hint="eastAsia" w:ascii="宋体" w:hAnsi="宋体"/>
          <w:b/>
          <w:color w:val="000000"/>
          <w:sz w:val="28"/>
          <w:szCs w:val="28"/>
        </w:rPr>
        <w:t>特别风险提示：</w:t>
      </w:r>
      <w:r>
        <w:rPr>
          <w:rFonts w:hint="eastAsia" w:ascii="宋体" w:hAnsi="宋体"/>
          <w:bCs/>
          <w:color w:val="000000"/>
          <w:sz w:val="28"/>
          <w:szCs w:val="28"/>
        </w:rPr>
        <w:t>被担保对象资产负债率超过70%，敬请广大投资者注意相关风险。担保对象为公司</w:t>
      </w:r>
      <w:r>
        <w:rPr>
          <w:rFonts w:hint="eastAsia" w:ascii="宋体" w:hAnsi="宋体"/>
          <w:bCs/>
          <w:color w:val="000000"/>
          <w:sz w:val="28"/>
          <w:szCs w:val="28"/>
          <w:lang w:val="en-US" w:eastAsia="zh-CN"/>
        </w:rPr>
        <w:t>控股</w:t>
      </w:r>
      <w:r>
        <w:rPr>
          <w:rFonts w:hint="eastAsia" w:ascii="宋体" w:hAnsi="宋体"/>
          <w:bCs/>
          <w:color w:val="000000"/>
          <w:sz w:val="28"/>
          <w:szCs w:val="28"/>
        </w:rPr>
        <w:t>子公司，担保风险可控。</w:t>
      </w:r>
    </w:p>
    <w:p>
      <w:pPr>
        <w:adjustRightInd w:val="0"/>
        <w:snapToGrid w:val="0"/>
        <w:spacing w:line="520" w:lineRule="exact"/>
        <w:ind w:firstLine="539"/>
        <w:rPr>
          <w:rFonts w:hint="eastAsia" w:ascii="宋体" w:hAnsi="宋体"/>
          <w:color w:val="000000"/>
          <w:sz w:val="28"/>
          <w:szCs w:val="28"/>
        </w:rPr>
      </w:pPr>
    </w:p>
    <w:p>
      <w:pPr>
        <w:adjustRightInd w:val="0"/>
        <w:snapToGrid w:val="0"/>
        <w:spacing w:line="520" w:lineRule="exact"/>
        <w:ind w:firstLine="539"/>
        <w:rPr>
          <w:rFonts w:hint="eastAsia" w:ascii="宋体" w:hAnsi="宋体"/>
          <w:b/>
          <w:color w:val="000000"/>
          <w:sz w:val="28"/>
          <w:szCs w:val="28"/>
        </w:rPr>
      </w:pPr>
      <w:r>
        <w:rPr>
          <w:rFonts w:hint="eastAsia" w:ascii="宋体" w:hAnsi="宋体"/>
          <w:b/>
          <w:color w:val="000000"/>
          <w:sz w:val="28"/>
          <w:szCs w:val="28"/>
        </w:rPr>
        <w:t>一、本次担保情况概述</w:t>
      </w:r>
    </w:p>
    <w:p>
      <w:pPr>
        <w:adjustRightInd w:val="0"/>
        <w:snapToGrid w:val="0"/>
        <w:spacing w:line="520" w:lineRule="exact"/>
        <w:ind w:firstLine="539"/>
        <w:rPr>
          <w:rFonts w:hint="eastAsia" w:ascii="宋体" w:hAnsi="宋体"/>
          <w:b/>
          <w:color w:val="000000"/>
          <w:sz w:val="28"/>
          <w:szCs w:val="28"/>
        </w:rPr>
      </w:pPr>
      <w:r>
        <w:rPr>
          <w:rFonts w:hint="eastAsia" w:ascii="宋体" w:hAnsi="宋体"/>
          <w:b/>
          <w:color w:val="000000"/>
          <w:sz w:val="28"/>
          <w:szCs w:val="28"/>
        </w:rPr>
        <w:t>（一）本次担保的基本情况</w:t>
      </w:r>
    </w:p>
    <w:p>
      <w:pPr>
        <w:adjustRightInd w:val="0"/>
        <w:snapToGrid w:val="0"/>
        <w:spacing w:line="520" w:lineRule="exact"/>
        <w:ind w:firstLine="539"/>
        <w:rPr>
          <w:rFonts w:hint="eastAsia" w:ascii="宋体" w:hAnsi="宋体"/>
          <w:color w:val="000000"/>
          <w:sz w:val="28"/>
          <w:szCs w:val="28"/>
        </w:rPr>
      </w:pPr>
      <w:r>
        <w:rPr>
          <w:rFonts w:hint="eastAsia" w:ascii="宋体" w:hAnsi="宋体"/>
          <w:color w:val="000000"/>
          <w:sz w:val="28"/>
          <w:szCs w:val="28"/>
        </w:rPr>
        <w:t>自2025年3月1日至2025年3月31日，公司在年度预计担保金额内为兖矿瑞丰提供人民币0.5亿元融资担保；截至2025年3月31日，公司已实际为兖矿瑞丰提供的担保余额为人民币6.2亿元。</w:t>
      </w:r>
    </w:p>
    <w:p>
      <w:pPr>
        <w:adjustRightInd w:val="0"/>
        <w:snapToGrid w:val="0"/>
        <w:spacing w:line="520" w:lineRule="exact"/>
        <w:ind w:firstLine="539"/>
        <w:rPr>
          <w:rFonts w:hint="eastAsia" w:ascii="宋体" w:hAnsi="宋体"/>
          <w:color w:val="000000"/>
          <w:sz w:val="28"/>
          <w:szCs w:val="28"/>
        </w:rPr>
      </w:pPr>
      <w:r>
        <w:rPr>
          <w:rFonts w:hint="eastAsia" w:ascii="宋体" w:hAnsi="宋体"/>
          <w:color w:val="000000"/>
          <w:sz w:val="28"/>
          <w:szCs w:val="28"/>
        </w:rPr>
        <w:t>截至2025年3月31日，兖煤澳洲下属子公司以银行保函和保险保函形式为兖矿能源澳洲附属公司提供担保余额为10.04亿澳元，</w:t>
      </w:r>
      <w:bookmarkStart w:id="1" w:name="_Hlk127454364"/>
      <w:r>
        <w:rPr>
          <w:rFonts w:hint="eastAsia" w:ascii="宋体" w:hAnsi="宋体"/>
          <w:color w:val="000000"/>
          <w:sz w:val="28"/>
          <w:szCs w:val="28"/>
        </w:rPr>
        <w:t>前述担保余额合计为10.04亿澳元</w:t>
      </w:r>
      <w:bookmarkEnd w:id="1"/>
      <w:r>
        <w:rPr>
          <w:rFonts w:hint="eastAsia" w:ascii="宋体" w:hAnsi="宋体"/>
          <w:color w:val="000000"/>
          <w:sz w:val="28"/>
          <w:szCs w:val="28"/>
        </w:rPr>
        <w:t>。</w:t>
      </w:r>
    </w:p>
    <w:p>
      <w:pPr>
        <w:adjustRightInd w:val="0"/>
        <w:snapToGrid w:val="0"/>
        <w:spacing w:line="520" w:lineRule="exact"/>
        <w:ind w:firstLine="539"/>
        <w:rPr>
          <w:rFonts w:hint="eastAsia" w:ascii="宋体" w:hAnsi="宋体"/>
          <w:b/>
          <w:color w:val="000000"/>
          <w:sz w:val="28"/>
          <w:szCs w:val="28"/>
        </w:rPr>
      </w:pPr>
      <w:r>
        <w:rPr>
          <w:rFonts w:hint="eastAsia" w:ascii="宋体" w:hAnsi="宋体"/>
          <w:b/>
          <w:color w:val="000000"/>
          <w:sz w:val="28"/>
          <w:szCs w:val="28"/>
        </w:rPr>
        <w:t>（二）担保事项履行的内部决策程序</w:t>
      </w:r>
    </w:p>
    <w:p>
      <w:pPr>
        <w:adjustRightInd w:val="0"/>
        <w:snapToGrid w:val="0"/>
        <w:spacing w:line="520" w:lineRule="exact"/>
        <w:ind w:firstLine="539"/>
        <w:rPr>
          <w:rFonts w:hint="eastAsia" w:ascii="宋体" w:hAnsi="宋体"/>
          <w:color w:val="000000"/>
          <w:sz w:val="28"/>
          <w:szCs w:val="28"/>
        </w:rPr>
      </w:pPr>
      <w:r>
        <w:rPr>
          <w:rFonts w:hint="eastAsia" w:ascii="宋体" w:hAnsi="宋体"/>
          <w:color w:val="000000"/>
          <w:sz w:val="28"/>
          <w:szCs w:val="28"/>
        </w:rPr>
        <w:t>公司于20</w:t>
      </w:r>
      <w:r>
        <w:rPr>
          <w:rFonts w:ascii="宋体" w:hAnsi="宋体"/>
          <w:color w:val="000000"/>
          <w:sz w:val="28"/>
          <w:szCs w:val="28"/>
        </w:rPr>
        <w:t>24</w:t>
      </w:r>
      <w:r>
        <w:rPr>
          <w:rFonts w:hint="eastAsia" w:ascii="宋体" w:hAnsi="宋体"/>
          <w:color w:val="000000"/>
          <w:sz w:val="28"/>
          <w:szCs w:val="28"/>
        </w:rPr>
        <w:t>年3月2</w:t>
      </w:r>
      <w:r>
        <w:rPr>
          <w:rFonts w:ascii="宋体" w:hAnsi="宋体"/>
          <w:color w:val="000000"/>
          <w:sz w:val="28"/>
          <w:szCs w:val="28"/>
        </w:rPr>
        <w:t>8</w:t>
      </w:r>
      <w:r>
        <w:rPr>
          <w:rFonts w:hint="eastAsia" w:ascii="宋体" w:hAnsi="宋体"/>
          <w:color w:val="000000"/>
          <w:sz w:val="28"/>
          <w:szCs w:val="28"/>
        </w:rPr>
        <w:t>日召开的第九届董事会第六次会议、于20</w:t>
      </w:r>
      <w:r>
        <w:rPr>
          <w:rFonts w:ascii="宋体" w:hAnsi="宋体"/>
          <w:color w:val="000000"/>
          <w:sz w:val="28"/>
          <w:szCs w:val="28"/>
        </w:rPr>
        <w:t>24</w:t>
      </w:r>
      <w:r>
        <w:rPr>
          <w:rFonts w:hint="eastAsia" w:ascii="宋体" w:hAnsi="宋体"/>
          <w:color w:val="000000"/>
          <w:sz w:val="28"/>
          <w:szCs w:val="28"/>
        </w:rPr>
        <w:t>年</w:t>
      </w:r>
      <w:r>
        <w:rPr>
          <w:rFonts w:ascii="宋体" w:hAnsi="宋体"/>
          <w:color w:val="000000"/>
          <w:sz w:val="28"/>
          <w:szCs w:val="28"/>
        </w:rPr>
        <w:t>6</w:t>
      </w:r>
      <w:r>
        <w:rPr>
          <w:rFonts w:hint="eastAsia" w:ascii="宋体" w:hAnsi="宋体"/>
          <w:color w:val="000000"/>
          <w:sz w:val="28"/>
          <w:szCs w:val="28"/>
        </w:rPr>
        <w:t>月</w:t>
      </w:r>
      <w:r>
        <w:rPr>
          <w:rFonts w:ascii="宋体" w:hAnsi="宋体"/>
          <w:color w:val="000000"/>
          <w:sz w:val="28"/>
          <w:szCs w:val="28"/>
        </w:rPr>
        <w:t>21</w:t>
      </w:r>
      <w:r>
        <w:rPr>
          <w:rFonts w:hint="eastAsia" w:ascii="宋体" w:hAnsi="宋体"/>
          <w:color w:val="000000"/>
          <w:sz w:val="28"/>
          <w:szCs w:val="28"/>
        </w:rPr>
        <w:t>日召开的2</w:t>
      </w:r>
      <w:r>
        <w:rPr>
          <w:rFonts w:ascii="宋体" w:hAnsi="宋体"/>
          <w:color w:val="000000"/>
          <w:sz w:val="28"/>
          <w:szCs w:val="28"/>
        </w:rPr>
        <w:t>023</w:t>
      </w:r>
      <w:r>
        <w:rPr>
          <w:rFonts w:hint="eastAsia" w:ascii="宋体" w:hAnsi="宋体"/>
          <w:color w:val="000000"/>
          <w:sz w:val="28"/>
          <w:szCs w:val="28"/>
        </w:rPr>
        <w:t>年度股东周年大会审议通过了《关于向子公司提供融资担保和授权兖煤澳洲及其子公司向兖矿能源澳洲附属公司提供日常经营担保的议案》，批准公司及控股公司向控股公司及参股公司提供不超过等值</w:t>
      </w:r>
      <w:r>
        <w:rPr>
          <w:rFonts w:ascii="宋体" w:hAnsi="宋体"/>
          <w:color w:val="000000"/>
          <w:sz w:val="28"/>
          <w:szCs w:val="28"/>
        </w:rPr>
        <w:t>5</w:t>
      </w:r>
      <w:r>
        <w:rPr>
          <w:rFonts w:hint="eastAsia" w:ascii="宋体" w:hAnsi="宋体"/>
          <w:color w:val="000000"/>
          <w:sz w:val="28"/>
          <w:szCs w:val="28"/>
        </w:rPr>
        <w:t>0亿美元的融资担保；批准兖煤澳洲及其子公司向兖矿能源澳洲附属公司提供不超过15亿澳元的日常经营担保。</w:t>
      </w:r>
    </w:p>
    <w:p>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hint="eastAsia" w:ascii="宋体" w:hAnsi="宋体"/>
          <w:color w:val="000000"/>
          <w:sz w:val="28"/>
          <w:szCs w:val="28"/>
        </w:rPr>
      </w:pPr>
      <w:r>
        <w:rPr>
          <w:rFonts w:hint="eastAsia" w:ascii="宋体" w:hAnsi="宋体"/>
          <w:color w:val="000000"/>
          <w:sz w:val="28"/>
          <w:szCs w:val="28"/>
        </w:rPr>
        <w:t>本次担保事项及金额均在公司已履行审批程序的担保额度以内，无需履行其他审批程序。</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有关详情请见公司日期为2024年3月28日的公司第九届董事会第六次会议决议公告、关于向子公司提供融资担保和授权兖煤澳洲及其子公司向兖矿能源澳洲附属公司提供日常经营担保的公告，日期为2024年6月21日的公司2023年度股东周年大会决议公告。该等资料刊载于上海证券交易所网站、香港联合交易所有限公司网站、公司网站及/或《中国证券报》《上海证券报》《证券时报》《证券日报》。</w:t>
      </w:r>
    </w:p>
    <w:p>
      <w:pPr>
        <w:adjustRightInd w:val="0"/>
        <w:snapToGrid w:val="0"/>
        <w:spacing w:line="520" w:lineRule="exact"/>
        <w:ind w:firstLine="539"/>
        <w:rPr>
          <w:rFonts w:hint="eastAsia" w:ascii="宋体" w:hAnsi="宋体"/>
          <w:b/>
          <w:color w:val="000000"/>
          <w:sz w:val="28"/>
          <w:szCs w:val="28"/>
        </w:rPr>
      </w:pPr>
      <w:r>
        <w:rPr>
          <w:rFonts w:hint="eastAsia" w:ascii="宋体" w:hAnsi="宋体"/>
          <w:b/>
          <w:color w:val="000000"/>
          <w:sz w:val="28"/>
          <w:szCs w:val="28"/>
        </w:rPr>
        <w:t>二、被担保人基本情况</w:t>
      </w:r>
    </w:p>
    <w:p>
      <w:pPr>
        <w:adjustRightInd w:val="0"/>
        <w:snapToGrid w:val="0"/>
        <w:spacing w:line="520" w:lineRule="exact"/>
        <w:ind w:firstLine="539"/>
        <w:rPr>
          <w:rFonts w:hint="eastAsia" w:ascii="宋体" w:hAnsi="宋体" w:eastAsia="宋体"/>
          <w:b/>
          <w:color w:val="000000"/>
          <w:sz w:val="28"/>
          <w:szCs w:val="28"/>
          <w:lang w:val="en-US" w:eastAsia="zh-CN"/>
        </w:rPr>
      </w:pPr>
      <w:r>
        <w:rPr>
          <w:rFonts w:hint="eastAsia" w:ascii="宋体" w:hAnsi="宋体"/>
          <w:b/>
          <w:color w:val="000000"/>
          <w:sz w:val="28"/>
          <w:szCs w:val="28"/>
        </w:rPr>
        <w:t>（一）</w:t>
      </w:r>
      <w:r>
        <w:rPr>
          <w:rFonts w:hint="eastAsia" w:ascii="宋体" w:hAnsi="宋体"/>
          <w:color w:val="000000"/>
          <w:sz w:val="28"/>
          <w:szCs w:val="28"/>
        </w:rPr>
        <w:t>兖矿瑞丰</w:t>
      </w:r>
      <w:r>
        <w:rPr>
          <w:rFonts w:hint="eastAsia" w:ascii="宋体" w:hAnsi="宋体"/>
          <w:color w:val="000000"/>
          <w:sz w:val="28"/>
          <w:szCs w:val="28"/>
          <w:lang w:val="en-US" w:eastAsia="zh-CN"/>
        </w:rPr>
        <w:t>基本情况</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hAnsi="宋体"/>
          <w:color w:val="000000"/>
          <w:sz w:val="28"/>
          <w:szCs w:val="28"/>
          <w:highlight w:val="none"/>
        </w:rPr>
      </w:pPr>
      <w:r>
        <w:rPr>
          <w:rFonts w:hint="eastAsia" w:ascii="宋体" w:hAnsi="宋体"/>
          <w:color w:val="000000"/>
          <w:sz w:val="28"/>
          <w:szCs w:val="28"/>
          <w:highlight w:val="none"/>
        </w:rPr>
        <w:t>兖矿瑞丰于</w:t>
      </w:r>
      <w:r>
        <w:rPr>
          <w:rFonts w:ascii="宋体" w:hAnsi="宋体"/>
          <w:color w:val="000000"/>
          <w:sz w:val="28"/>
          <w:szCs w:val="28"/>
          <w:highlight w:val="none"/>
        </w:rPr>
        <w:t>2015</w:t>
      </w:r>
      <w:r>
        <w:rPr>
          <w:rFonts w:hint="eastAsia" w:ascii="宋体" w:hAnsi="宋体"/>
          <w:color w:val="000000"/>
          <w:sz w:val="28"/>
          <w:szCs w:val="28"/>
          <w:highlight w:val="none"/>
        </w:rPr>
        <w:t>年</w:t>
      </w:r>
      <w:r>
        <w:rPr>
          <w:rFonts w:ascii="宋体" w:hAnsi="宋体"/>
          <w:color w:val="000000"/>
          <w:sz w:val="28"/>
          <w:szCs w:val="28"/>
          <w:highlight w:val="none"/>
        </w:rPr>
        <w:t>11</w:t>
      </w:r>
      <w:r>
        <w:rPr>
          <w:rFonts w:hint="eastAsia" w:ascii="宋体" w:hAnsi="宋体"/>
          <w:color w:val="000000"/>
          <w:sz w:val="28"/>
          <w:szCs w:val="28"/>
          <w:highlight w:val="none"/>
        </w:rPr>
        <w:t>月在青岛市注册成立，统一社会信用代码</w:t>
      </w:r>
      <w:r>
        <w:rPr>
          <w:rFonts w:ascii="宋体" w:hAnsi="宋体"/>
          <w:color w:val="000000"/>
          <w:sz w:val="28"/>
          <w:szCs w:val="28"/>
          <w:highlight w:val="none"/>
        </w:rPr>
        <w:t>91370220MA3C0K0918</w:t>
      </w:r>
      <w:r>
        <w:rPr>
          <w:rFonts w:hint="eastAsia" w:ascii="宋体" w:hAnsi="宋体"/>
          <w:color w:val="000000"/>
          <w:sz w:val="28"/>
          <w:szCs w:val="28"/>
          <w:highlight w:val="none"/>
        </w:rPr>
        <w:t>，法定代表人任义飞，注册资本金人民币</w:t>
      </w:r>
      <w:r>
        <w:rPr>
          <w:rFonts w:ascii="宋体" w:hAnsi="宋体"/>
          <w:color w:val="000000"/>
          <w:sz w:val="28"/>
          <w:szCs w:val="28"/>
          <w:highlight w:val="none"/>
        </w:rPr>
        <w:t>2</w:t>
      </w:r>
      <w:r>
        <w:rPr>
          <w:rFonts w:hint="eastAsia" w:ascii="宋体" w:hAnsi="宋体"/>
          <w:color w:val="000000"/>
          <w:sz w:val="28"/>
          <w:szCs w:val="28"/>
          <w:highlight w:val="none"/>
        </w:rPr>
        <w:t>亿元，主要从事铁矿石、煤炭、钢材、机械设备、化工产品（不含危险品）、焦炭的国际贸易等业务，为兖矿能源控股子公司，其股权结构如下：</w:t>
      </w:r>
    </w:p>
    <w:tbl>
      <w:tblPr>
        <w:tblStyle w:val="15"/>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3288"/>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b/>
                <w:bCs/>
                <w:color w:val="000000"/>
                <w:szCs w:val="21"/>
                <w:highlight w:val="none"/>
              </w:rPr>
            </w:pPr>
            <w:r>
              <w:rPr>
                <w:rFonts w:hint="eastAsia" w:ascii="宋体" w:hAnsi="宋体"/>
                <w:b/>
                <w:bCs/>
                <w:color w:val="000000"/>
                <w:szCs w:val="21"/>
                <w:highlight w:val="none"/>
              </w:rPr>
              <w:t>序号</w:t>
            </w:r>
          </w:p>
        </w:tc>
        <w:tc>
          <w:tcPr>
            <w:tcW w:w="3288"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b/>
                <w:bCs/>
                <w:color w:val="000000"/>
                <w:szCs w:val="21"/>
                <w:highlight w:val="none"/>
              </w:rPr>
            </w:pPr>
            <w:r>
              <w:rPr>
                <w:rFonts w:hint="eastAsia" w:ascii="宋体" w:hAnsi="宋体"/>
                <w:b/>
                <w:bCs/>
                <w:color w:val="000000"/>
                <w:szCs w:val="21"/>
                <w:highlight w:val="none"/>
              </w:rPr>
              <w:t>名称</w:t>
            </w:r>
          </w:p>
        </w:tc>
        <w:tc>
          <w:tcPr>
            <w:tcW w:w="2265"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b/>
                <w:bCs/>
                <w:color w:val="000000"/>
                <w:szCs w:val="21"/>
                <w:highlight w:val="none"/>
              </w:rPr>
            </w:pPr>
            <w:r>
              <w:rPr>
                <w:rFonts w:hint="eastAsia" w:ascii="宋体" w:hAnsi="宋体"/>
                <w:b/>
                <w:bCs/>
                <w:color w:val="000000"/>
                <w:szCs w:val="21"/>
                <w:highlight w:val="none"/>
              </w:rPr>
              <w:t>出资额（亿元）</w:t>
            </w:r>
          </w:p>
        </w:tc>
        <w:tc>
          <w:tcPr>
            <w:tcW w:w="2265"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b/>
                <w:bCs/>
                <w:color w:val="000000"/>
                <w:szCs w:val="21"/>
                <w:highlight w:val="none"/>
              </w:rPr>
            </w:pPr>
            <w:r>
              <w:rPr>
                <w:rFonts w:hint="eastAsia" w:ascii="宋体" w:hAnsi="宋体"/>
                <w:b/>
                <w:bCs/>
                <w:color w:val="000000"/>
                <w:szCs w:val="21"/>
                <w:highlight w:val="none"/>
              </w:rPr>
              <w:t>持股比例（</w:t>
            </w:r>
            <w:r>
              <w:rPr>
                <w:rFonts w:ascii="宋体" w:hAnsi="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color w:val="000000"/>
                <w:szCs w:val="21"/>
                <w:highlight w:val="none"/>
              </w:rPr>
            </w:pPr>
            <w:r>
              <w:rPr>
                <w:rFonts w:ascii="宋体" w:hAnsi="宋体"/>
                <w:color w:val="000000"/>
                <w:szCs w:val="21"/>
                <w:highlight w:val="none"/>
              </w:rPr>
              <w:t>1</w:t>
            </w:r>
          </w:p>
        </w:tc>
        <w:tc>
          <w:tcPr>
            <w:tcW w:w="3288"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color w:val="000000"/>
                <w:szCs w:val="21"/>
                <w:highlight w:val="none"/>
              </w:rPr>
            </w:pPr>
            <w:r>
              <w:rPr>
                <w:rFonts w:hint="eastAsia" w:ascii="宋体" w:hAnsi="宋体"/>
                <w:color w:val="000000"/>
                <w:szCs w:val="21"/>
                <w:highlight w:val="none"/>
              </w:rPr>
              <w:t>兖矿能源</w:t>
            </w:r>
          </w:p>
        </w:tc>
        <w:tc>
          <w:tcPr>
            <w:tcW w:w="2265"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color w:val="000000"/>
                <w:szCs w:val="21"/>
                <w:highlight w:val="none"/>
              </w:rPr>
            </w:pPr>
            <w:r>
              <w:rPr>
                <w:rFonts w:ascii="宋体" w:hAnsi="宋体"/>
                <w:color w:val="000000"/>
                <w:szCs w:val="21"/>
                <w:highlight w:val="none"/>
              </w:rPr>
              <w:t>1.02</w:t>
            </w:r>
          </w:p>
        </w:tc>
        <w:tc>
          <w:tcPr>
            <w:tcW w:w="2265"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color w:val="000000"/>
                <w:szCs w:val="21"/>
                <w:highlight w:val="none"/>
              </w:rPr>
            </w:pPr>
            <w:r>
              <w:rPr>
                <w:rFonts w:ascii="宋体" w:hAnsi="宋体"/>
                <w:color w:val="000000"/>
                <w:szCs w:val="21"/>
                <w:highlight w:val="none"/>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color w:val="000000"/>
                <w:szCs w:val="21"/>
                <w:highlight w:val="none"/>
              </w:rPr>
            </w:pPr>
            <w:r>
              <w:rPr>
                <w:rFonts w:ascii="宋体" w:hAnsi="宋体"/>
                <w:color w:val="000000"/>
                <w:szCs w:val="21"/>
                <w:highlight w:val="none"/>
              </w:rPr>
              <w:t>2</w:t>
            </w:r>
          </w:p>
        </w:tc>
        <w:tc>
          <w:tcPr>
            <w:tcW w:w="328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ascii="宋体" w:hAnsi="宋体"/>
                <w:color w:val="000000"/>
                <w:szCs w:val="21"/>
                <w:highlight w:val="none"/>
              </w:rPr>
            </w:pPr>
            <w:r>
              <w:rPr>
                <w:rFonts w:hint="eastAsia" w:ascii="宋体" w:hAnsi="宋体"/>
                <w:color w:val="000000"/>
                <w:szCs w:val="21"/>
                <w:highlight w:val="none"/>
              </w:rPr>
              <w:t>青岛世纪瑞丰集团有限公司</w:t>
            </w:r>
          </w:p>
        </w:tc>
        <w:tc>
          <w:tcPr>
            <w:tcW w:w="2265"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color w:val="000000"/>
                <w:szCs w:val="21"/>
                <w:highlight w:val="none"/>
              </w:rPr>
            </w:pPr>
            <w:r>
              <w:rPr>
                <w:rFonts w:ascii="宋体" w:hAnsi="宋体"/>
                <w:color w:val="000000"/>
                <w:szCs w:val="21"/>
                <w:highlight w:val="none"/>
              </w:rPr>
              <w:t>0.98</w:t>
            </w:r>
          </w:p>
        </w:tc>
        <w:tc>
          <w:tcPr>
            <w:tcW w:w="2265"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color w:val="000000"/>
                <w:szCs w:val="21"/>
                <w:highlight w:val="none"/>
              </w:rPr>
            </w:pPr>
            <w:r>
              <w:rPr>
                <w:rFonts w:ascii="宋体" w:hAnsi="宋体"/>
                <w:color w:val="000000"/>
                <w:szCs w:val="21"/>
                <w:highlight w:val="none"/>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color w:val="000000"/>
                <w:szCs w:val="21"/>
                <w:highlight w:val="none"/>
              </w:rPr>
            </w:pPr>
            <w:r>
              <w:rPr>
                <w:rFonts w:hint="eastAsia" w:ascii="宋体" w:hAnsi="宋体"/>
                <w:color w:val="000000"/>
                <w:szCs w:val="21"/>
                <w:highlight w:val="none"/>
              </w:rPr>
              <w:t>合计</w:t>
            </w:r>
          </w:p>
        </w:tc>
        <w:tc>
          <w:tcPr>
            <w:tcW w:w="3288"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color w:val="000000"/>
                <w:szCs w:val="21"/>
                <w:highlight w:val="none"/>
              </w:rPr>
            </w:pPr>
            <w:r>
              <w:rPr>
                <w:rFonts w:hint="eastAsia" w:ascii="宋体" w:hAnsi="宋体"/>
                <w:color w:val="000000"/>
                <w:szCs w:val="21"/>
                <w:highlight w:val="none"/>
              </w:rPr>
              <w:t>—</w:t>
            </w:r>
          </w:p>
        </w:tc>
        <w:tc>
          <w:tcPr>
            <w:tcW w:w="2265"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color w:val="000000"/>
                <w:szCs w:val="21"/>
                <w:highlight w:val="none"/>
              </w:rPr>
            </w:pPr>
            <w:r>
              <w:rPr>
                <w:rFonts w:ascii="宋体" w:hAnsi="宋体"/>
                <w:color w:val="000000"/>
                <w:szCs w:val="21"/>
                <w:highlight w:val="none"/>
              </w:rPr>
              <w:t>2.00</w:t>
            </w:r>
          </w:p>
        </w:tc>
        <w:tc>
          <w:tcPr>
            <w:tcW w:w="2265"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color w:val="000000"/>
                <w:szCs w:val="21"/>
                <w:highlight w:val="none"/>
              </w:rPr>
            </w:pPr>
            <w:r>
              <w:rPr>
                <w:rFonts w:ascii="宋体" w:hAnsi="宋体"/>
                <w:color w:val="000000"/>
                <w:szCs w:val="21"/>
                <w:highlight w:val="none"/>
              </w:rPr>
              <w:t>100</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spacing w:val="-4"/>
          <w:szCs w:val="21"/>
        </w:rPr>
      </w:pPr>
      <w:r>
        <w:rPr>
          <w:rFonts w:hint="eastAsia" w:ascii="宋体" w:hAnsi="宋体"/>
          <w:color w:val="000000"/>
          <w:sz w:val="28"/>
          <w:szCs w:val="28"/>
        </w:rPr>
        <w:t>兖矿瑞丰，其</w:t>
      </w:r>
      <w:r>
        <w:rPr>
          <w:rFonts w:hint="eastAsia" w:ascii="宋体" w:hAnsi="宋体"/>
          <w:spacing w:val="-4"/>
          <w:sz w:val="28"/>
          <w:szCs w:val="28"/>
        </w:rPr>
        <w:t>主要财务指标如下（按中国会计准则编制）：</w:t>
      </w:r>
    </w:p>
    <w:p>
      <w:pPr>
        <w:keepNext w:val="0"/>
        <w:keepLines w:val="0"/>
        <w:pageBreakBefore w:val="0"/>
        <w:kinsoku/>
        <w:wordWrap/>
        <w:overflowPunct/>
        <w:topLinePunct w:val="0"/>
        <w:autoSpaceDE/>
        <w:autoSpaceDN/>
        <w:bidi w:val="0"/>
        <w:spacing w:line="500" w:lineRule="exact"/>
        <w:ind w:firstLine="6589" w:firstLineChars="3262"/>
        <w:rPr>
          <w:rFonts w:hint="eastAsia" w:ascii="宋体" w:hAnsi="宋体"/>
          <w:spacing w:val="-4"/>
          <w:szCs w:val="21"/>
        </w:rPr>
      </w:pPr>
      <w:r>
        <w:rPr>
          <w:rFonts w:hint="eastAsia" w:ascii="宋体" w:hAnsi="宋体"/>
          <w:spacing w:val="-4"/>
          <w:szCs w:val="21"/>
        </w:rPr>
        <w:t>币种</w:t>
      </w:r>
      <w:r>
        <w:rPr>
          <w:rFonts w:ascii="宋体" w:hAnsi="宋体"/>
          <w:spacing w:val="-4"/>
          <w:szCs w:val="21"/>
        </w:rPr>
        <w:t xml:space="preserve">:人民币  </w:t>
      </w:r>
      <w:r>
        <w:rPr>
          <w:rFonts w:hint="eastAsia" w:ascii="宋体" w:hAnsi="宋体"/>
          <w:spacing w:val="-4"/>
          <w:szCs w:val="21"/>
        </w:rPr>
        <w:t>单位：千元</w:t>
      </w:r>
    </w:p>
    <w:tbl>
      <w:tblPr>
        <w:tblStyle w:val="14"/>
        <w:tblW w:w="4726" w:type="pct"/>
        <w:jc w:val="center"/>
        <w:tblLayout w:type="autofit"/>
        <w:tblCellMar>
          <w:top w:w="0" w:type="dxa"/>
          <w:left w:w="108" w:type="dxa"/>
          <w:bottom w:w="0" w:type="dxa"/>
          <w:right w:w="108" w:type="dxa"/>
        </w:tblCellMar>
      </w:tblPr>
      <w:tblGrid>
        <w:gridCol w:w="2492"/>
        <w:gridCol w:w="3148"/>
        <w:gridCol w:w="3004"/>
      </w:tblGrid>
      <w:tr>
        <w:tblPrEx>
          <w:tblCellMar>
            <w:top w:w="0" w:type="dxa"/>
            <w:left w:w="108" w:type="dxa"/>
            <w:bottom w:w="0" w:type="dxa"/>
            <w:right w:w="108" w:type="dxa"/>
          </w:tblCellMar>
        </w:tblPrEx>
        <w:trPr>
          <w:trHeight w:val="562" w:hRule="atLeast"/>
          <w:jc w:val="center"/>
        </w:trPr>
        <w:tc>
          <w:tcPr>
            <w:tcW w:w="14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5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项目</w:t>
            </w:r>
          </w:p>
        </w:tc>
        <w:tc>
          <w:tcPr>
            <w:tcW w:w="1820"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500" w:lineRule="exact"/>
              <w:jc w:val="center"/>
              <w:rPr>
                <w:rFonts w:hint="eastAsia" w:cs="宋体" w:asciiTheme="minorEastAsia" w:hAnsiTheme="minorEastAsia" w:eastAsiaTheme="minorEastAsia"/>
                <w:szCs w:val="21"/>
              </w:rPr>
            </w:pPr>
            <w:r>
              <w:rPr>
                <w:rFonts w:cs="宋体" w:asciiTheme="minorEastAsia" w:hAnsiTheme="minorEastAsia" w:eastAsiaTheme="minorEastAsia"/>
                <w:szCs w:val="21"/>
              </w:rPr>
              <w:t>202</w:t>
            </w:r>
            <w:r>
              <w:rPr>
                <w:rFonts w:hint="eastAsia" w:cs="宋体" w:asciiTheme="minorEastAsia" w:hAnsiTheme="minorEastAsia" w:eastAsiaTheme="minorEastAsia"/>
                <w:szCs w:val="21"/>
              </w:rPr>
              <w:t>3</w:t>
            </w:r>
            <w:r>
              <w:rPr>
                <w:rFonts w:cs="宋体" w:asciiTheme="minorEastAsia" w:hAnsiTheme="minorEastAsia" w:eastAsiaTheme="minorEastAsia"/>
                <w:szCs w:val="21"/>
              </w:rPr>
              <w:t>年</w:t>
            </w:r>
            <w:r>
              <w:rPr>
                <w:rFonts w:hint="eastAsia" w:cs="宋体" w:asciiTheme="minorEastAsia" w:hAnsiTheme="minorEastAsia" w:eastAsiaTheme="minorEastAsia"/>
                <w:szCs w:val="21"/>
              </w:rPr>
              <w:t>12月</w:t>
            </w:r>
            <w:r>
              <w:rPr>
                <w:rFonts w:cs="宋体" w:asciiTheme="minorEastAsia" w:hAnsiTheme="minorEastAsia" w:eastAsiaTheme="minorEastAsia"/>
                <w:szCs w:val="21"/>
              </w:rPr>
              <w:t>3</w:t>
            </w:r>
            <w:r>
              <w:rPr>
                <w:rFonts w:hint="eastAsia" w:cs="宋体" w:asciiTheme="minorEastAsia" w:hAnsiTheme="minorEastAsia" w:eastAsiaTheme="minorEastAsia"/>
                <w:szCs w:val="21"/>
              </w:rPr>
              <w:t>1日</w:t>
            </w:r>
          </w:p>
        </w:tc>
        <w:tc>
          <w:tcPr>
            <w:tcW w:w="1737"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500" w:lineRule="exact"/>
              <w:ind w:left="-73" w:leftChars="-35"/>
              <w:jc w:val="center"/>
              <w:rPr>
                <w:rFonts w:hint="eastAsia" w:cs="宋体" w:asciiTheme="minorEastAsia" w:hAnsiTheme="minorEastAsia" w:eastAsiaTheme="minorEastAsia"/>
                <w:szCs w:val="21"/>
              </w:rPr>
            </w:pPr>
            <w:r>
              <w:rPr>
                <w:rFonts w:cs="宋体" w:asciiTheme="minorEastAsia" w:hAnsiTheme="minorEastAsia" w:eastAsiaTheme="minorEastAsia"/>
                <w:szCs w:val="21"/>
              </w:rPr>
              <w:t>202</w:t>
            </w:r>
            <w:r>
              <w:rPr>
                <w:rFonts w:hint="eastAsia" w:cs="宋体" w:asciiTheme="minorEastAsia" w:hAnsiTheme="minorEastAsia" w:eastAsiaTheme="minorEastAsia"/>
                <w:szCs w:val="21"/>
              </w:rPr>
              <w:t>4</w:t>
            </w:r>
            <w:r>
              <w:rPr>
                <w:rFonts w:cs="宋体" w:asciiTheme="minorEastAsia" w:hAnsiTheme="minorEastAsia" w:eastAsiaTheme="minorEastAsia"/>
                <w:szCs w:val="21"/>
              </w:rPr>
              <w:t>年</w:t>
            </w:r>
            <w:r>
              <w:rPr>
                <w:rFonts w:hint="eastAsia" w:cs="宋体" w:asciiTheme="minorEastAsia" w:hAnsiTheme="minorEastAsia" w:eastAsiaTheme="minorEastAsia"/>
                <w:szCs w:val="21"/>
              </w:rPr>
              <w:t>12月</w:t>
            </w:r>
            <w:r>
              <w:rPr>
                <w:rFonts w:cs="宋体" w:asciiTheme="minorEastAsia" w:hAnsiTheme="minorEastAsia" w:eastAsiaTheme="minorEastAsia"/>
                <w:szCs w:val="21"/>
              </w:rPr>
              <w:t>3</w:t>
            </w:r>
            <w:r>
              <w:rPr>
                <w:rFonts w:hint="eastAsia" w:cs="宋体" w:asciiTheme="minorEastAsia" w:hAnsiTheme="minorEastAsia" w:eastAsiaTheme="minorEastAsia"/>
                <w:szCs w:val="21"/>
              </w:rPr>
              <w:t>1日</w:t>
            </w:r>
          </w:p>
        </w:tc>
      </w:tr>
      <w:tr>
        <w:tblPrEx>
          <w:tblCellMar>
            <w:top w:w="0" w:type="dxa"/>
            <w:left w:w="108" w:type="dxa"/>
            <w:bottom w:w="0" w:type="dxa"/>
            <w:right w:w="108" w:type="dxa"/>
          </w:tblCellMar>
        </w:tblPrEx>
        <w:trPr>
          <w:trHeight w:val="510" w:hRule="atLeast"/>
          <w:jc w:val="center"/>
        </w:trPr>
        <w:tc>
          <w:tcPr>
            <w:tcW w:w="1441"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5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资产总额</w:t>
            </w:r>
          </w:p>
        </w:tc>
        <w:tc>
          <w:tcPr>
            <w:tcW w:w="182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7,582,040.77</w:t>
            </w:r>
          </w:p>
        </w:tc>
        <w:tc>
          <w:tcPr>
            <w:tcW w:w="1737"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4,978,220.38 </w:t>
            </w:r>
          </w:p>
        </w:tc>
      </w:tr>
      <w:tr>
        <w:tblPrEx>
          <w:tblCellMar>
            <w:top w:w="0" w:type="dxa"/>
            <w:left w:w="108" w:type="dxa"/>
            <w:bottom w:w="0" w:type="dxa"/>
            <w:right w:w="108" w:type="dxa"/>
          </w:tblCellMar>
        </w:tblPrEx>
        <w:trPr>
          <w:trHeight w:val="510" w:hRule="atLeast"/>
          <w:jc w:val="center"/>
        </w:trPr>
        <w:tc>
          <w:tcPr>
            <w:tcW w:w="144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负债总额</w:t>
            </w:r>
          </w:p>
        </w:tc>
        <w:tc>
          <w:tcPr>
            <w:tcW w:w="1820" w:type="pct"/>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7,156,523.79</w:t>
            </w:r>
          </w:p>
        </w:tc>
        <w:tc>
          <w:tcPr>
            <w:tcW w:w="1737" w:type="pct"/>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4,524,079.56</w:t>
            </w:r>
          </w:p>
        </w:tc>
      </w:tr>
      <w:tr>
        <w:tblPrEx>
          <w:tblCellMar>
            <w:top w:w="0" w:type="dxa"/>
            <w:left w:w="108" w:type="dxa"/>
            <w:bottom w:w="0" w:type="dxa"/>
            <w:right w:w="108" w:type="dxa"/>
          </w:tblCellMar>
        </w:tblPrEx>
        <w:trPr>
          <w:trHeight w:val="510" w:hRule="atLeast"/>
          <w:jc w:val="center"/>
        </w:trPr>
        <w:tc>
          <w:tcPr>
            <w:tcW w:w="144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净资产</w:t>
            </w:r>
          </w:p>
        </w:tc>
        <w:tc>
          <w:tcPr>
            <w:tcW w:w="1820" w:type="pct"/>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425,516.98</w:t>
            </w:r>
          </w:p>
        </w:tc>
        <w:tc>
          <w:tcPr>
            <w:tcW w:w="1737" w:type="pct"/>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454,140.83 </w:t>
            </w:r>
          </w:p>
        </w:tc>
      </w:tr>
      <w:tr>
        <w:tblPrEx>
          <w:tblCellMar>
            <w:top w:w="0" w:type="dxa"/>
            <w:left w:w="108" w:type="dxa"/>
            <w:bottom w:w="0" w:type="dxa"/>
            <w:right w:w="108" w:type="dxa"/>
          </w:tblCellMar>
        </w:tblPrEx>
        <w:trPr>
          <w:trHeight w:val="510" w:hRule="atLeast"/>
          <w:jc w:val="center"/>
        </w:trPr>
        <w:tc>
          <w:tcPr>
            <w:tcW w:w="144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项目</w:t>
            </w:r>
          </w:p>
        </w:tc>
        <w:tc>
          <w:tcPr>
            <w:tcW w:w="18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cs="宋体" w:asciiTheme="minorEastAsia" w:hAnsiTheme="minorEastAsia" w:eastAsiaTheme="minorEastAsia"/>
                <w:color w:val="000000"/>
                <w:szCs w:val="21"/>
              </w:rPr>
            </w:pPr>
            <w:r>
              <w:rPr>
                <w:rFonts w:cs="宋体" w:asciiTheme="minorEastAsia" w:hAnsiTheme="minorEastAsia" w:eastAsiaTheme="minorEastAsia"/>
                <w:szCs w:val="21"/>
              </w:rPr>
              <w:t>202</w:t>
            </w:r>
            <w:r>
              <w:rPr>
                <w:rFonts w:hint="eastAsia" w:cs="宋体" w:asciiTheme="minorEastAsia" w:hAnsiTheme="minorEastAsia" w:eastAsiaTheme="minorEastAsia"/>
                <w:szCs w:val="21"/>
              </w:rPr>
              <w:t>3</w:t>
            </w:r>
            <w:r>
              <w:rPr>
                <w:rFonts w:cs="宋体" w:asciiTheme="minorEastAsia" w:hAnsiTheme="minorEastAsia" w:eastAsiaTheme="minorEastAsia"/>
                <w:szCs w:val="21"/>
              </w:rPr>
              <w:t>年</w:t>
            </w:r>
            <w:r>
              <w:rPr>
                <w:rFonts w:hint="eastAsia" w:cs="宋体" w:asciiTheme="minorEastAsia" w:hAnsiTheme="minorEastAsia" w:eastAsiaTheme="minorEastAsia"/>
                <w:szCs w:val="21"/>
              </w:rPr>
              <w:t>度</w:t>
            </w:r>
          </w:p>
        </w:tc>
        <w:tc>
          <w:tcPr>
            <w:tcW w:w="17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cs="宋体" w:asciiTheme="minorEastAsia" w:hAnsiTheme="minorEastAsia" w:eastAsiaTheme="minorEastAsia"/>
                <w:color w:val="000000"/>
                <w:szCs w:val="21"/>
              </w:rPr>
            </w:pPr>
            <w:r>
              <w:rPr>
                <w:rFonts w:cs="宋体" w:asciiTheme="minorEastAsia" w:hAnsiTheme="minorEastAsia" w:eastAsiaTheme="minorEastAsia"/>
                <w:szCs w:val="21"/>
              </w:rPr>
              <w:t>202</w:t>
            </w:r>
            <w:r>
              <w:rPr>
                <w:rFonts w:hint="eastAsia" w:cs="宋体" w:asciiTheme="minorEastAsia" w:hAnsiTheme="minorEastAsia" w:eastAsiaTheme="minorEastAsia"/>
                <w:szCs w:val="21"/>
              </w:rPr>
              <w:t>4</w:t>
            </w:r>
            <w:r>
              <w:rPr>
                <w:rFonts w:cs="宋体" w:asciiTheme="minorEastAsia" w:hAnsiTheme="minorEastAsia" w:eastAsiaTheme="minorEastAsia"/>
                <w:szCs w:val="21"/>
              </w:rPr>
              <w:t>年</w:t>
            </w:r>
            <w:r>
              <w:rPr>
                <w:rFonts w:hint="eastAsia" w:cs="宋体" w:asciiTheme="minorEastAsia" w:hAnsiTheme="minorEastAsia" w:eastAsiaTheme="minorEastAsia"/>
                <w:szCs w:val="21"/>
              </w:rPr>
              <w:t>度</w:t>
            </w:r>
          </w:p>
        </w:tc>
      </w:tr>
      <w:tr>
        <w:tblPrEx>
          <w:tblCellMar>
            <w:top w:w="0" w:type="dxa"/>
            <w:left w:w="108" w:type="dxa"/>
            <w:bottom w:w="0" w:type="dxa"/>
            <w:right w:w="108" w:type="dxa"/>
          </w:tblCellMar>
        </w:tblPrEx>
        <w:trPr>
          <w:trHeight w:val="510" w:hRule="atLeast"/>
          <w:jc w:val="center"/>
        </w:trPr>
        <w:tc>
          <w:tcPr>
            <w:tcW w:w="144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营业收入</w:t>
            </w:r>
          </w:p>
        </w:tc>
        <w:tc>
          <w:tcPr>
            <w:tcW w:w="18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9,</w:t>
            </w:r>
            <w:r>
              <w:rPr>
                <w:rFonts w:hint="eastAsia" w:ascii="宋体" w:hAnsi="宋体" w:cs="宋体"/>
                <w:color w:val="000000"/>
                <w:kern w:val="0"/>
                <w:sz w:val="22"/>
                <w:szCs w:val="22"/>
                <w:lang w:bidi="ar"/>
              </w:rPr>
              <w:t>4</w:t>
            </w:r>
            <w:r>
              <w:rPr>
                <w:rFonts w:hint="eastAsia" w:ascii="宋体" w:hAnsi="宋体" w:cs="宋体"/>
                <w:color w:val="000000"/>
                <w:kern w:val="0"/>
                <w:sz w:val="22"/>
                <w:szCs w:val="22"/>
                <w:lang w:val="en-US" w:eastAsia="zh-CN" w:bidi="ar"/>
              </w:rPr>
              <w:t>97</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val="en-US" w:eastAsia="zh-CN" w:bidi="ar"/>
              </w:rPr>
              <w:t>749</w:t>
            </w:r>
            <w:r>
              <w:rPr>
                <w:rFonts w:hint="eastAsia" w:ascii="宋体" w:hAnsi="宋体" w:cs="宋体"/>
                <w:color w:val="000000"/>
                <w:kern w:val="0"/>
                <w:sz w:val="22"/>
                <w:szCs w:val="22"/>
                <w:lang w:bidi="ar"/>
              </w:rPr>
              <w:t>.</w:t>
            </w:r>
            <w:r>
              <w:rPr>
                <w:rFonts w:hint="eastAsia" w:ascii="宋体" w:hAnsi="宋体" w:cs="宋体"/>
                <w:color w:val="000000"/>
                <w:kern w:val="0"/>
                <w:sz w:val="22"/>
                <w:szCs w:val="22"/>
                <w:lang w:val="en-US" w:eastAsia="zh-CN" w:bidi="ar"/>
              </w:rPr>
              <w:t>93</w:t>
            </w:r>
          </w:p>
        </w:tc>
        <w:tc>
          <w:tcPr>
            <w:tcW w:w="17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5,858,986.87</w:t>
            </w:r>
          </w:p>
        </w:tc>
      </w:tr>
      <w:tr>
        <w:tblPrEx>
          <w:tblCellMar>
            <w:top w:w="0" w:type="dxa"/>
            <w:left w:w="108" w:type="dxa"/>
            <w:bottom w:w="0" w:type="dxa"/>
            <w:right w:w="108" w:type="dxa"/>
          </w:tblCellMar>
        </w:tblPrEx>
        <w:trPr>
          <w:trHeight w:val="510" w:hRule="atLeast"/>
          <w:jc w:val="center"/>
        </w:trPr>
        <w:tc>
          <w:tcPr>
            <w:tcW w:w="144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利润总额</w:t>
            </w:r>
          </w:p>
        </w:tc>
        <w:tc>
          <w:tcPr>
            <w:tcW w:w="1820" w:type="pct"/>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34,857.89</w:t>
            </w:r>
          </w:p>
        </w:tc>
        <w:tc>
          <w:tcPr>
            <w:tcW w:w="1737" w:type="pct"/>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36,375.77</w:t>
            </w:r>
          </w:p>
        </w:tc>
      </w:tr>
      <w:tr>
        <w:tblPrEx>
          <w:tblCellMar>
            <w:top w:w="0" w:type="dxa"/>
            <w:left w:w="108" w:type="dxa"/>
            <w:bottom w:w="0" w:type="dxa"/>
            <w:right w:w="108" w:type="dxa"/>
          </w:tblCellMar>
        </w:tblPrEx>
        <w:trPr>
          <w:trHeight w:val="510" w:hRule="atLeast"/>
          <w:jc w:val="center"/>
        </w:trPr>
        <w:tc>
          <w:tcPr>
            <w:tcW w:w="144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净利润</w:t>
            </w:r>
          </w:p>
        </w:tc>
        <w:tc>
          <w:tcPr>
            <w:tcW w:w="18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26,524.11 </w:t>
            </w:r>
          </w:p>
        </w:tc>
        <w:tc>
          <w:tcPr>
            <w:tcW w:w="17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27,973.54 </w:t>
            </w:r>
          </w:p>
        </w:tc>
      </w:tr>
    </w:tbl>
    <w:p>
      <w:pPr>
        <w:adjustRightInd w:val="0"/>
        <w:snapToGrid w:val="0"/>
        <w:spacing w:line="520" w:lineRule="exact"/>
        <w:rPr>
          <w:rFonts w:hint="default" w:ascii="宋体" w:hAnsi="宋体" w:eastAsia="宋体"/>
          <w:b/>
          <w:color w:val="000000"/>
          <w:sz w:val="28"/>
          <w:szCs w:val="28"/>
          <w:lang w:val="en-US" w:eastAsia="zh-CN"/>
        </w:rPr>
      </w:pPr>
    </w:p>
    <w:p>
      <w:pPr>
        <w:adjustRightInd w:val="0"/>
        <w:snapToGrid w:val="0"/>
        <w:spacing w:line="52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(二)担保协议主要内容</w:t>
      </w:r>
    </w:p>
    <w:tbl>
      <w:tblPr>
        <w:tblStyle w:val="15"/>
        <w:tblW w:w="0" w:type="auto"/>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09"/>
        <w:gridCol w:w="1376"/>
        <w:gridCol w:w="735"/>
        <w:gridCol w:w="795"/>
        <w:gridCol w:w="1914"/>
        <w:gridCol w:w="1229"/>
        <w:gridCol w:w="67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adjustRightInd w:val="0"/>
              <w:snapToGrid w:val="0"/>
              <w:spacing w:line="240" w:lineRule="atLeas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担保方</w:t>
            </w:r>
          </w:p>
        </w:tc>
        <w:tc>
          <w:tcPr>
            <w:tcW w:w="709" w:type="dxa"/>
            <w:vAlign w:val="center"/>
          </w:tcPr>
          <w:p>
            <w:pPr>
              <w:adjustRightInd w:val="0"/>
              <w:snapToGrid w:val="0"/>
              <w:spacing w:line="240" w:lineRule="atLeas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被担保方</w:t>
            </w:r>
          </w:p>
        </w:tc>
        <w:tc>
          <w:tcPr>
            <w:tcW w:w="1376" w:type="dxa"/>
            <w:vAlign w:val="center"/>
          </w:tcPr>
          <w:p>
            <w:pPr>
              <w:adjustRightInd w:val="0"/>
              <w:snapToGrid w:val="0"/>
              <w:spacing w:line="240" w:lineRule="atLeast"/>
              <w:rPr>
                <w:rFonts w:hint="eastAsia" w:asciiTheme="minorEastAsia" w:hAnsiTheme="minorEastAsia" w:eastAsiaTheme="minorEastAsia"/>
                <w:bCs/>
                <w:szCs w:val="21"/>
              </w:rPr>
            </w:pPr>
            <w:r>
              <w:rPr>
                <w:rFonts w:hint="eastAsia" w:asciiTheme="minorEastAsia" w:hAnsiTheme="minorEastAsia" w:eastAsiaTheme="minorEastAsia"/>
                <w:bCs/>
                <w:szCs w:val="21"/>
              </w:rPr>
              <w:t>债权人</w:t>
            </w:r>
          </w:p>
        </w:tc>
        <w:tc>
          <w:tcPr>
            <w:tcW w:w="735" w:type="dxa"/>
            <w:vAlign w:val="center"/>
          </w:tcPr>
          <w:p>
            <w:pPr>
              <w:adjustRightInd w:val="0"/>
              <w:snapToGrid w:val="0"/>
              <w:spacing w:line="240" w:lineRule="atLeas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担保金额</w:t>
            </w:r>
          </w:p>
        </w:tc>
        <w:tc>
          <w:tcPr>
            <w:tcW w:w="795" w:type="dxa"/>
            <w:vAlign w:val="center"/>
          </w:tcPr>
          <w:p>
            <w:pPr>
              <w:adjustRightInd w:val="0"/>
              <w:snapToGrid w:val="0"/>
              <w:spacing w:line="240" w:lineRule="atLeas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签署日期</w:t>
            </w:r>
          </w:p>
        </w:tc>
        <w:tc>
          <w:tcPr>
            <w:tcW w:w="1914" w:type="dxa"/>
            <w:vAlign w:val="center"/>
          </w:tcPr>
          <w:p>
            <w:pPr>
              <w:adjustRightInd w:val="0"/>
              <w:snapToGrid w:val="0"/>
              <w:spacing w:line="240" w:lineRule="atLeas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担保范围</w:t>
            </w:r>
          </w:p>
        </w:tc>
        <w:tc>
          <w:tcPr>
            <w:tcW w:w="1229" w:type="dxa"/>
            <w:vAlign w:val="center"/>
          </w:tcPr>
          <w:p>
            <w:pPr>
              <w:adjustRightInd w:val="0"/>
              <w:snapToGrid w:val="0"/>
              <w:spacing w:line="240" w:lineRule="atLeas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担保期间</w:t>
            </w:r>
          </w:p>
        </w:tc>
        <w:tc>
          <w:tcPr>
            <w:tcW w:w="675" w:type="dxa"/>
            <w:vAlign w:val="center"/>
          </w:tcPr>
          <w:p>
            <w:pPr>
              <w:adjustRightInd w:val="0"/>
              <w:snapToGrid w:val="0"/>
              <w:spacing w:line="240" w:lineRule="atLeas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担保类型</w:t>
            </w:r>
          </w:p>
        </w:tc>
        <w:tc>
          <w:tcPr>
            <w:tcW w:w="795" w:type="dxa"/>
            <w:vAlign w:val="center"/>
          </w:tcPr>
          <w:p>
            <w:pPr>
              <w:adjustRightInd w:val="0"/>
              <w:snapToGrid w:val="0"/>
              <w:spacing w:line="240" w:lineRule="atLeas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是否有反担保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pPr>
              <w:adjustRightInd w:val="0"/>
              <w:snapToGrid w:val="0"/>
              <w:spacing w:line="240" w:lineRule="atLeast"/>
              <w:rPr>
                <w:rFonts w:hint="eastAsia" w:asciiTheme="minorEastAsia" w:hAnsiTheme="minorEastAsia" w:eastAsiaTheme="minorEastAsia"/>
                <w:bCs/>
                <w:color w:val="000000"/>
                <w:szCs w:val="21"/>
              </w:rPr>
            </w:pPr>
            <w:r>
              <w:rPr>
                <w:rFonts w:hint="eastAsia" w:asciiTheme="minorEastAsia" w:hAnsiTheme="minorEastAsia" w:eastAsiaTheme="minorEastAsia"/>
                <w:bCs/>
                <w:color w:val="000000"/>
                <w:szCs w:val="21"/>
              </w:rPr>
              <w:t>兖矿能源</w:t>
            </w:r>
          </w:p>
        </w:tc>
        <w:tc>
          <w:tcPr>
            <w:tcW w:w="709" w:type="dxa"/>
          </w:tcPr>
          <w:p>
            <w:pPr>
              <w:adjustRightInd w:val="0"/>
              <w:snapToGrid w:val="0"/>
              <w:spacing w:line="240" w:lineRule="atLeast"/>
              <w:rPr>
                <w:rFonts w:hint="eastAsia" w:asciiTheme="minorEastAsia" w:hAnsiTheme="minorEastAsia" w:eastAsiaTheme="minorEastAsia"/>
                <w:bCs/>
                <w:color w:val="000000"/>
                <w:szCs w:val="21"/>
              </w:rPr>
            </w:pPr>
            <w:r>
              <w:rPr>
                <w:rFonts w:hint="eastAsia" w:asciiTheme="minorEastAsia" w:hAnsiTheme="minorEastAsia" w:eastAsiaTheme="minorEastAsia"/>
                <w:bCs/>
                <w:color w:val="000000"/>
                <w:szCs w:val="21"/>
              </w:rPr>
              <w:t>兖矿瑞丰</w:t>
            </w:r>
          </w:p>
        </w:tc>
        <w:tc>
          <w:tcPr>
            <w:tcW w:w="1376" w:type="dxa"/>
          </w:tcPr>
          <w:p>
            <w:pPr>
              <w:adjustRightInd w:val="0"/>
              <w:snapToGrid w:val="0"/>
              <w:spacing w:line="240" w:lineRule="atLeast"/>
              <w:rPr>
                <w:rFonts w:hint="eastAsia" w:asciiTheme="minorEastAsia" w:hAnsiTheme="minorEastAsia" w:eastAsiaTheme="minorEastAsia"/>
                <w:bCs/>
                <w:color w:val="000000"/>
                <w:szCs w:val="21"/>
                <w:lang w:eastAsia="zh-CN"/>
              </w:rPr>
            </w:pPr>
            <w:r>
              <w:rPr>
                <w:rFonts w:hint="eastAsia" w:asciiTheme="minorEastAsia" w:hAnsiTheme="minorEastAsia" w:eastAsiaTheme="minorEastAsia"/>
                <w:bCs/>
                <w:color w:val="000000"/>
                <w:szCs w:val="21"/>
              </w:rPr>
              <w:t>东营银行股份有限公司青岛李沧支行</w:t>
            </w:r>
            <w:r>
              <w:rPr>
                <w:rFonts w:hint="eastAsia" w:asciiTheme="minorEastAsia" w:hAnsiTheme="minorEastAsia" w:eastAsiaTheme="minorEastAsia"/>
                <w:bCs/>
                <w:color w:val="000000"/>
                <w:szCs w:val="21"/>
                <w:lang w:eastAsia="zh-CN"/>
              </w:rPr>
              <w:t>（“</w:t>
            </w:r>
            <w:r>
              <w:rPr>
                <w:rFonts w:hint="eastAsia" w:asciiTheme="minorEastAsia" w:hAnsiTheme="minorEastAsia" w:eastAsiaTheme="minorEastAsia"/>
                <w:bCs/>
                <w:color w:val="000000"/>
                <w:szCs w:val="21"/>
                <w:lang w:val="en-US" w:eastAsia="zh-CN"/>
              </w:rPr>
              <w:t>东营银行李沧支行</w:t>
            </w:r>
            <w:r>
              <w:rPr>
                <w:rFonts w:hint="eastAsia" w:asciiTheme="minorEastAsia" w:hAnsiTheme="minorEastAsia" w:eastAsiaTheme="minorEastAsia"/>
                <w:bCs/>
                <w:color w:val="000000"/>
                <w:szCs w:val="21"/>
                <w:lang w:eastAsia="zh-CN"/>
              </w:rPr>
              <w:t>”）</w:t>
            </w:r>
          </w:p>
        </w:tc>
        <w:tc>
          <w:tcPr>
            <w:tcW w:w="735" w:type="dxa"/>
          </w:tcPr>
          <w:p>
            <w:pPr>
              <w:adjustRightInd w:val="0"/>
              <w:snapToGrid w:val="0"/>
              <w:spacing w:line="240" w:lineRule="atLeast"/>
              <w:rPr>
                <w:rFonts w:hint="eastAsia" w:asciiTheme="minorEastAsia" w:hAnsiTheme="minorEastAsia" w:eastAsiaTheme="minorEastAsia"/>
                <w:bCs/>
                <w:color w:val="000000"/>
                <w:szCs w:val="21"/>
              </w:rPr>
            </w:pPr>
            <w:r>
              <w:rPr>
                <w:rFonts w:hint="eastAsia" w:asciiTheme="minorEastAsia" w:hAnsiTheme="minorEastAsia" w:eastAsiaTheme="minorEastAsia"/>
                <w:bCs/>
                <w:color w:val="000000"/>
                <w:szCs w:val="21"/>
              </w:rPr>
              <w:t>人民币0.50亿元</w:t>
            </w:r>
          </w:p>
        </w:tc>
        <w:tc>
          <w:tcPr>
            <w:tcW w:w="795" w:type="dxa"/>
          </w:tcPr>
          <w:p>
            <w:pPr>
              <w:adjustRightInd w:val="0"/>
              <w:snapToGrid w:val="0"/>
              <w:spacing w:line="240" w:lineRule="atLeast"/>
              <w:rPr>
                <w:rFonts w:hint="eastAsia" w:asciiTheme="minorEastAsia" w:hAnsiTheme="minorEastAsia" w:eastAsiaTheme="minorEastAsia"/>
                <w:bCs/>
                <w:color w:val="000000"/>
                <w:szCs w:val="21"/>
              </w:rPr>
            </w:pPr>
            <w:r>
              <w:rPr>
                <w:rFonts w:hint="eastAsia" w:asciiTheme="minorEastAsia" w:hAnsiTheme="minorEastAsia" w:eastAsiaTheme="minorEastAsia"/>
                <w:bCs/>
                <w:color w:val="000000"/>
                <w:szCs w:val="21"/>
              </w:rPr>
              <w:t>2025年1月9日</w:t>
            </w:r>
          </w:p>
        </w:tc>
        <w:tc>
          <w:tcPr>
            <w:tcW w:w="1914" w:type="dxa"/>
          </w:tcPr>
          <w:p>
            <w:pPr>
              <w:adjustRightInd w:val="0"/>
              <w:snapToGrid w:val="0"/>
              <w:spacing w:line="240" w:lineRule="atLeast"/>
              <w:rPr>
                <w:rFonts w:hint="eastAsia" w:asciiTheme="minorEastAsia" w:hAnsiTheme="minorEastAsia" w:eastAsiaTheme="minorEastAsia"/>
                <w:bCs/>
                <w:color w:val="000000"/>
                <w:szCs w:val="21"/>
              </w:rPr>
            </w:pPr>
            <w:r>
              <w:rPr>
                <w:rFonts w:hint="eastAsia" w:asciiTheme="minorEastAsia" w:hAnsiTheme="minorEastAsia" w:eastAsiaTheme="minorEastAsia"/>
                <w:bCs/>
                <w:color w:val="000000"/>
                <w:szCs w:val="21"/>
              </w:rPr>
              <w:t>保证担保的范围包括主合同项下的主债权和其他应付款项。</w:t>
            </w:r>
          </w:p>
        </w:tc>
        <w:tc>
          <w:tcPr>
            <w:tcW w:w="1229" w:type="dxa"/>
          </w:tcPr>
          <w:p>
            <w:pPr>
              <w:adjustRightInd w:val="0"/>
              <w:snapToGrid w:val="0"/>
              <w:spacing w:line="240" w:lineRule="atLeast"/>
              <w:rPr>
                <w:rFonts w:hint="eastAsia" w:asciiTheme="minorEastAsia" w:hAnsiTheme="minorEastAsia" w:eastAsiaTheme="minorEastAsia"/>
                <w:bCs/>
                <w:color w:val="000000"/>
                <w:szCs w:val="21"/>
              </w:rPr>
            </w:pPr>
            <w:r>
              <w:rPr>
                <w:rFonts w:hint="eastAsia" w:asciiTheme="minorEastAsia" w:hAnsiTheme="minorEastAsia" w:eastAsiaTheme="minorEastAsia"/>
                <w:bCs/>
                <w:color w:val="000000"/>
                <w:szCs w:val="21"/>
              </w:rPr>
              <w:t>主债务履行届满之日起三年</w:t>
            </w:r>
          </w:p>
        </w:tc>
        <w:tc>
          <w:tcPr>
            <w:tcW w:w="675" w:type="dxa"/>
          </w:tcPr>
          <w:p>
            <w:pPr>
              <w:adjustRightInd w:val="0"/>
              <w:snapToGrid w:val="0"/>
              <w:spacing w:line="240" w:lineRule="atLeast"/>
              <w:rPr>
                <w:rFonts w:hint="eastAsia" w:asciiTheme="minorEastAsia" w:hAnsiTheme="minorEastAsia" w:eastAsiaTheme="minorEastAsia"/>
                <w:bCs/>
                <w:color w:val="000000"/>
                <w:szCs w:val="21"/>
              </w:rPr>
            </w:pPr>
            <w:r>
              <w:rPr>
                <w:rFonts w:hint="eastAsia" w:asciiTheme="minorEastAsia" w:hAnsiTheme="minorEastAsia" w:eastAsiaTheme="minorEastAsia"/>
                <w:bCs/>
                <w:color w:val="000000"/>
                <w:szCs w:val="21"/>
              </w:rPr>
              <w:t>连带责任保证担保</w:t>
            </w:r>
          </w:p>
        </w:tc>
        <w:tc>
          <w:tcPr>
            <w:tcW w:w="795" w:type="dxa"/>
          </w:tcPr>
          <w:p>
            <w:pPr>
              <w:adjustRightInd w:val="0"/>
              <w:snapToGrid w:val="0"/>
              <w:spacing w:line="240" w:lineRule="atLeast"/>
              <w:jc w:val="center"/>
              <w:rPr>
                <w:rFonts w:hint="eastAsia" w:asciiTheme="minorEastAsia" w:hAnsiTheme="minorEastAsia" w:eastAsiaTheme="minorEastAsia"/>
                <w:bCs/>
                <w:color w:val="000000"/>
                <w:szCs w:val="21"/>
              </w:rPr>
            </w:pPr>
            <w:r>
              <w:rPr>
                <w:rFonts w:hint="eastAsia" w:asciiTheme="minorEastAsia" w:hAnsiTheme="minorEastAsia" w:eastAsiaTheme="minorEastAsia"/>
                <w:bCs/>
                <w:color w:val="000000"/>
                <w:szCs w:val="21"/>
              </w:rPr>
              <w:t>否</w:t>
            </w:r>
          </w:p>
        </w:tc>
      </w:tr>
    </w:tbl>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default" w:ascii="宋体" w:hAnsi="宋体" w:eastAsia="宋体"/>
          <w:b w:val="0"/>
          <w:bCs/>
          <w:sz w:val="21"/>
          <w:szCs w:val="21"/>
          <w:highlight w:val="none"/>
          <w:lang w:val="en-US" w:eastAsia="zh-CN"/>
        </w:rPr>
      </w:pPr>
      <w:r>
        <w:rPr>
          <w:rFonts w:hint="eastAsia" w:ascii="宋体" w:hAnsi="宋体"/>
          <w:b w:val="0"/>
          <w:bCs/>
          <w:sz w:val="21"/>
          <w:szCs w:val="21"/>
          <w:highlight w:val="none"/>
          <w:lang w:val="en-US" w:eastAsia="zh-CN"/>
        </w:rPr>
        <w:t>注：2025年1月9日，兖矿瑞丰、东营银行李沧支行、兖矿能源三方签署担保协议，并将担保协议作为授信合同的申请材料递交东营银行李沧支行审批。2025年3月28日，东营银行李沧支行通过兖矿瑞丰的授信审批。截至本公告披露日，兖矿瑞丰尚未实际使用该授信，在本担保项下，公司为兖矿瑞丰提供的担保余额为0元。</w:t>
      </w:r>
    </w:p>
    <w:p>
      <w:pPr>
        <w:adjustRightInd w:val="0"/>
        <w:snapToGrid w:val="0"/>
        <w:spacing w:line="560" w:lineRule="exact"/>
        <w:ind w:firstLine="539"/>
        <w:rPr>
          <w:rFonts w:hint="eastAsia" w:ascii="宋体" w:hAnsi="宋体"/>
          <w:b/>
          <w:sz w:val="28"/>
          <w:szCs w:val="28"/>
        </w:rPr>
      </w:pPr>
      <w:r>
        <w:rPr>
          <w:rFonts w:hint="eastAsia" w:ascii="宋体" w:hAnsi="宋体"/>
          <w:b/>
          <w:sz w:val="28"/>
          <w:szCs w:val="28"/>
        </w:rPr>
        <w:t>三、担保的必要性和合理性</w:t>
      </w:r>
    </w:p>
    <w:p>
      <w:pPr>
        <w:adjustRightInd w:val="0"/>
        <w:snapToGrid w:val="0"/>
        <w:spacing w:line="560" w:lineRule="exact"/>
        <w:ind w:firstLine="539"/>
        <w:rPr>
          <w:rFonts w:hint="eastAsia" w:ascii="宋体" w:hAnsi="宋体"/>
          <w:sz w:val="28"/>
          <w:szCs w:val="28"/>
        </w:rPr>
      </w:pPr>
      <w:r>
        <w:rPr>
          <w:rFonts w:hint="eastAsia" w:ascii="宋体" w:hAnsi="宋体"/>
          <w:sz w:val="28"/>
          <w:szCs w:val="28"/>
        </w:rPr>
        <w:t>公司及控股公司向子公司提供融资担保和授权兖煤澳洲及其子公司向兖矿能源澳洲附属公司提供日常经营担保事项，符合公司及子公司经营发展需要；兖煤澳洲及其子公司向兖矿能源澳洲附属公司提供担保是日常经营所需，符合澳大利亚法律法规及当地经营惯例。上述担保对象均为公司子公司，不存在失信被执行情况，可有效控制和防范担保风险，不会损害公司及全体股东的利益。</w:t>
      </w:r>
    </w:p>
    <w:p>
      <w:pPr>
        <w:adjustRightInd w:val="0"/>
        <w:snapToGrid w:val="0"/>
        <w:spacing w:line="560" w:lineRule="exact"/>
        <w:ind w:firstLine="539"/>
        <w:rPr>
          <w:rFonts w:hint="eastAsia" w:ascii="宋体" w:hAnsi="宋体"/>
          <w:b/>
          <w:sz w:val="28"/>
          <w:szCs w:val="28"/>
        </w:rPr>
      </w:pPr>
      <w:r>
        <w:rPr>
          <w:rFonts w:hint="eastAsia" w:ascii="宋体" w:hAnsi="宋体"/>
          <w:b/>
          <w:sz w:val="28"/>
          <w:szCs w:val="28"/>
        </w:rPr>
        <w:t>四、董事会意见</w:t>
      </w:r>
    </w:p>
    <w:p>
      <w:pPr>
        <w:adjustRightInd w:val="0"/>
        <w:snapToGrid w:val="0"/>
        <w:spacing w:line="560" w:lineRule="exact"/>
        <w:ind w:firstLine="539"/>
        <w:rPr>
          <w:rFonts w:hint="eastAsia" w:ascii="宋体" w:hAnsi="宋体"/>
          <w:b/>
          <w:sz w:val="28"/>
          <w:szCs w:val="28"/>
        </w:rPr>
      </w:pPr>
      <w:r>
        <w:rPr>
          <w:rFonts w:hint="eastAsia" w:ascii="宋体" w:hAnsi="宋体"/>
          <w:sz w:val="28"/>
          <w:szCs w:val="28"/>
        </w:rPr>
        <w:t>公司董事会认为：公司已于</w:t>
      </w:r>
      <w:r>
        <w:rPr>
          <w:rFonts w:ascii="宋体" w:hAnsi="宋体"/>
          <w:sz w:val="28"/>
          <w:szCs w:val="28"/>
        </w:rPr>
        <w:t>2024</w:t>
      </w:r>
      <w:r>
        <w:rPr>
          <w:rFonts w:hint="eastAsia" w:ascii="宋体" w:hAnsi="宋体"/>
          <w:sz w:val="28"/>
          <w:szCs w:val="28"/>
        </w:rPr>
        <w:t>年3月28日召开的第九届董事会第六次会议审议通过前述担保事项，独立董事发表了同意的独立意见，同时公司2</w:t>
      </w:r>
      <w:r>
        <w:rPr>
          <w:rFonts w:ascii="宋体" w:hAnsi="宋体"/>
          <w:sz w:val="28"/>
          <w:szCs w:val="28"/>
        </w:rPr>
        <w:t>023</w:t>
      </w:r>
      <w:r>
        <w:rPr>
          <w:rFonts w:hint="eastAsia" w:ascii="宋体" w:hAnsi="宋体"/>
          <w:sz w:val="28"/>
          <w:szCs w:val="28"/>
        </w:rPr>
        <w:t>年度股东周年大会亦已审议通过了相关担保事项。前述担保事项及金额均在公司已履行审批程序的担保额度以内，且有利于降低公司子公司融资成本，保障其日常经营资金需要</w:t>
      </w:r>
      <w:r>
        <w:rPr>
          <w:rFonts w:ascii="宋体" w:hAnsi="宋体"/>
          <w:sz w:val="28"/>
          <w:szCs w:val="28"/>
        </w:rPr>
        <w:t>。</w:t>
      </w:r>
    </w:p>
    <w:p>
      <w:pPr>
        <w:adjustRightInd w:val="0"/>
        <w:snapToGrid w:val="0"/>
        <w:spacing w:line="560" w:lineRule="exact"/>
        <w:ind w:firstLine="539"/>
        <w:rPr>
          <w:rFonts w:hint="eastAsia" w:ascii="宋体" w:hAnsi="宋体"/>
          <w:b/>
          <w:sz w:val="28"/>
          <w:szCs w:val="28"/>
        </w:rPr>
      </w:pPr>
      <w:r>
        <w:rPr>
          <w:rFonts w:hint="eastAsia" w:ascii="宋体" w:hAnsi="宋体"/>
          <w:b/>
          <w:sz w:val="28"/>
          <w:szCs w:val="28"/>
        </w:rPr>
        <w:t>五、累计对外担保数量及逾期担保的数量</w:t>
      </w:r>
    </w:p>
    <w:p>
      <w:pPr>
        <w:adjustRightInd w:val="0"/>
        <w:snapToGrid w:val="0"/>
        <w:spacing w:line="560" w:lineRule="exact"/>
        <w:ind w:firstLine="539"/>
        <w:rPr>
          <w:rFonts w:hint="eastAsia" w:ascii="宋体" w:hAnsi="宋体"/>
          <w:sz w:val="28"/>
          <w:szCs w:val="28"/>
          <w:lang w:eastAsia="zh-CN"/>
        </w:rPr>
      </w:pPr>
      <w:r>
        <w:rPr>
          <w:rFonts w:hint="eastAsia" w:ascii="宋体" w:hAnsi="宋体"/>
          <w:sz w:val="28"/>
          <w:szCs w:val="28"/>
        </w:rPr>
        <w:t>截至2</w:t>
      </w:r>
      <w:r>
        <w:rPr>
          <w:rFonts w:ascii="宋体" w:hAnsi="宋体"/>
          <w:sz w:val="28"/>
          <w:szCs w:val="28"/>
        </w:rPr>
        <w:t>02</w:t>
      </w:r>
      <w:r>
        <w:rPr>
          <w:rFonts w:hint="eastAsia" w:ascii="宋体" w:hAnsi="宋体"/>
          <w:sz w:val="28"/>
          <w:szCs w:val="28"/>
        </w:rPr>
        <w:t>5年3月31日，公司累计对外担保余额为人民币88.8亿元，占公司2024年按中国会计准则计算的经审计归母净资产人民币825.94亿元的10.75%。其中</w:t>
      </w:r>
      <w:r>
        <w:rPr>
          <w:rFonts w:hint="eastAsia" w:ascii="宋体" w:hAnsi="宋体"/>
          <w:sz w:val="28"/>
          <w:szCs w:val="28"/>
          <w:lang w:eastAsia="zh-CN"/>
        </w:rPr>
        <w:t>：</w:t>
      </w:r>
    </w:p>
    <w:p>
      <w:pPr>
        <w:numPr>
          <w:ilvl w:val="0"/>
          <w:numId w:val="2"/>
        </w:numPr>
        <w:adjustRightInd w:val="0"/>
        <w:snapToGrid w:val="0"/>
        <w:spacing w:line="560" w:lineRule="exact"/>
        <w:ind w:firstLine="539"/>
        <w:rPr>
          <w:rFonts w:hint="eastAsia" w:ascii="宋体" w:hAnsi="宋体"/>
          <w:sz w:val="28"/>
          <w:szCs w:val="28"/>
        </w:rPr>
      </w:pPr>
      <w:r>
        <w:rPr>
          <w:rFonts w:hint="eastAsia" w:ascii="宋体" w:hAnsi="宋体"/>
          <w:sz w:val="28"/>
          <w:szCs w:val="28"/>
        </w:rPr>
        <w:t>公司及控股公司向子公司</w:t>
      </w:r>
      <w:r>
        <w:rPr>
          <w:rFonts w:hint="eastAsia" w:ascii="宋体" w:hAnsi="宋体"/>
          <w:sz w:val="28"/>
          <w:szCs w:val="28"/>
          <w:lang w:val="en-US" w:eastAsia="zh-CN"/>
        </w:rPr>
        <w:t>提供</w:t>
      </w:r>
      <w:r>
        <w:rPr>
          <w:rFonts w:hint="eastAsia" w:ascii="宋体" w:hAnsi="宋体"/>
          <w:sz w:val="28"/>
          <w:szCs w:val="28"/>
        </w:rPr>
        <w:t>担保余额为87.69亿元，占公司2024年按中国会计准则计算的经审计归母净资产人民币825.94亿元的10.62%；</w:t>
      </w:r>
    </w:p>
    <w:p>
      <w:pPr>
        <w:numPr>
          <w:ilvl w:val="0"/>
          <w:numId w:val="2"/>
        </w:numPr>
        <w:adjustRightInd w:val="0"/>
        <w:snapToGrid w:val="0"/>
        <w:spacing w:line="560" w:lineRule="exact"/>
        <w:ind w:firstLine="539"/>
        <w:rPr>
          <w:rFonts w:hint="eastAsia" w:ascii="宋体" w:hAnsi="宋体"/>
          <w:sz w:val="28"/>
          <w:szCs w:val="28"/>
        </w:rPr>
      </w:pPr>
      <w:r>
        <w:rPr>
          <w:rFonts w:hint="eastAsia" w:ascii="宋体" w:hAnsi="宋体"/>
          <w:sz w:val="28"/>
          <w:szCs w:val="28"/>
          <w:lang w:val="en-US" w:eastAsia="zh-CN"/>
        </w:rPr>
        <w:t>公司向</w:t>
      </w:r>
      <w:r>
        <w:rPr>
          <w:rFonts w:hint="eastAsia" w:ascii="宋体" w:hAnsi="宋体"/>
          <w:sz w:val="28"/>
          <w:szCs w:val="28"/>
        </w:rPr>
        <w:t>烟台金正环保科技有限公司</w:t>
      </w:r>
      <w:r>
        <w:rPr>
          <w:rFonts w:hint="eastAsia" w:ascii="宋体" w:hAnsi="宋体"/>
          <w:sz w:val="28"/>
          <w:szCs w:val="28"/>
          <w:lang w:val="en-US" w:eastAsia="zh-CN"/>
        </w:rPr>
        <w:t>提供</w:t>
      </w:r>
      <w:r>
        <w:rPr>
          <w:rFonts w:hint="eastAsia" w:ascii="宋体" w:hAnsi="宋体"/>
          <w:sz w:val="28"/>
          <w:szCs w:val="28"/>
        </w:rPr>
        <w:t>担保余额为1.11亿元，占公司2024年按中国会计准则计算的经审计归母净资产人民币825.94亿元的0.13%。</w:t>
      </w:r>
    </w:p>
    <w:p>
      <w:pPr>
        <w:adjustRightInd w:val="0"/>
        <w:snapToGrid w:val="0"/>
        <w:spacing w:line="560" w:lineRule="exact"/>
        <w:ind w:firstLine="53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有关详情请见公司日期为2024年</w:t>
      </w:r>
      <w:r>
        <w:rPr>
          <w:rFonts w:ascii="楷体_GB2312" w:hAnsi="楷体_GB2312" w:eastAsia="楷体_GB2312" w:cs="楷体_GB2312"/>
          <w:sz w:val="28"/>
          <w:szCs w:val="28"/>
        </w:rPr>
        <w:t>8</w:t>
      </w:r>
      <w:r>
        <w:rPr>
          <w:rFonts w:hint="eastAsia" w:ascii="楷体_GB2312" w:hAnsi="楷体_GB2312" w:eastAsia="楷体_GB2312" w:cs="楷体_GB2312"/>
          <w:sz w:val="28"/>
          <w:szCs w:val="28"/>
        </w:rPr>
        <w:t>月</w:t>
      </w:r>
      <w:r>
        <w:rPr>
          <w:rFonts w:ascii="楷体_GB2312" w:hAnsi="楷体_GB2312" w:eastAsia="楷体_GB2312" w:cs="楷体_GB2312"/>
          <w:sz w:val="28"/>
          <w:szCs w:val="28"/>
        </w:rPr>
        <w:t>30</w:t>
      </w:r>
      <w:r>
        <w:rPr>
          <w:rFonts w:hint="eastAsia" w:ascii="楷体_GB2312" w:hAnsi="楷体_GB2312" w:eastAsia="楷体_GB2312" w:cs="楷体_GB2312"/>
          <w:sz w:val="28"/>
          <w:szCs w:val="28"/>
        </w:rPr>
        <w:t>日的第九届董事会第十次会议决议公告、关于出售子公司股权被动形成对外担保的公告</w:t>
      </w:r>
      <w:r>
        <w:rPr>
          <w:rFonts w:ascii="楷体_GB2312" w:hAnsi="楷体_GB2312" w:eastAsia="楷体_GB2312" w:cs="楷体_GB2312"/>
          <w:sz w:val="28"/>
          <w:szCs w:val="28"/>
        </w:rPr>
        <w:t>,</w:t>
      </w:r>
      <w:r>
        <w:rPr>
          <w:rFonts w:hint="eastAsia" w:ascii="楷体_GB2312" w:hAnsi="楷体_GB2312" w:eastAsia="楷体_GB2312" w:cs="楷体_GB2312"/>
          <w:sz w:val="28"/>
          <w:szCs w:val="28"/>
        </w:rPr>
        <w:t>日期为2024年</w:t>
      </w:r>
      <w:r>
        <w:rPr>
          <w:rFonts w:ascii="楷体_GB2312" w:hAnsi="楷体_GB2312" w:eastAsia="楷体_GB2312" w:cs="楷体_GB2312"/>
          <w:sz w:val="28"/>
          <w:szCs w:val="28"/>
        </w:rPr>
        <w:t>10</w:t>
      </w:r>
      <w:r>
        <w:rPr>
          <w:rFonts w:hint="eastAsia" w:ascii="楷体_GB2312" w:hAnsi="楷体_GB2312" w:eastAsia="楷体_GB2312" w:cs="楷体_GB2312"/>
          <w:sz w:val="28"/>
          <w:szCs w:val="28"/>
        </w:rPr>
        <w:t>月2</w:t>
      </w:r>
      <w:r>
        <w:rPr>
          <w:rFonts w:ascii="楷体_GB2312" w:hAnsi="楷体_GB2312" w:eastAsia="楷体_GB2312" w:cs="楷体_GB2312"/>
          <w:sz w:val="28"/>
          <w:szCs w:val="28"/>
        </w:rPr>
        <w:t>5</w:t>
      </w:r>
      <w:r>
        <w:rPr>
          <w:rFonts w:hint="eastAsia" w:ascii="楷体_GB2312" w:hAnsi="楷体_GB2312" w:eastAsia="楷体_GB2312" w:cs="楷体_GB2312"/>
          <w:sz w:val="28"/>
          <w:szCs w:val="28"/>
        </w:rPr>
        <w:t>日的202</w:t>
      </w:r>
      <w:r>
        <w:rPr>
          <w:rFonts w:ascii="楷体_GB2312" w:hAnsi="楷体_GB2312" w:eastAsia="楷体_GB2312" w:cs="楷体_GB2312"/>
          <w:sz w:val="28"/>
          <w:szCs w:val="28"/>
        </w:rPr>
        <w:t>4</w:t>
      </w:r>
      <w:r>
        <w:rPr>
          <w:rFonts w:hint="eastAsia" w:ascii="楷体_GB2312" w:hAnsi="楷体_GB2312" w:eastAsia="楷体_GB2312" w:cs="楷体_GB2312"/>
          <w:sz w:val="28"/>
          <w:szCs w:val="28"/>
        </w:rPr>
        <w:t>年度第一次临时股东大会决议公告。该等资料刊载于上海证券交易所网站、香港联合交易所有限公司网站、公司网站及/或《中国证券报》《上海证券报》《证券时报》《证券日报》。</w:t>
      </w:r>
    </w:p>
    <w:p>
      <w:pPr>
        <w:adjustRightInd w:val="0"/>
        <w:snapToGrid w:val="0"/>
        <w:spacing w:line="560" w:lineRule="exact"/>
        <w:ind w:firstLine="539"/>
        <w:rPr>
          <w:rFonts w:hint="eastAsia" w:ascii="宋体" w:hAnsi="宋体"/>
          <w:sz w:val="28"/>
          <w:szCs w:val="28"/>
        </w:rPr>
      </w:pPr>
      <w:r>
        <w:rPr>
          <w:rFonts w:hint="eastAsia" w:ascii="宋体" w:hAnsi="宋体"/>
          <w:sz w:val="28"/>
          <w:szCs w:val="28"/>
        </w:rPr>
        <w:t>除上述担保外，公司不存在其他</w:t>
      </w:r>
      <w:bookmarkStart w:id="2" w:name="_GoBack"/>
      <w:bookmarkEnd w:id="2"/>
      <w:r>
        <w:rPr>
          <w:rFonts w:hint="eastAsia" w:ascii="宋体" w:hAnsi="宋体"/>
          <w:sz w:val="28"/>
          <w:szCs w:val="28"/>
        </w:rPr>
        <w:t>对外担保，公司及子公司不存在逾期担保的情况。</w:t>
      </w:r>
    </w:p>
    <w:p>
      <w:pPr>
        <w:adjustRightInd w:val="0"/>
        <w:snapToGrid w:val="0"/>
        <w:spacing w:line="560" w:lineRule="exact"/>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sz w:val="28"/>
          <w:szCs w:val="28"/>
          <w:lang w:val="en-US" w:eastAsia="zh-CN"/>
        </w:rPr>
      </w:pPr>
      <w:r>
        <w:rPr>
          <w:rFonts w:hint="eastAsia" w:ascii="宋体" w:hAnsi="宋体"/>
          <w:sz w:val="28"/>
          <w:szCs w:val="28"/>
          <w:lang w:val="en-US" w:eastAsia="zh-CN"/>
        </w:rPr>
        <w:t>特此公告。</w:t>
      </w:r>
    </w:p>
    <w:p>
      <w:pPr>
        <w:adjustRightInd w:val="0"/>
        <w:snapToGrid w:val="0"/>
        <w:spacing w:line="560" w:lineRule="exact"/>
        <w:rPr>
          <w:rFonts w:hint="eastAsia" w:ascii="宋体" w:hAnsi="宋体"/>
          <w:sz w:val="28"/>
          <w:szCs w:val="28"/>
        </w:rPr>
      </w:pPr>
    </w:p>
    <w:p>
      <w:pPr>
        <w:adjustRightInd w:val="0"/>
        <w:snapToGrid w:val="0"/>
        <w:spacing w:line="560" w:lineRule="exact"/>
        <w:ind w:firstLine="4480" w:firstLineChars="1600"/>
        <w:rPr>
          <w:rFonts w:hint="eastAsia" w:ascii="宋体" w:hAnsi="宋体"/>
          <w:sz w:val="28"/>
          <w:szCs w:val="28"/>
        </w:rPr>
      </w:pPr>
      <w:r>
        <w:rPr>
          <w:rFonts w:hint="eastAsia" w:ascii="宋体" w:hAnsi="宋体"/>
          <w:sz w:val="28"/>
          <w:szCs w:val="28"/>
        </w:rPr>
        <w:t>兖矿能源集团股份有限公司董事会</w:t>
      </w:r>
    </w:p>
    <w:p>
      <w:pPr>
        <w:adjustRightInd w:val="0"/>
        <w:snapToGrid w:val="0"/>
        <w:spacing w:line="560" w:lineRule="exact"/>
        <w:ind w:firstLine="5600" w:firstLineChars="2000"/>
        <w:rPr>
          <w:rFonts w:hint="eastAsia" w:ascii="宋体" w:hAnsi="宋体" w:cs="宋体"/>
          <w:color w:val="000000"/>
          <w:sz w:val="28"/>
          <w:szCs w:val="28"/>
        </w:rPr>
      </w:pPr>
      <w:r>
        <w:rPr>
          <w:rFonts w:hint="eastAsia" w:ascii="宋体" w:hAnsi="宋体" w:cs="宋体"/>
          <w:color w:val="000000"/>
          <w:sz w:val="28"/>
          <w:szCs w:val="28"/>
        </w:rPr>
        <w:t>2025年4月2</w:t>
      </w:r>
      <w:r>
        <w:rPr>
          <w:rFonts w:hint="eastAsia" w:ascii="宋体" w:hAnsi="宋体" w:cs="宋体"/>
          <w:color w:val="000000"/>
          <w:sz w:val="28"/>
          <w:szCs w:val="28"/>
          <w:lang w:val="en-US" w:eastAsia="zh-CN"/>
        </w:rPr>
        <w:t>9</w:t>
      </w:r>
      <w:r>
        <w:rPr>
          <w:rFonts w:hint="eastAsia" w:ascii="宋体" w:hAnsi="宋体" w:cs="宋体"/>
          <w:color w:val="000000"/>
          <w:sz w:val="28"/>
          <w:szCs w:val="28"/>
        </w:rPr>
        <w:t>日</w:t>
      </w:r>
    </w:p>
    <w:sectPr>
      <w:footerReference r:id="rId3" w:type="default"/>
      <w:footerReference r:id="rId4" w:type="even"/>
      <w:pgSz w:w="11906" w:h="16838"/>
      <w:pgMar w:top="1440" w:right="1701" w:bottom="1440" w:left="1276"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7</w:t>
    </w:r>
    <w:r>
      <w:rPr>
        <w:rStyle w:val="1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9EA2C"/>
    <w:multiLevelType w:val="singleLevel"/>
    <w:tmpl w:val="E139EA2C"/>
    <w:lvl w:ilvl="0" w:tentative="0">
      <w:start w:val="1"/>
      <w:numFmt w:val="chineseCounting"/>
      <w:suff w:val="nothing"/>
      <w:lvlText w:val="（%1）"/>
      <w:lvlJc w:val="left"/>
      <w:rPr>
        <w:rFonts w:hint="eastAsia"/>
      </w:rPr>
    </w:lvl>
  </w:abstractNum>
  <w:abstractNum w:abstractNumId="1">
    <w:nsid w:val="61722525"/>
    <w:multiLevelType w:val="multilevel"/>
    <w:tmpl w:val="61722525"/>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5"/>
  <w:drawingGridHorizontalSpacing w:val="10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KSO_WPS_MARK_KEY" w:val="982162dc-2511-4547-87a6-313a0041ba93"/>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1C51"/>
    <w:rsid w:val="000352B0"/>
    <w:rsid w:val="000370A7"/>
    <w:rsid w:val="00043543"/>
    <w:rsid w:val="00044496"/>
    <w:rsid w:val="0004674E"/>
    <w:rsid w:val="000476C8"/>
    <w:rsid w:val="00050B16"/>
    <w:rsid w:val="000511F3"/>
    <w:rsid w:val="000528FA"/>
    <w:rsid w:val="00052BBC"/>
    <w:rsid w:val="00056597"/>
    <w:rsid w:val="00056E40"/>
    <w:rsid w:val="0005744C"/>
    <w:rsid w:val="00061BB9"/>
    <w:rsid w:val="0006259E"/>
    <w:rsid w:val="00062790"/>
    <w:rsid w:val="00062C38"/>
    <w:rsid w:val="000705A8"/>
    <w:rsid w:val="00072E86"/>
    <w:rsid w:val="0007316B"/>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5AEB"/>
    <w:rsid w:val="00156669"/>
    <w:rsid w:val="001609CE"/>
    <w:rsid w:val="001660E6"/>
    <w:rsid w:val="00167509"/>
    <w:rsid w:val="00167E07"/>
    <w:rsid w:val="001702E8"/>
    <w:rsid w:val="001710E6"/>
    <w:rsid w:val="001723C6"/>
    <w:rsid w:val="00172B92"/>
    <w:rsid w:val="00174DB2"/>
    <w:rsid w:val="00177770"/>
    <w:rsid w:val="00177B5A"/>
    <w:rsid w:val="00181DF4"/>
    <w:rsid w:val="001826AE"/>
    <w:rsid w:val="001827F4"/>
    <w:rsid w:val="0018495C"/>
    <w:rsid w:val="00186A21"/>
    <w:rsid w:val="00187950"/>
    <w:rsid w:val="00190ED1"/>
    <w:rsid w:val="001945F1"/>
    <w:rsid w:val="00195760"/>
    <w:rsid w:val="001971D6"/>
    <w:rsid w:val="001A06FF"/>
    <w:rsid w:val="001A28A4"/>
    <w:rsid w:val="001A3DCA"/>
    <w:rsid w:val="001A3F2B"/>
    <w:rsid w:val="001A6684"/>
    <w:rsid w:val="001B03E7"/>
    <w:rsid w:val="001B2F74"/>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E7557"/>
    <w:rsid w:val="001F070D"/>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44BB3"/>
    <w:rsid w:val="00246B89"/>
    <w:rsid w:val="0025011E"/>
    <w:rsid w:val="00250B67"/>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002F"/>
    <w:rsid w:val="002A1CB2"/>
    <w:rsid w:val="002A36EF"/>
    <w:rsid w:val="002A3841"/>
    <w:rsid w:val="002A3AA7"/>
    <w:rsid w:val="002A49BC"/>
    <w:rsid w:val="002A6867"/>
    <w:rsid w:val="002B0825"/>
    <w:rsid w:val="002B0BDE"/>
    <w:rsid w:val="002C2B5C"/>
    <w:rsid w:val="002C6AA6"/>
    <w:rsid w:val="002D0095"/>
    <w:rsid w:val="002D331B"/>
    <w:rsid w:val="002D413C"/>
    <w:rsid w:val="002D64FC"/>
    <w:rsid w:val="002D738C"/>
    <w:rsid w:val="002E450A"/>
    <w:rsid w:val="002F11CA"/>
    <w:rsid w:val="002F13A1"/>
    <w:rsid w:val="002F1D7A"/>
    <w:rsid w:val="002F45BA"/>
    <w:rsid w:val="002F5278"/>
    <w:rsid w:val="002F5EE4"/>
    <w:rsid w:val="002F61B8"/>
    <w:rsid w:val="003002F6"/>
    <w:rsid w:val="00300970"/>
    <w:rsid w:val="00301DB6"/>
    <w:rsid w:val="00302BC8"/>
    <w:rsid w:val="0030466A"/>
    <w:rsid w:val="00304D9D"/>
    <w:rsid w:val="003053D8"/>
    <w:rsid w:val="00305F47"/>
    <w:rsid w:val="00306D0F"/>
    <w:rsid w:val="00307EC1"/>
    <w:rsid w:val="00312FF2"/>
    <w:rsid w:val="003141DD"/>
    <w:rsid w:val="003151F3"/>
    <w:rsid w:val="00315E7D"/>
    <w:rsid w:val="00317B58"/>
    <w:rsid w:val="00320669"/>
    <w:rsid w:val="00324490"/>
    <w:rsid w:val="00325B7D"/>
    <w:rsid w:val="00341AE8"/>
    <w:rsid w:val="00342EC4"/>
    <w:rsid w:val="003468C1"/>
    <w:rsid w:val="003475E3"/>
    <w:rsid w:val="003504E3"/>
    <w:rsid w:val="003517CB"/>
    <w:rsid w:val="00353B50"/>
    <w:rsid w:val="00354828"/>
    <w:rsid w:val="00356C7A"/>
    <w:rsid w:val="0036105B"/>
    <w:rsid w:val="00361481"/>
    <w:rsid w:val="003626A8"/>
    <w:rsid w:val="00362AB2"/>
    <w:rsid w:val="00362B84"/>
    <w:rsid w:val="00365905"/>
    <w:rsid w:val="00367782"/>
    <w:rsid w:val="00370C02"/>
    <w:rsid w:val="0037171C"/>
    <w:rsid w:val="003727D6"/>
    <w:rsid w:val="0037389C"/>
    <w:rsid w:val="00374ECD"/>
    <w:rsid w:val="00382979"/>
    <w:rsid w:val="003832E6"/>
    <w:rsid w:val="00383CEA"/>
    <w:rsid w:val="00386052"/>
    <w:rsid w:val="003866E8"/>
    <w:rsid w:val="00390DB7"/>
    <w:rsid w:val="0039344E"/>
    <w:rsid w:val="0039366A"/>
    <w:rsid w:val="00397E1A"/>
    <w:rsid w:val="003A2833"/>
    <w:rsid w:val="003B4E49"/>
    <w:rsid w:val="003B6E18"/>
    <w:rsid w:val="003C0976"/>
    <w:rsid w:val="003C323D"/>
    <w:rsid w:val="003C5316"/>
    <w:rsid w:val="003D2F8D"/>
    <w:rsid w:val="003D41D0"/>
    <w:rsid w:val="003D4C2D"/>
    <w:rsid w:val="003D5C80"/>
    <w:rsid w:val="003D6483"/>
    <w:rsid w:val="003E2E2D"/>
    <w:rsid w:val="003E3F1A"/>
    <w:rsid w:val="003E4680"/>
    <w:rsid w:val="003E5142"/>
    <w:rsid w:val="003E540E"/>
    <w:rsid w:val="003E5742"/>
    <w:rsid w:val="003E60F3"/>
    <w:rsid w:val="003E73D3"/>
    <w:rsid w:val="003E7428"/>
    <w:rsid w:val="003F5958"/>
    <w:rsid w:val="003F70DF"/>
    <w:rsid w:val="00400593"/>
    <w:rsid w:val="00400EF7"/>
    <w:rsid w:val="00402465"/>
    <w:rsid w:val="004046A1"/>
    <w:rsid w:val="00406881"/>
    <w:rsid w:val="00406A8B"/>
    <w:rsid w:val="00407613"/>
    <w:rsid w:val="00410104"/>
    <w:rsid w:val="00414278"/>
    <w:rsid w:val="00416620"/>
    <w:rsid w:val="00416E45"/>
    <w:rsid w:val="0042031E"/>
    <w:rsid w:val="00420EE7"/>
    <w:rsid w:val="00420EFC"/>
    <w:rsid w:val="00421A81"/>
    <w:rsid w:val="00423C37"/>
    <w:rsid w:val="0042469F"/>
    <w:rsid w:val="00430734"/>
    <w:rsid w:val="00430958"/>
    <w:rsid w:val="00431198"/>
    <w:rsid w:val="00435781"/>
    <w:rsid w:val="0044668E"/>
    <w:rsid w:val="00450237"/>
    <w:rsid w:val="00450DA1"/>
    <w:rsid w:val="004547D2"/>
    <w:rsid w:val="00455889"/>
    <w:rsid w:val="00461A88"/>
    <w:rsid w:val="00464520"/>
    <w:rsid w:val="00470AE7"/>
    <w:rsid w:val="00470CA9"/>
    <w:rsid w:val="00471C27"/>
    <w:rsid w:val="00471FC9"/>
    <w:rsid w:val="00472A24"/>
    <w:rsid w:val="0047354B"/>
    <w:rsid w:val="004777C3"/>
    <w:rsid w:val="004803DD"/>
    <w:rsid w:val="00481DBE"/>
    <w:rsid w:val="00482903"/>
    <w:rsid w:val="00485459"/>
    <w:rsid w:val="00486F95"/>
    <w:rsid w:val="004935A1"/>
    <w:rsid w:val="004937BA"/>
    <w:rsid w:val="004A278C"/>
    <w:rsid w:val="004A343E"/>
    <w:rsid w:val="004A41D3"/>
    <w:rsid w:val="004A6538"/>
    <w:rsid w:val="004A6667"/>
    <w:rsid w:val="004B0546"/>
    <w:rsid w:val="004B1950"/>
    <w:rsid w:val="004B69FD"/>
    <w:rsid w:val="004C0FC7"/>
    <w:rsid w:val="004C2D5E"/>
    <w:rsid w:val="004C2F57"/>
    <w:rsid w:val="004C5846"/>
    <w:rsid w:val="004D00C4"/>
    <w:rsid w:val="004D01F4"/>
    <w:rsid w:val="004D0FF2"/>
    <w:rsid w:val="004D19DC"/>
    <w:rsid w:val="004D2C88"/>
    <w:rsid w:val="004D31B2"/>
    <w:rsid w:val="004D3414"/>
    <w:rsid w:val="004D663B"/>
    <w:rsid w:val="004D739C"/>
    <w:rsid w:val="004E046C"/>
    <w:rsid w:val="004E0E6F"/>
    <w:rsid w:val="004E3BAF"/>
    <w:rsid w:val="004E4202"/>
    <w:rsid w:val="004E66DB"/>
    <w:rsid w:val="004E70DE"/>
    <w:rsid w:val="004E7356"/>
    <w:rsid w:val="004F29D3"/>
    <w:rsid w:val="004F5FED"/>
    <w:rsid w:val="00502CFD"/>
    <w:rsid w:val="00506E57"/>
    <w:rsid w:val="0051345D"/>
    <w:rsid w:val="00514A04"/>
    <w:rsid w:val="00516ABB"/>
    <w:rsid w:val="00517019"/>
    <w:rsid w:val="00520220"/>
    <w:rsid w:val="00523F7D"/>
    <w:rsid w:val="00525D0D"/>
    <w:rsid w:val="00527D17"/>
    <w:rsid w:val="005321DA"/>
    <w:rsid w:val="00532DA6"/>
    <w:rsid w:val="00534537"/>
    <w:rsid w:val="00535112"/>
    <w:rsid w:val="00537657"/>
    <w:rsid w:val="005379B1"/>
    <w:rsid w:val="0054020E"/>
    <w:rsid w:val="00541232"/>
    <w:rsid w:val="005459D5"/>
    <w:rsid w:val="0055173B"/>
    <w:rsid w:val="00552727"/>
    <w:rsid w:val="00553577"/>
    <w:rsid w:val="005541B3"/>
    <w:rsid w:val="00554A44"/>
    <w:rsid w:val="005567F4"/>
    <w:rsid w:val="00563524"/>
    <w:rsid w:val="005649E0"/>
    <w:rsid w:val="00567AB8"/>
    <w:rsid w:val="005708E3"/>
    <w:rsid w:val="00571FD8"/>
    <w:rsid w:val="00573AD2"/>
    <w:rsid w:val="00574F1D"/>
    <w:rsid w:val="0057617E"/>
    <w:rsid w:val="00577366"/>
    <w:rsid w:val="0057774B"/>
    <w:rsid w:val="00577DF3"/>
    <w:rsid w:val="00582424"/>
    <w:rsid w:val="00582B21"/>
    <w:rsid w:val="0058649F"/>
    <w:rsid w:val="0059077E"/>
    <w:rsid w:val="00593418"/>
    <w:rsid w:val="00596403"/>
    <w:rsid w:val="00597142"/>
    <w:rsid w:val="005A0FE1"/>
    <w:rsid w:val="005A274A"/>
    <w:rsid w:val="005A4B7C"/>
    <w:rsid w:val="005A7231"/>
    <w:rsid w:val="005B2665"/>
    <w:rsid w:val="005B5482"/>
    <w:rsid w:val="005B76EF"/>
    <w:rsid w:val="005B7EC3"/>
    <w:rsid w:val="005C147B"/>
    <w:rsid w:val="005C2F10"/>
    <w:rsid w:val="005C4795"/>
    <w:rsid w:val="005C5A2A"/>
    <w:rsid w:val="005C6140"/>
    <w:rsid w:val="005C6C6B"/>
    <w:rsid w:val="005D02E2"/>
    <w:rsid w:val="005D138E"/>
    <w:rsid w:val="005D17D8"/>
    <w:rsid w:val="005D26EE"/>
    <w:rsid w:val="005D36D4"/>
    <w:rsid w:val="005D48C5"/>
    <w:rsid w:val="005D4FF4"/>
    <w:rsid w:val="005D783B"/>
    <w:rsid w:val="005D7DF8"/>
    <w:rsid w:val="005E0764"/>
    <w:rsid w:val="005E0A40"/>
    <w:rsid w:val="005E1E1D"/>
    <w:rsid w:val="005E2687"/>
    <w:rsid w:val="005E3011"/>
    <w:rsid w:val="005E5EC0"/>
    <w:rsid w:val="005E64EA"/>
    <w:rsid w:val="005E7BCD"/>
    <w:rsid w:val="005F1443"/>
    <w:rsid w:val="005F43C9"/>
    <w:rsid w:val="005F4C96"/>
    <w:rsid w:val="005F6548"/>
    <w:rsid w:val="005F7542"/>
    <w:rsid w:val="00604182"/>
    <w:rsid w:val="00604899"/>
    <w:rsid w:val="006064F7"/>
    <w:rsid w:val="006069B7"/>
    <w:rsid w:val="00606D40"/>
    <w:rsid w:val="0061015A"/>
    <w:rsid w:val="006138C4"/>
    <w:rsid w:val="006151AF"/>
    <w:rsid w:val="00616A31"/>
    <w:rsid w:val="006175CB"/>
    <w:rsid w:val="00620B39"/>
    <w:rsid w:val="006232DD"/>
    <w:rsid w:val="0062459F"/>
    <w:rsid w:val="006257C3"/>
    <w:rsid w:val="00625B3C"/>
    <w:rsid w:val="006264A2"/>
    <w:rsid w:val="006308BF"/>
    <w:rsid w:val="00630CA2"/>
    <w:rsid w:val="00630DD5"/>
    <w:rsid w:val="00630DD6"/>
    <w:rsid w:val="00633574"/>
    <w:rsid w:val="006342C4"/>
    <w:rsid w:val="00635DC6"/>
    <w:rsid w:val="006372A1"/>
    <w:rsid w:val="006377E1"/>
    <w:rsid w:val="0064200D"/>
    <w:rsid w:val="0064327D"/>
    <w:rsid w:val="006451E9"/>
    <w:rsid w:val="00647C00"/>
    <w:rsid w:val="006509C3"/>
    <w:rsid w:val="006512DA"/>
    <w:rsid w:val="006519FA"/>
    <w:rsid w:val="006547DE"/>
    <w:rsid w:val="00654D53"/>
    <w:rsid w:val="00654DD7"/>
    <w:rsid w:val="00661699"/>
    <w:rsid w:val="00661969"/>
    <w:rsid w:val="00667ABC"/>
    <w:rsid w:val="00670363"/>
    <w:rsid w:val="00672693"/>
    <w:rsid w:val="00682F53"/>
    <w:rsid w:val="006835FC"/>
    <w:rsid w:val="00684AF6"/>
    <w:rsid w:val="0069159A"/>
    <w:rsid w:val="00694522"/>
    <w:rsid w:val="00695716"/>
    <w:rsid w:val="00696B88"/>
    <w:rsid w:val="00697447"/>
    <w:rsid w:val="006A0A7C"/>
    <w:rsid w:val="006A1145"/>
    <w:rsid w:val="006A19E1"/>
    <w:rsid w:val="006A3B24"/>
    <w:rsid w:val="006B4BC2"/>
    <w:rsid w:val="006B7FA7"/>
    <w:rsid w:val="006C09FE"/>
    <w:rsid w:val="006C2979"/>
    <w:rsid w:val="006C4487"/>
    <w:rsid w:val="006C4C49"/>
    <w:rsid w:val="006C5B91"/>
    <w:rsid w:val="006C6259"/>
    <w:rsid w:val="006C6DB6"/>
    <w:rsid w:val="006D05DA"/>
    <w:rsid w:val="006D097B"/>
    <w:rsid w:val="006D1D81"/>
    <w:rsid w:val="006D22F2"/>
    <w:rsid w:val="006D294F"/>
    <w:rsid w:val="006E5421"/>
    <w:rsid w:val="006E5548"/>
    <w:rsid w:val="006E5E2D"/>
    <w:rsid w:val="006E7F29"/>
    <w:rsid w:val="006F0162"/>
    <w:rsid w:val="006F020D"/>
    <w:rsid w:val="006F5EBD"/>
    <w:rsid w:val="007018AE"/>
    <w:rsid w:val="00706A57"/>
    <w:rsid w:val="007079E2"/>
    <w:rsid w:val="007108C5"/>
    <w:rsid w:val="0071169A"/>
    <w:rsid w:val="00712D9D"/>
    <w:rsid w:val="007178C3"/>
    <w:rsid w:val="00723650"/>
    <w:rsid w:val="00723BA1"/>
    <w:rsid w:val="00723BE2"/>
    <w:rsid w:val="00727839"/>
    <w:rsid w:val="00734DB0"/>
    <w:rsid w:val="0074016A"/>
    <w:rsid w:val="00740A9E"/>
    <w:rsid w:val="00741F16"/>
    <w:rsid w:val="00746966"/>
    <w:rsid w:val="00753D4A"/>
    <w:rsid w:val="007601CD"/>
    <w:rsid w:val="00763737"/>
    <w:rsid w:val="00764713"/>
    <w:rsid w:val="007647B9"/>
    <w:rsid w:val="00764BE2"/>
    <w:rsid w:val="00765FE5"/>
    <w:rsid w:val="00770663"/>
    <w:rsid w:val="00773044"/>
    <w:rsid w:val="0077592E"/>
    <w:rsid w:val="00777258"/>
    <w:rsid w:val="00777BD6"/>
    <w:rsid w:val="00777CCA"/>
    <w:rsid w:val="0078750B"/>
    <w:rsid w:val="00793A51"/>
    <w:rsid w:val="007944F2"/>
    <w:rsid w:val="00794620"/>
    <w:rsid w:val="00794C77"/>
    <w:rsid w:val="00795BF6"/>
    <w:rsid w:val="007A1165"/>
    <w:rsid w:val="007A2AC9"/>
    <w:rsid w:val="007A5ACB"/>
    <w:rsid w:val="007A5FC6"/>
    <w:rsid w:val="007A6B1B"/>
    <w:rsid w:val="007A7C8D"/>
    <w:rsid w:val="007B06B3"/>
    <w:rsid w:val="007B10D1"/>
    <w:rsid w:val="007B42A1"/>
    <w:rsid w:val="007B4552"/>
    <w:rsid w:val="007C2315"/>
    <w:rsid w:val="007C5C3B"/>
    <w:rsid w:val="007D12E9"/>
    <w:rsid w:val="007D4568"/>
    <w:rsid w:val="007D562B"/>
    <w:rsid w:val="007D7A43"/>
    <w:rsid w:val="007E0C66"/>
    <w:rsid w:val="007E261D"/>
    <w:rsid w:val="007E4596"/>
    <w:rsid w:val="007E5616"/>
    <w:rsid w:val="007E6AA1"/>
    <w:rsid w:val="007E71B2"/>
    <w:rsid w:val="007E7438"/>
    <w:rsid w:val="007E7834"/>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4214"/>
    <w:rsid w:val="008260E2"/>
    <w:rsid w:val="00826654"/>
    <w:rsid w:val="00826BCA"/>
    <w:rsid w:val="00827EC9"/>
    <w:rsid w:val="0083162E"/>
    <w:rsid w:val="00831A55"/>
    <w:rsid w:val="00831D1C"/>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147"/>
    <w:rsid w:val="00883811"/>
    <w:rsid w:val="00884B8F"/>
    <w:rsid w:val="008864A2"/>
    <w:rsid w:val="0088713A"/>
    <w:rsid w:val="00890012"/>
    <w:rsid w:val="00890567"/>
    <w:rsid w:val="00894BC9"/>
    <w:rsid w:val="00895B59"/>
    <w:rsid w:val="008A72B2"/>
    <w:rsid w:val="008A771E"/>
    <w:rsid w:val="008B1914"/>
    <w:rsid w:val="008B3792"/>
    <w:rsid w:val="008B4BE6"/>
    <w:rsid w:val="008C04EB"/>
    <w:rsid w:val="008C07AE"/>
    <w:rsid w:val="008C0D2C"/>
    <w:rsid w:val="008C3203"/>
    <w:rsid w:val="008C3858"/>
    <w:rsid w:val="008C3905"/>
    <w:rsid w:val="008C3A2C"/>
    <w:rsid w:val="008C4C3D"/>
    <w:rsid w:val="008C5934"/>
    <w:rsid w:val="008C7396"/>
    <w:rsid w:val="008D1528"/>
    <w:rsid w:val="008D22C1"/>
    <w:rsid w:val="008D4A93"/>
    <w:rsid w:val="008D709C"/>
    <w:rsid w:val="008E05A5"/>
    <w:rsid w:val="008E3622"/>
    <w:rsid w:val="008E3D99"/>
    <w:rsid w:val="008E476B"/>
    <w:rsid w:val="008E567F"/>
    <w:rsid w:val="008E5A9F"/>
    <w:rsid w:val="008F235D"/>
    <w:rsid w:val="008F2DDB"/>
    <w:rsid w:val="008F703B"/>
    <w:rsid w:val="009009E0"/>
    <w:rsid w:val="00900B2B"/>
    <w:rsid w:val="0090211E"/>
    <w:rsid w:val="0090511B"/>
    <w:rsid w:val="00906C92"/>
    <w:rsid w:val="00913BDF"/>
    <w:rsid w:val="009204E7"/>
    <w:rsid w:val="009210CF"/>
    <w:rsid w:val="00922772"/>
    <w:rsid w:val="00923ED4"/>
    <w:rsid w:val="00927C54"/>
    <w:rsid w:val="009307E8"/>
    <w:rsid w:val="00932C48"/>
    <w:rsid w:val="00933C8F"/>
    <w:rsid w:val="0093627E"/>
    <w:rsid w:val="009364EC"/>
    <w:rsid w:val="0093654C"/>
    <w:rsid w:val="00936793"/>
    <w:rsid w:val="009367E0"/>
    <w:rsid w:val="00937780"/>
    <w:rsid w:val="009500F9"/>
    <w:rsid w:val="00952E18"/>
    <w:rsid w:val="00954C54"/>
    <w:rsid w:val="00956618"/>
    <w:rsid w:val="00956820"/>
    <w:rsid w:val="00957DA7"/>
    <w:rsid w:val="009633CC"/>
    <w:rsid w:val="00966BF6"/>
    <w:rsid w:val="00972FA1"/>
    <w:rsid w:val="00974F32"/>
    <w:rsid w:val="0097584D"/>
    <w:rsid w:val="00975C25"/>
    <w:rsid w:val="0098019F"/>
    <w:rsid w:val="009801AF"/>
    <w:rsid w:val="00981373"/>
    <w:rsid w:val="00982221"/>
    <w:rsid w:val="00983538"/>
    <w:rsid w:val="00986BD3"/>
    <w:rsid w:val="0098747D"/>
    <w:rsid w:val="00990237"/>
    <w:rsid w:val="009941A1"/>
    <w:rsid w:val="00995522"/>
    <w:rsid w:val="009959E6"/>
    <w:rsid w:val="009A32DC"/>
    <w:rsid w:val="009A3588"/>
    <w:rsid w:val="009A415A"/>
    <w:rsid w:val="009A58A6"/>
    <w:rsid w:val="009A6ABA"/>
    <w:rsid w:val="009A7F37"/>
    <w:rsid w:val="009B1A16"/>
    <w:rsid w:val="009B3573"/>
    <w:rsid w:val="009B4C26"/>
    <w:rsid w:val="009B78C5"/>
    <w:rsid w:val="009C005F"/>
    <w:rsid w:val="009C0AE3"/>
    <w:rsid w:val="009C17C1"/>
    <w:rsid w:val="009C5C9F"/>
    <w:rsid w:val="009C6448"/>
    <w:rsid w:val="009C74B0"/>
    <w:rsid w:val="009D02E1"/>
    <w:rsid w:val="009D2963"/>
    <w:rsid w:val="009D2CCF"/>
    <w:rsid w:val="009D2EF6"/>
    <w:rsid w:val="009D35C0"/>
    <w:rsid w:val="009D73F1"/>
    <w:rsid w:val="009D7E9A"/>
    <w:rsid w:val="009D7EA2"/>
    <w:rsid w:val="009E19E9"/>
    <w:rsid w:val="009E42CB"/>
    <w:rsid w:val="009E4682"/>
    <w:rsid w:val="009E4D5A"/>
    <w:rsid w:val="009E5657"/>
    <w:rsid w:val="009E5693"/>
    <w:rsid w:val="009E7113"/>
    <w:rsid w:val="009E7CB4"/>
    <w:rsid w:val="009F161B"/>
    <w:rsid w:val="009F2CE8"/>
    <w:rsid w:val="009F553D"/>
    <w:rsid w:val="009F6E60"/>
    <w:rsid w:val="00A00729"/>
    <w:rsid w:val="00A0599F"/>
    <w:rsid w:val="00A0628B"/>
    <w:rsid w:val="00A06566"/>
    <w:rsid w:val="00A0668C"/>
    <w:rsid w:val="00A0738D"/>
    <w:rsid w:val="00A12EC8"/>
    <w:rsid w:val="00A15339"/>
    <w:rsid w:val="00A15415"/>
    <w:rsid w:val="00A17BA9"/>
    <w:rsid w:val="00A17F94"/>
    <w:rsid w:val="00A20D54"/>
    <w:rsid w:val="00A21321"/>
    <w:rsid w:val="00A213F4"/>
    <w:rsid w:val="00A330AF"/>
    <w:rsid w:val="00A33830"/>
    <w:rsid w:val="00A35C98"/>
    <w:rsid w:val="00A35F0D"/>
    <w:rsid w:val="00A37682"/>
    <w:rsid w:val="00A41B1C"/>
    <w:rsid w:val="00A42181"/>
    <w:rsid w:val="00A51C03"/>
    <w:rsid w:val="00A523A6"/>
    <w:rsid w:val="00A54F7B"/>
    <w:rsid w:val="00A5723C"/>
    <w:rsid w:val="00A62602"/>
    <w:rsid w:val="00A63773"/>
    <w:rsid w:val="00A66231"/>
    <w:rsid w:val="00A727D6"/>
    <w:rsid w:val="00A75632"/>
    <w:rsid w:val="00A77E6D"/>
    <w:rsid w:val="00A86A82"/>
    <w:rsid w:val="00A86DDD"/>
    <w:rsid w:val="00A8780A"/>
    <w:rsid w:val="00A87C5B"/>
    <w:rsid w:val="00A92D99"/>
    <w:rsid w:val="00A94FEB"/>
    <w:rsid w:val="00A95D10"/>
    <w:rsid w:val="00A97630"/>
    <w:rsid w:val="00AA0A24"/>
    <w:rsid w:val="00AA24FC"/>
    <w:rsid w:val="00AA28EA"/>
    <w:rsid w:val="00AA567C"/>
    <w:rsid w:val="00AA5FE7"/>
    <w:rsid w:val="00AB005D"/>
    <w:rsid w:val="00AB1073"/>
    <w:rsid w:val="00AB12E9"/>
    <w:rsid w:val="00AB2777"/>
    <w:rsid w:val="00AB635A"/>
    <w:rsid w:val="00AB7B05"/>
    <w:rsid w:val="00AC329E"/>
    <w:rsid w:val="00AC387B"/>
    <w:rsid w:val="00AC5B04"/>
    <w:rsid w:val="00AC6ACF"/>
    <w:rsid w:val="00AC785E"/>
    <w:rsid w:val="00AD1732"/>
    <w:rsid w:val="00AD1A33"/>
    <w:rsid w:val="00AD2E1A"/>
    <w:rsid w:val="00AD463C"/>
    <w:rsid w:val="00AD47CD"/>
    <w:rsid w:val="00AD4EB9"/>
    <w:rsid w:val="00AD6C05"/>
    <w:rsid w:val="00AD7B93"/>
    <w:rsid w:val="00AE0F8F"/>
    <w:rsid w:val="00AE16C9"/>
    <w:rsid w:val="00AE1C47"/>
    <w:rsid w:val="00AE4A7A"/>
    <w:rsid w:val="00AE5EF6"/>
    <w:rsid w:val="00AF0D5C"/>
    <w:rsid w:val="00AF0FA9"/>
    <w:rsid w:val="00AF1450"/>
    <w:rsid w:val="00AF277A"/>
    <w:rsid w:val="00AF2D86"/>
    <w:rsid w:val="00AF5A17"/>
    <w:rsid w:val="00AF7672"/>
    <w:rsid w:val="00AF7B47"/>
    <w:rsid w:val="00B00C3C"/>
    <w:rsid w:val="00B01D34"/>
    <w:rsid w:val="00B0341B"/>
    <w:rsid w:val="00B04CAA"/>
    <w:rsid w:val="00B053E5"/>
    <w:rsid w:val="00B05420"/>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2464"/>
    <w:rsid w:val="00B42D22"/>
    <w:rsid w:val="00B44564"/>
    <w:rsid w:val="00B51371"/>
    <w:rsid w:val="00B60411"/>
    <w:rsid w:val="00B60906"/>
    <w:rsid w:val="00B63297"/>
    <w:rsid w:val="00B63472"/>
    <w:rsid w:val="00B7141E"/>
    <w:rsid w:val="00B75E3D"/>
    <w:rsid w:val="00B76FDB"/>
    <w:rsid w:val="00B8193E"/>
    <w:rsid w:val="00B865EE"/>
    <w:rsid w:val="00B87065"/>
    <w:rsid w:val="00B90CDA"/>
    <w:rsid w:val="00B933B6"/>
    <w:rsid w:val="00B95AF3"/>
    <w:rsid w:val="00B95EA4"/>
    <w:rsid w:val="00B96AE4"/>
    <w:rsid w:val="00B97154"/>
    <w:rsid w:val="00BA14CC"/>
    <w:rsid w:val="00BA3DB8"/>
    <w:rsid w:val="00BB25B5"/>
    <w:rsid w:val="00BB669A"/>
    <w:rsid w:val="00BB6A7D"/>
    <w:rsid w:val="00BB6A81"/>
    <w:rsid w:val="00BB6B10"/>
    <w:rsid w:val="00BB7248"/>
    <w:rsid w:val="00BB72D1"/>
    <w:rsid w:val="00BC1AF5"/>
    <w:rsid w:val="00BC4566"/>
    <w:rsid w:val="00BC4594"/>
    <w:rsid w:val="00BC4FED"/>
    <w:rsid w:val="00BC5815"/>
    <w:rsid w:val="00BD0678"/>
    <w:rsid w:val="00BD1562"/>
    <w:rsid w:val="00BD182C"/>
    <w:rsid w:val="00BD2533"/>
    <w:rsid w:val="00BD61E9"/>
    <w:rsid w:val="00BD68EC"/>
    <w:rsid w:val="00BD7328"/>
    <w:rsid w:val="00BE14A4"/>
    <w:rsid w:val="00BE395C"/>
    <w:rsid w:val="00BE5D58"/>
    <w:rsid w:val="00BF1B29"/>
    <w:rsid w:val="00BF3AD4"/>
    <w:rsid w:val="00BF4054"/>
    <w:rsid w:val="00BF563F"/>
    <w:rsid w:val="00BF6F49"/>
    <w:rsid w:val="00C0028A"/>
    <w:rsid w:val="00C00600"/>
    <w:rsid w:val="00C02A4B"/>
    <w:rsid w:val="00C02CC7"/>
    <w:rsid w:val="00C05634"/>
    <w:rsid w:val="00C05DEC"/>
    <w:rsid w:val="00C07942"/>
    <w:rsid w:val="00C07CAB"/>
    <w:rsid w:val="00C1004E"/>
    <w:rsid w:val="00C10305"/>
    <w:rsid w:val="00C12439"/>
    <w:rsid w:val="00C13779"/>
    <w:rsid w:val="00C14E3C"/>
    <w:rsid w:val="00C16ECD"/>
    <w:rsid w:val="00C1713D"/>
    <w:rsid w:val="00C236B2"/>
    <w:rsid w:val="00C268EA"/>
    <w:rsid w:val="00C27170"/>
    <w:rsid w:val="00C30320"/>
    <w:rsid w:val="00C346EF"/>
    <w:rsid w:val="00C40718"/>
    <w:rsid w:val="00C4157C"/>
    <w:rsid w:val="00C42DAC"/>
    <w:rsid w:val="00C4532B"/>
    <w:rsid w:val="00C50C5F"/>
    <w:rsid w:val="00C5748E"/>
    <w:rsid w:val="00C629A4"/>
    <w:rsid w:val="00C629CB"/>
    <w:rsid w:val="00C641D3"/>
    <w:rsid w:val="00C6632D"/>
    <w:rsid w:val="00C718FE"/>
    <w:rsid w:val="00C73585"/>
    <w:rsid w:val="00C75433"/>
    <w:rsid w:val="00C803E9"/>
    <w:rsid w:val="00C81C7C"/>
    <w:rsid w:val="00C83A92"/>
    <w:rsid w:val="00C83B27"/>
    <w:rsid w:val="00C8572E"/>
    <w:rsid w:val="00C86766"/>
    <w:rsid w:val="00C90E2C"/>
    <w:rsid w:val="00C9105F"/>
    <w:rsid w:val="00C92529"/>
    <w:rsid w:val="00C93B56"/>
    <w:rsid w:val="00C942FE"/>
    <w:rsid w:val="00C96A90"/>
    <w:rsid w:val="00CA07A2"/>
    <w:rsid w:val="00CA0B17"/>
    <w:rsid w:val="00CA2ED3"/>
    <w:rsid w:val="00CA39F0"/>
    <w:rsid w:val="00CB042D"/>
    <w:rsid w:val="00CB0BB3"/>
    <w:rsid w:val="00CB2487"/>
    <w:rsid w:val="00CB4650"/>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1E3A"/>
    <w:rsid w:val="00CF31FF"/>
    <w:rsid w:val="00CF594C"/>
    <w:rsid w:val="00CF770E"/>
    <w:rsid w:val="00D0544D"/>
    <w:rsid w:val="00D061EF"/>
    <w:rsid w:val="00D06F19"/>
    <w:rsid w:val="00D074CD"/>
    <w:rsid w:val="00D102CB"/>
    <w:rsid w:val="00D1275C"/>
    <w:rsid w:val="00D128DC"/>
    <w:rsid w:val="00D14DBE"/>
    <w:rsid w:val="00D14E7F"/>
    <w:rsid w:val="00D1687D"/>
    <w:rsid w:val="00D26880"/>
    <w:rsid w:val="00D27A0E"/>
    <w:rsid w:val="00D302AD"/>
    <w:rsid w:val="00D31D4B"/>
    <w:rsid w:val="00D33FC5"/>
    <w:rsid w:val="00D33FD4"/>
    <w:rsid w:val="00D34423"/>
    <w:rsid w:val="00D35780"/>
    <w:rsid w:val="00D358D2"/>
    <w:rsid w:val="00D40189"/>
    <w:rsid w:val="00D413C7"/>
    <w:rsid w:val="00D4746D"/>
    <w:rsid w:val="00D47753"/>
    <w:rsid w:val="00D51B9E"/>
    <w:rsid w:val="00D529DD"/>
    <w:rsid w:val="00D53199"/>
    <w:rsid w:val="00D55D5C"/>
    <w:rsid w:val="00D567CA"/>
    <w:rsid w:val="00D57322"/>
    <w:rsid w:val="00D606AE"/>
    <w:rsid w:val="00D705F5"/>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4134"/>
    <w:rsid w:val="00DC6B12"/>
    <w:rsid w:val="00DD2F96"/>
    <w:rsid w:val="00DD38A2"/>
    <w:rsid w:val="00DD50E6"/>
    <w:rsid w:val="00DD6018"/>
    <w:rsid w:val="00DE17A1"/>
    <w:rsid w:val="00DE523A"/>
    <w:rsid w:val="00DE6B52"/>
    <w:rsid w:val="00DE79C1"/>
    <w:rsid w:val="00DF002F"/>
    <w:rsid w:val="00DF0415"/>
    <w:rsid w:val="00DF4EC6"/>
    <w:rsid w:val="00DF65CB"/>
    <w:rsid w:val="00DF70D7"/>
    <w:rsid w:val="00E0067C"/>
    <w:rsid w:val="00E00F1E"/>
    <w:rsid w:val="00E01800"/>
    <w:rsid w:val="00E0310F"/>
    <w:rsid w:val="00E0503A"/>
    <w:rsid w:val="00E07172"/>
    <w:rsid w:val="00E14624"/>
    <w:rsid w:val="00E14FF7"/>
    <w:rsid w:val="00E15598"/>
    <w:rsid w:val="00E16816"/>
    <w:rsid w:val="00E16C07"/>
    <w:rsid w:val="00E17044"/>
    <w:rsid w:val="00E17A24"/>
    <w:rsid w:val="00E20E67"/>
    <w:rsid w:val="00E223A7"/>
    <w:rsid w:val="00E25109"/>
    <w:rsid w:val="00E251D2"/>
    <w:rsid w:val="00E265A3"/>
    <w:rsid w:val="00E2709F"/>
    <w:rsid w:val="00E33A52"/>
    <w:rsid w:val="00E375A9"/>
    <w:rsid w:val="00E41C44"/>
    <w:rsid w:val="00E45BB3"/>
    <w:rsid w:val="00E5124D"/>
    <w:rsid w:val="00E51F9A"/>
    <w:rsid w:val="00E520CE"/>
    <w:rsid w:val="00E52A71"/>
    <w:rsid w:val="00E5771C"/>
    <w:rsid w:val="00E60BA0"/>
    <w:rsid w:val="00E6217F"/>
    <w:rsid w:val="00E63007"/>
    <w:rsid w:val="00E63088"/>
    <w:rsid w:val="00E63D89"/>
    <w:rsid w:val="00E649AD"/>
    <w:rsid w:val="00E66A53"/>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15E72"/>
    <w:rsid w:val="00F21EF0"/>
    <w:rsid w:val="00F23A54"/>
    <w:rsid w:val="00F2524B"/>
    <w:rsid w:val="00F259FF"/>
    <w:rsid w:val="00F260E9"/>
    <w:rsid w:val="00F2675B"/>
    <w:rsid w:val="00F313B8"/>
    <w:rsid w:val="00F3237F"/>
    <w:rsid w:val="00F32597"/>
    <w:rsid w:val="00F3646B"/>
    <w:rsid w:val="00F42221"/>
    <w:rsid w:val="00F43DDB"/>
    <w:rsid w:val="00F44480"/>
    <w:rsid w:val="00F45436"/>
    <w:rsid w:val="00F50752"/>
    <w:rsid w:val="00F56B99"/>
    <w:rsid w:val="00F573B7"/>
    <w:rsid w:val="00F60AEB"/>
    <w:rsid w:val="00F62BD7"/>
    <w:rsid w:val="00F63C49"/>
    <w:rsid w:val="00F6436E"/>
    <w:rsid w:val="00F64796"/>
    <w:rsid w:val="00F7560A"/>
    <w:rsid w:val="00F758AF"/>
    <w:rsid w:val="00F774C8"/>
    <w:rsid w:val="00F8443D"/>
    <w:rsid w:val="00F86B43"/>
    <w:rsid w:val="00F86F56"/>
    <w:rsid w:val="00F872BE"/>
    <w:rsid w:val="00F91F30"/>
    <w:rsid w:val="00F92119"/>
    <w:rsid w:val="00F95156"/>
    <w:rsid w:val="00F953AE"/>
    <w:rsid w:val="00FA15A7"/>
    <w:rsid w:val="00FA4A16"/>
    <w:rsid w:val="00FA63C3"/>
    <w:rsid w:val="00FA71B4"/>
    <w:rsid w:val="00FA7FA8"/>
    <w:rsid w:val="00FB2367"/>
    <w:rsid w:val="00FB2B44"/>
    <w:rsid w:val="00FB4AEA"/>
    <w:rsid w:val="00FB53AA"/>
    <w:rsid w:val="00FB56E8"/>
    <w:rsid w:val="00FB7A96"/>
    <w:rsid w:val="00FB7EEB"/>
    <w:rsid w:val="00FC2335"/>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14F"/>
    <w:rsid w:val="00FF79C5"/>
    <w:rsid w:val="01720442"/>
    <w:rsid w:val="023338D1"/>
    <w:rsid w:val="04AD5FA9"/>
    <w:rsid w:val="04D330E5"/>
    <w:rsid w:val="050B287F"/>
    <w:rsid w:val="06C06B99"/>
    <w:rsid w:val="075D5490"/>
    <w:rsid w:val="08144994"/>
    <w:rsid w:val="0A801C94"/>
    <w:rsid w:val="0AAB2942"/>
    <w:rsid w:val="0AD53706"/>
    <w:rsid w:val="0B3138BB"/>
    <w:rsid w:val="0C04759B"/>
    <w:rsid w:val="0C6F5DE9"/>
    <w:rsid w:val="0C83335F"/>
    <w:rsid w:val="0CC304D1"/>
    <w:rsid w:val="0D866E1C"/>
    <w:rsid w:val="0DA41AC3"/>
    <w:rsid w:val="0DA53A1F"/>
    <w:rsid w:val="0FF409D6"/>
    <w:rsid w:val="1130228A"/>
    <w:rsid w:val="117F169A"/>
    <w:rsid w:val="11A9109E"/>
    <w:rsid w:val="11AA5E17"/>
    <w:rsid w:val="11E03AC5"/>
    <w:rsid w:val="133F6234"/>
    <w:rsid w:val="13855EF2"/>
    <w:rsid w:val="13EE1CEA"/>
    <w:rsid w:val="140F1BAC"/>
    <w:rsid w:val="14365E25"/>
    <w:rsid w:val="1522312B"/>
    <w:rsid w:val="15AC13CF"/>
    <w:rsid w:val="162F52D0"/>
    <w:rsid w:val="16C11479"/>
    <w:rsid w:val="176470DA"/>
    <w:rsid w:val="186500A0"/>
    <w:rsid w:val="190D0B94"/>
    <w:rsid w:val="193B4921"/>
    <w:rsid w:val="19DD0836"/>
    <w:rsid w:val="1B84191A"/>
    <w:rsid w:val="1CB45C7B"/>
    <w:rsid w:val="1D1E28B9"/>
    <w:rsid w:val="1E927400"/>
    <w:rsid w:val="1EA731C1"/>
    <w:rsid w:val="1EC50CBF"/>
    <w:rsid w:val="1F672539"/>
    <w:rsid w:val="1FAF70DA"/>
    <w:rsid w:val="203667C7"/>
    <w:rsid w:val="20410E61"/>
    <w:rsid w:val="20A81A74"/>
    <w:rsid w:val="22511DC1"/>
    <w:rsid w:val="227D42FB"/>
    <w:rsid w:val="232A614F"/>
    <w:rsid w:val="234A2E0A"/>
    <w:rsid w:val="23E966D3"/>
    <w:rsid w:val="248F084E"/>
    <w:rsid w:val="24E53F53"/>
    <w:rsid w:val="258C2AB4"/>
    <w:rsid w:val="260E3B25"/>
    <w:rsid w:val="27894F33"/>
    <w:rsid w:val="2868322B"/>
    <w:rsid w:val="28814A83"/>
    <w:rsid w:val="28D718EE"/>
    <w:rsid w:val="2A5E0833"/>
    <w:rsid w:val="2B125E66"/>
    <w:rsid w:val="2D106308"/>
    <w:rsid w:val="2E7A7E5B"/>
    <w:rsid w:val="2ED764F2"/>
    <w:rsid w:val="2F4A3C93"/>
    <w:rsid w:val="314E4DC5"/>
    <w:rsid w:val="334C64FD"/>
    <w:rsid w:val="33F71DD9"/>
    <w:rsid w:val="34963A11"/>
    <w:rsid w:val="35AB0EC5"/>
    <w:rsid w:val="3B8052F7"/>
    <w:rsid w:val="3B8A1413"/>
    <w:rsid w:val="3C334E6D"/>
    <w:rsid w:val="3D0D62A8"/>
    <w:rsid w:val="3D2C1009"/>
    <w:rsid w:val="3E472078"/>
    <w:rsid w:val="3E7D6A88"/>
    <w:rsid w:val="3EFD61EA"/>
    <w:rsid w:val="3FB90E23"/>
    <w:rsid w:val="410317A4"/>
    <w:rsid w:val="41395E7B"/>
    <w:rsid w:val="42567D71"/>
    <w:rsid w:val="427315D3"/>
    <w:rsid w:val="434C281A"/>
    <w:rsid w:val="44A665F1"/>
    <w:rsid w:val="46753A21"/>
    <w:rsid w:val="481A487E"/>
    <w:rsid w:val="48947988"/>
    <w:rsid w:val="48AB1DFD"/>
    <w:rsid w:val="48EE54A6"/>
    <w:rsid w:val="48F37099"/>
    <w:rsid w:val="49A300D2"/>
    <w:rsid w:val="4A7D6C4A"/>
    <w:rsid w:val="4B8A335B"/>
    <w:rsid w:val="4BBA3C84"/>
    <w:rsid w:val="4BC5548B"/>
    <w:rsid w:val="4C53058E"/>
    <w:rsid w:val="4C6A3176"/>
    <w:rsid w:val="4CD945DE"/>
    <w:rsid w:val="4CFC4C6D"/>
    <w:rsid w:val="4D096F8E"/>
    <w:rsid w:val="4F457D08"/>
    <w:rsid w:val="4F6463E1"/>
    <w:rsid w:val="4FB72761"/>
    <w:rsid w:val="50240542"/>
    <w:rsid w:val="528F1410"/>
    <w:rsid w:val="52AF255B"/>
    <w:rsid w:val="53F93891"/>
    <w:rsid w:val="548D77AF"/>
    <w:rsid w:val="56372AA1"/>
    <w:rsid w:val="590B7E91"/>
    <w:rsid w:val="59373D1E"/>
    <w:rsid w:val="59867935"/>
    <w:rsid w:val="59896373"/>
    <w:rsid w:val="5A1018D3"/>
    <w:rsid w:val="5A3329F0"/>
    <w:rsid w:val="5B167C75"/>
    <w:rsid w:val="5C6E0FDC"/>
    <w:rsid w:val="5CE310AD"/>
    <w:rsid w:val="5D5D3774"/>
    <w:rsid w:val="5DDB6408"/>
    <w:rsid w:val="5DE007BC"/>
    <w:rsid w:val="6098238E"/>
    <w:rsid w:val="60D567B9"/>
    <w:rsid w:val="616616D2"/>
    <w:rsid w:val="61790E2E"/>
    <w:rsid w:val="62ED2922"/>
    <w:rsid w:val="630522E1"/>
    <w:rsid w:val="635F546D"/>
    <w:rsid w:val="641B50D0"/>
    <w:rsid w:val="64854517"/>
    <w:rsid w:val="652660A7"/>
    <w:rsid w:val="66C13CC1"/>
    <w:rsid w:val="6759642A"/>
    <w:rsid w:val="67E33FF0"/>
    <w:rsid w:val="68BE670A"/>
    <w:rsid w:val="692308DC"/>
    <w:rsid w:val="692C0C80"/>
    <w:rsid w:val="6ABD66AF"/>
    <w:rsid w:val="6AD66987"/>
    <w:rsid w:val="6C1958B7"/>
    <w:rsid w:val="6CB03B1E"/>
    <w:rsid w:val="6D3E1F4F"/>
    <w:rsid w:val="6E386E8A"/>
    <w:rsid w:val="6F154BE6"/>
    <w:rsid w:val="6F8F06D7"/>
    <w:rsid w:val="70D77170"/>
    <w:rsid w:val="71081781"/>
    <w:rsid w:val="718457FA"/>
    <w:rsid w:val="73491624"/>
    <w:rsid w:val="736D0843"/>
    <w:rsid w:val="745B3B0C"/>
    <w:rsid w:val="74A072EF"/>
    <w:rsid w:val="75C254E2"/>
    <w:rsid w:val="75CD7A22"/>
    <w:rsid w:val="765E353C"/>
    <w:rsid w:val="76BF09FA"/>
    <w:rsid w:val="76FF13B0"/>
    <w:rsid w:val="790E2FED"/>
    <w:rsid w:val="79220A6E"/>
    <w:rsid w:val="7A1A0ECC"/>
    <w:rsid w:val="7B097114"/>
    <w:rsid w:val="7B2A76F2"/>
    <w:rsid w:val="7BC7378A"/>
    <w:rsid w:val="7C594C70"/>
    <w:rsid w:val="7F426725"/>
    <w:rsid w:val="7F6539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7">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8"/>
    <w:semiHidden/>
    <w:qFormat/>
    <w:uiPriority w:val="99"/>
    <w:pPr>
      <w:jc w:val="left"/>
    </w:pPr>
  </w:style>
  <w:style w:type="paragraph" w:styleId="4">
    <w:name w:val="Body Text Indent"/>
    <w:basedOn w:val="1"/>
    <w:qFormat/>
    <w:uiPriority w:val="0"/>
    <w:pPr>
      <w:spacing w:line="480" w:lineRule="exact"/>
      <w:ind w:firstLine="560"/>
    </w:pPr>
    <w:rPr>
      <w:rFonts w:ascii="宋体" w:hAnsi="宋体"/>
    </w:rPr>
  </w:style>
  <w:style w:type="paragraph" w:styleId="5">
    <w:name w:val="Plain Text"/>
    <w:basedOn w:val="1"/>
    <w:qFormat/>
    <w:uiPriority w:val="0"/>
    <w:rPr>
      <w:rFonts w:ascii="宋体" w:hAnsi="Courier New"/>
    </w:rPr>
  </w:style>
  <w:style w:type="paragraph" w:styleId="6">
    <w:name w:val="Date"/>
    <w:basedOn w:val="1"/>
    <w:next w:val="1"/>
    <w:link w:val="29"/>
    <w:qFormat/>
    <w:uiPriority w:val="0"/>
    <w:rPr>
      <w:sz w:val="24"/>
    </w:rPr>
  </w:style>
  <w:style w:type="paragraph" w:styleId="7">
    <w:name w:val="Body Text Indent 2"/>
    <w:basedOn w:val="1"/>
    <w:qFormat/>
    <w:uiPriority w:val="0"/>
    <w:pPr>
      <w:ind w:firstLine="539"/>
    </w:pPr>
    <w:rPr>
      <w:color w:val="FF000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440" w:lineRule="exact"/>
      <w:ind w:firstLine="480"/>
    </w:pPr>
    <w:rPr>
      <w:rFonts w:ascii="宋体" w:hAnsi="宋体"/>
      <w:sz w:val="24"/>
    </w:rPr>
  </w:style>
  <w:style w:type="paragraph" w:styleId="12">
    <w:name w:val="index 1"/>
    <w:basedOn w:val="1"/>
    <w:next w:val="1"/>
    <w:qFormat/>
    <w:uiPriority w:val="0"/>
    <w:rPr>
      <w:rFonts w:eastAsia="楷体_GB2312"/>
      <w:sz w:val="28"/>
      <w:szCs w:val="24"/>
    </w:rPr>
  </w:style>
  <w:style w:type="paragraph" w:styleId="13">
    <w:name w:val="annotation subject"/>
    <w:basedOn w:val="3"/>
    <w:next w:val="3"/>
    <w:semiHidden/>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Colorful 2"/>
    <w:basedOn w:val="14"/>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yperlink"/>
    <w:qFormat/>
    <w:uiPriority w:val="0"/>
    <w:rPr>
      <w:color w:val="0000FF"/>
      <w:u w:val="single"/>
    </w:rPr>
  </w:style>
  <w:style w:type="character" w:styleId="21">
    <w:name w:val="annotation reference"/>
    <w:semiHidden/>
    <w:qFormat/>
    <w:uiPriority w:val="0"/>
    <w:rPr>
      <w:sz w:val="21"/>
      <w:szCs w:val="21"/>
    </w:rPr>
  </w:style>
  <w:style w:type="paragraph" w:customStyle="1" w:styleId="22">
    <w:name w:val="正文1"/>
    <w:qFormat/>
    <w:uiPriority w:val="0"/>
    <w:pPr>
      <w:jc w:val="both"/>
    </w:pPr>
    <w:rPr>
      <w:rFonts w:ascii="Times New Roman" w:hAnsi="Times New Roman" w:eastAsia="PMingLiU" w:cs="Times New Roman"/>
      <w:kern w:val="2"/>
      <w:sz w:val="24"/>
      <w:lang w:val="en-US" w:eastAsia="zh-TW" w:bidi="ar-SA"/>
    </w:rPr>
  </w:style>
  <w:style w:type="paragraph" w:customStyle="1" w:styleId="23">
    <w:name w:val="默认段落字体 Para Char Char Char Char Char Char Char"/>
    <w:basedOn w:val="1"/>
    <w:qFormat/>
    <w:uiPriority w:val="0"/>
    <w:rPr>
      <w:rFonts w:ascii="Tahoma" w:hAnsi="Tahoma"/>
      <w:sz w:val="24"/>
    </w:rPr>
  </w:style>
  <w:style w:type="paragraph" w:customStyle="1" w:styleId="24">
    <w:name w:val="Char Char Char Char 字元 字元 Char Char 字元 字元"/>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5">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
    <w:name w:val="Char Char Char1 Char"/>
    <w:basedOn w:val="2"/>
    <w:qFormat/>
    <w:uiPriority w:val="0"/>
    <w:pPr>
      <w:adjustRightInd w:val="0"/>
      <w:spacing w:line="436" w:lineRule="exact"/>
      <w:ind w:left="357"/>
      <w:jc w:val="left"/>
      <w:outlineLvl w:val="3"/>
    </w:pPr>
    <w:rPr>
      <w:rFonts w:ascii="Tahoma" w:hAnsi="Tahoma"/>
      <w:b/>
      <w:sz w:val="24"/>
      <w:szCs w:val="28"/>
    </w:rPr>
  </w:style>
  <w:style w:type="character" w:customStyle="1" w:styleId="27">
    <w:name w:val="页眉 字符"/>
    <w:link w:val="10"/>
    <w:qFormat/>
    <w:uiPriority w:val="0"/>
    <w:rPr>
      <w:kern w:val="2"/>
      <w:sz w:val="18"/>
      <w:szCs w:val="18"/>
    </w:rPr>
  </w:style>
  <w:style w:type="character" w:customStyle="1" w:styleId="28">
    <w:name w:val="批注文字 字符"/>
    <w:link w:val="3"/>
    <w:semiHidden/>
    <w:qFormat/>
    <w:uiPriority w:val="99"/>
    <w:rPr>
      <w:kern w:val="2"/>
      <w:sz w:val="21"/>
    </w:rPr>
  </w:style>
  <w:style w:type="character" w:customStyle="1" w:styleId="29">
    <w:name w:val="日期 字符"/>
    <w:link w:val="6"/>
    <w:qFormat/>
    <w:uiPriority w:val="0"/>
    <w:rPr>
      <w:kern w:val="2"/>
      <w:sz w:val="24"/>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styleId="31">
    <w:name w:val="List Paragraph"/>
    <w:basedOn w:val="1"/>
    <w:qFormat/>
    <w:uiPriority w:val="34"/>
    <w:pPr>
      <w:ind w:firstLine="420" w:firstLineChars="200"/>
    </w:pPr>
  </w:style>
  <w:style w:type="paragraph" w:customStyle="1" w:styleId="32">
    <w:name w:val="修订2"/>
    <w:hidden/>
    <w:semiHidden/>
    <w:qFormat/>
    <w:uiPriority w:val="99"/>
    <w:rPr>
      <w:rFonts w:ascii="Times New Roman" w:hAnsi="Times New Roman" w:eastAsia="宋体" w:cs="Times New Roman"/>
      <w:kern w:val="2"/>
      <w:sz w:val="21"/>
      <w:lang w:val="en-US" w:eastAsia="zh-CN" w:bidi="ar-SA"/>
    </w:rPr>
  </w:style>
  <w:style w:type="paragraph" w:customStyle="1" w:styleId="33">
    <w:name w:val="修订3"/>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13C2B-0D5A-456C-9E3C-5F08C8A5A5F2}">
  <ds:schemaRefs/>
</ds:datastoreItem>
</file>

<file path=docProps/app.xml><?xml version="1.0" encoding="utf-8"?>
<Properties xmlns="http://schemas.openxmlformats.org/officeDocument/2006/extended-properties" xmlns:vt="http://schemas.openxmlformats.org/officeDocument/2006/docPropsVTypes">
  <Template>Normal.dotm</Template>
  <Company>csc</Company>
  <Pages>5</Pages>
  <Words>2249</Words>
  <Characters>2598</Characters>
  <Lines>93</Lines>
  <Paragraphs>78</Paragraphs>
  <TotalTime>87</TotalTime>
  <ScaleCrop>false</ScaleCrop>
  <LinksUpToDate>false</LinksUpToDate>
  <CharactersWithSpaces>2630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2025-04-27T06:43:00Z</dcterms:created>
  <dc:creator>lx</dc:creator>
  <cp:lastModifiedBy>YUANSU HU</cp:lastModifiedBy>
  <cp:lastPrinted>2025-04-28T03:31:00Z</cp:lastPrinted>
  <dcterms:modified xsi:type="dcterms:W3CDTF">2025-04-29T08:13:09Z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</vt:lpwstr>
  </property>
  <property fmtid="{D5CDD505-2E9C-101B-9397-08002B2CF9AE}" pid="3" name="KSOProductBuildVer">
    <vt:lpwstr>2052-11.1.0.14309</vt:lpwstr>
  </property>
  <property fmtid="{D5CDD505-2E9C-101B-9397-08002B2CF9AE}" pid="4" name="ICV">
    <vt:lpwstr>C9A3F4A8674E40A59B6FA1A6087C244E_13</vt:lpwstr>
  </property>
</Properties>
</file>