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eastAsia" w:ascii="黑体" w:hAnsi="黑体" w:eastAsia="黑体" w:cs="Times New Roman"/>
          <w:sz w:val="21"/>
          <w:szCs w:val="21"/>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编号：临202</w:t>
      </w:r>
      <w:r>
        <w:rPr>
          <w:rFonts w:hint="eastAsia" w:ascii="黑体" w:hAnsi="黑体" w:eastAsia="黑体" w:cs="Times New Roman"/>
          <w:sz w:val="21"/>
          <w:szCs w:val="21"/>
        </w:rPr>
        <w:t>5</w:t>
      </w:r>
      <w:r>
        <w:rPr>
          <w:rFonts w:ascii="黑体" w:hAnsi="黑体" w:eastAsia="黑体" w:cs="Times New Roman"/>
          <w:sz w:val="21"/>
          <w:szCs w:val="21"/>
        </w:rPr>
        <w:t>-</w:t>
      </w:r>
      <w:r>
        <w:rPr>
          <w:rFonts w:hint="eastAsia" w:ascii="黑体" w:hAnsi="黑体" w:eastAsia="黑体" w:cs="Times New Roman"/>
          <w:sz w:val="21"/>
          <w:szCs w:val="21"/>
        </w:rPr>
        <w:t>0</w:t>
      </w:r>
      <w:r>
        <w:rPr>
          <w:rFonts w:hint="eastAsia" w:ascii="黑体" w:hAnsi="黑体" w:eastAsia="黑体" w:cs="黑体"/>
          <w:sz w:val="21"/>
          <w:szCs w:val="21"/>
        </w:rPr>
        <w:t>21</w:t>
      </w:r>
    </w:p>
    <w:p>
      <w:pPr>
        <w:adjustRightInd w:val="0"/>
        <w:snapToGrid w:val="0"/>
        <w:spacing w:line="300" w:lineRule="auto"/>
        <w:rPr>
          <w:rFonts w:ascii="Times New Roman" w:hAnsi="Times New Roman" w:cs="Times New Roman"/>
          <w:sz w:val="30"/>
          <w:szCs w:val="30"/>
        </w:rPr>
      </w:pPr>
    </w:p>
    <w:p>
      <w:pPr>
        <w:adjustRightInd w:val="0"/>
        <w:snapToGrid w:val="0"/>
        <w:spacing w:line="300" w:lineRule="auto"/>
        <w:jc w:val="center"/>
        <w:rPr>
          <w:rFonts w:hint="eastAsia"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兖矿能源集团股份有限公司关联交易公告</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hint="eastAsia" w:cs="Times New Roman" w:asciiTheme="minorEastAsia" w:hAnsiTheme="minorEastAsia" w:eastAsiaTheme="minorEastAsia"/>
          <w:color w:val="000000"/>
        </w:rPr>
      </w:pPr>
    </w:p>
    <w:p>
      <w:pPr>
        <w:adjustRightInd w:val="0"/>
        <w:snapToGrid w:val="0"/>
        <w:spacing w:line="520" w:lineRule="exact"/>
        <w:ind w:firstLine="562" w:firstLineChars="200"/>
        <w:rPr>
          <w:rFonts w:hint="eastAsia"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2"/>
        </w:numPr>
        <w:adjustRightInd w:val="0"/>
        <w:snapToGrid w:val="0"/>
        <w:spacing w:line="520" w:lineRule="exact"/>
        <w:ind w:left="851" w:hanging="284"/>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交易内容：</w:t>
      </w:r>
      <w:r>
        <w:rPr>
          <w:rFonts w:hint="eastAsia" w:cs="Times New Roman" w:asciiTheme="minorEastAsia" w:hAnsiTheme="minorEastAsia" w:eastAsiaTheme="minorEastAsia"/>
          <w:sz w:val="28"/>
          <w:szCs w:val="28"/>
        </w:rPr>
        <w:t>兖矿能源集团股份有限公司（“兖矿能源”“公司”或“上市公司”）拟以现金140.66亿元收购控股股东山东能源集团有限公司（“山能集团”）权属公司——山东能源集团西北矿业有限公司（“西北矿业”“目标公司”）51%股权，其中以现金47.48亿元受让西北矿业26%股权</w:t>
      </w:r>
      <w:bookmarkStart w:id="0" w:name="OLE_LINK1"/>
      <w:r>
        <w:rPr>
          <w:rFonts w:hint="eastAsia" w:cs="Times New Roman" w:asciiTheme="minorEastAsia" w:hAnsiTheme="minorEastAsia" w:eastAsiaTheme="minorEastAsia"/>
          <w:sz w:val="28"/>
          <w:szCs w:val="28"/>
        </w:rPr>
        <w:t>，以现金93.18亿元向西北矿业增资</w:t>
      </w:r>
      <w:bookmarkEnd w:id="0"/>
      <w:r>
        <w:rPr>
          <w:rFonts w:hint="eastAsia" w:cs="Times New Roman" w:asciiTheme="minorEastAsia" w:hAnsiTheme="minorEastAsia" w:eastAsiaTheme="minorEastAsia"/>
          <w:sz w:val="28"/>
          <w:szCs w:val="28"/>
        </w:rPr>
        <w:t>（“本次交易”）。</w:t>
      </w:r>
    </w:p>
    <w:p>
      <w:pPr>
        <w:numPr>
          <w:ilvl w:val="0"/>
          <w:numId w:val="2"/>
        </w:numPr>
        <w:adjustRightInd w:val="0"/>
        <w:snapToGrid w:val="0"/>
        <w:spacing w:line="520" w:lineRule="exact"/>
        <w:ind w:left="851" w:hanging="284"/>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本次交易构成关联交易，但不构成重大资产重组事项，亦不构成重组上市。</w:t>
      </w:r>
    </w:p>
    <w:p>
      <w:pPr>
        <w:numPr>
          <w:ilvl w:val="0"/>
          <w:numId w:val="2"/>
        </w:numPr>
        <w:adjustRightInd w:val="0"/>
        <w:snapToGrid w:val="0"/>
        <w:spacing w:line="520" w:lineRule="exact"/>
        <w:ind w:left="851" w:hanging="284"/>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本次交易已经公司第</w:t>
      </w:r>
      <w:r>
        <w:rPr>
          <w:rFonts w:hint="eastAsia" w:cs="Times New Roman" w:asciiTheme="minorEastAsia" w:hAnsiTheme="minorEastAsia" w:eastAsiaTheme="minorEastAsia"/>
          <w:sz w:val="28"/>
          <w:szCs w:val="28"/>
        </w:rPr>
        <w:t>九</w:t>
      </w:r>
      <w:r>
        <w:rPr>
          <w:rFonts w:cs="Times New Roman" w:asciiTheme="minorEastAsia" w:hAnsiTheme="minorEastAsia" w:eastAsiaTheme="minorEastAsia"/>
          <w:sz w:val="28"/>
          <w:szCs w:val="28"/>
        </w:rPr>
        <w:t>届董事会第</w:t>
      </w:r>
      <w:r>
        <w:rPr>
          <w:rFonts w:hint="eastAsia" w:cs="Times New Roman" w:asciiTheme="minorEastAsia" w:hAnsiTheme="minorEastAsia" w:eastAsiaTheme="minorEastAsia"/>
          <w:sz w:val="28"/>
          <w:szCs w:val="28"/>
        </w:rPr>
        <w:t>十五</w:t>
      </w:r>
      <w:r>
        <w:rPr>
          <w:rFonts w:cs="Times New Roman" w:asciiTheme="minorEastAsia" w:hAnsiTheme="minorEastAsia" w:eastAsiaTheme="minorEastAsia"/>
          <w:sz w:val="28"/>
          <w:szCs w:val="28"/>
        </w:rPr>
        <w:t>次会议审议批准，尚需提交</w:t>
      </w:r>
      <w:r>
        <w:rPr>
          <w:rFonts w:hint="eastAsia" w:cs="Times New Roman" w:asciiTheme="minorEastAsia" w:hAnsiTheme="minorEastAsia" w:eastAsiaTheme="minorEastAsia"/>
          <w:sz w:val="28"/>
          <w:szCs w:val="28"/>
        </w:rPr>
        <w:t>公司</w:t>
      </w:r>
      <w:r>
        <w:rPr>
          <w:rFonts w:cs="Times New Roman" w:asciiTheme="minorEastAsia" w:hAnsiTheme="minorEastAsia" w:eastAsiaTheme="minorEastAsia"/>
          <w:sz w:val="28"/>
          <w:szCs w:val="28"/>
        </w:rPr>
        <w:t>股东大会审议。</w:t>
      </w:r>
    </w:p>
    <w:p>
      <w:pPr>
        <w:numPr>
          <w:ilvl w:val="0"/>
          <w:numId w:val="2"/>
        </w:numPr>
        <w:adjustRightInd w:val="0"/>
        <w:snapToGrid w:val="0"/>
        <w:spacing w:line="520" w:lineRule="exact"/>
        <w:ind w:left="851" w:hanging="284"/>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截至本公告日，除日常关联交易外，</w:t>
      </w:r>
      <w:r>
        <w:rPr>
          <w:rFonts w:cs="Times New Roman" w:asciiTheme="minorEastAsia" w:hAnsiTheme="minorEastAsia" w:eastAsiaTheme="minorEastAsia"/>
          <w:sz w:val="28"/>
          <w:szCs w:val="28"/>
        </w:rPr>
        <w:t>过去12个月内公司与山能集团及其下属公司发生的关联交易</w:t>
      </w:r>
      <w:r>
        <w:rPr>
          <w:rFonts w:hint="eastAsia" w:cs="Times New Roman" w:asciiTheme="minorEastAsia" w:hAnsiTheme="minorEastAsia" w:eastAsiaTheme="minorEastAsia"/>
          <w:sz w:val="28"/>
          <w:szCs w:val="28"/>
        </w:rPr>
        <w:t>累计次数为3次，金额为</w:t>
      </w:r>
      <w:r>
        <w:rPr>
          <w:rFonts w:cs="Times New Roman" w:asciiTheme="minorEastAsia" w:hAnsiTheme="minorEastAsia" w:eastAsiaTheme="minorEastAsia"/>
          <w:sz w:val="28"/>
          <w:szCs w:val="28"/>
        </w:rPr>
        <w:t>114,025.57</w:t>
      </w:r>
      <w:r>
        <w:rPr>
          <w:rFonts w:hint="eastAsia" w:cs="Times New Roman" w:asciiTheme="minorEastAsia" w:hAnsiTheme="minorEastAsia" w:eastAsiaTheme="minorEastAsia"/>
          <w:sz w:val="28"/>
          <w:szCs w:val="28"/>
        </w:rPr>
        <w:t>万元</w:t>
      </w:r>
      <w:r>
        <w:rPr>
          <w:rFonts w:cs="Times New Roman" w:asciiTheme="minorEastAsia" w:hAnsiTheme="minorEastAsia" w:eastAsiaTheme="minorEastAsia"/>
          <w:sz w:val="28"/>
          <w:szCs w:val="28"/>
        </w:rPr>
        <w:t>。</w:t>
      </w:r>
    </w:p>
    <w:p>
      <w:pPr>
        <w:numPr>
          <w:ilvl w:val="0"/>
          <w:numId w:val="2"/>
        </w:numPr>
        <w:adjustRightInd w:val="0"/>
        <w:snapToGrid w:val="0"/>
        <w:spacing w:line="520" w:lineRule="exact"/>
        <w:ind w:left="851" w:hanging="284"/>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本次交易的风险提示详见本公告之“</w:t>
      </w:r>
      <w:r>
        <w:rPr>
          <w:rFonts w:hint="eastAsia" w:cs="Times New Roman" w:asciiTheme="minorEastAsia" w:hAnsiTheme="minorEastAsia" w:eastAsiaTheme="minorEastAsia"/>
          <w:sz w:val="28"/>
          <w:szCs w:val="28"/>
        </w:rPr>
        <w:t>九</w:t>
      </w:r>
      <w:r>
        <w:rPr>
          <w:rFonts w:cs="Times New Roman" w:asciiTheme="minorEastAsia" w:hAnsiTheme="minorEastAsia" w:eastAsiaTheme="minorEastAsia"/>
          <w:sz w:val="28"/>
          <w:szCs w:val="28"/>
        </w:rPr>
        <w:t>、风险提示及应对措施”相关内容。</w:t>
      </w:r>
    </w:p>
    <w:p>
      <w:pPr>
        <w:autoSpaceDE w:val="0"/>
        <w:autoSpaceDN w:val="0"/>
        <w:adjustRightInd w:val="0"/>
        <w:snapToGrid w:val="0"/>
        <w:spacing w:line="520" w:lineRule="exact"/>
        <w:ind w:firstLine="562" w:firstLineChars="200"/>
        <w:jc w:val="both"/>
        <w:rPr>
          <w:rFonts w:hint="eastAsia" w:cs="Times New Roman" w:asciiTheme="minorEastAsia" w:hAnsiTheme="minorEastAsia" w:eastAsiaTheme="minorEastAsia"/>
          <w:b/>
          <w:color w:val="000000"/>
          <w:sz w:val="28"/>
          <w:szCs w:val="28"/>
        </w:rPr>
      </w:pPr>
    </w:p>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一、本次交易概述</w:t>
      </w:r>
    </w:p>
    <w:p>
      <w:pPr>
        <w:keepNext/>
        <w:adjustRightInd w:val="0"/>
        <w:snapToGrid w:val="0"/>
        <w:spacing w:line="520" w:lineRule="exact"/>
        <w:ind w:firstLine="562" w:firstLineChars="200"/>
        <w:jc w:val="both"/>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（一）本次交易基本情况</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为整合优质煤炭资源，做大做强主业，并有效解决同业竞争，公司拟以现金140.66亿元收购西北矿业51%股权，其中以现金4</w:t>
      </w:r>
      <w:r>
        <w:rPr>
          <w:rFonts w:cs="Times New Roman" w:asciiTheme="minorEastAsia" w:hAnsiTheme="minorEastAsia" w:eastAsiaTheme="minorEastAsia"/>
        </w:rPr>
        <w:t>7</w:t>
      </w:r>
      <w:r>
        <w:rPr>
          <w:rFonts w:hint="eastAsia" w:cs="Times New Roman" w:asciiTheme="minorEastAsia" w:hAnsiTheme="minorEastAsia" w:eastAsiaTheme="minorEastAsia"/>
        </w:rPr>
        <w:t>.</w:t>
      </w:r>
      <w:r>
        <w:rPr>
          <w:rFonts w:cs="Times New Roman" w:asciiTheme="minorEastAsia" w:hAnsiTheme="minorEastAsia" w:eastAsiaTheme="minorEastAsia"/>
        </w:rPr>
        <w:t>48</w:t>
      </w:r>
      <w:r>
        <w:rPr>
          <w:rFonts w:hint="eastAsia" w:cs="Times New Roman" w:asciiTheme="minorEastAsia" w:hAnsiTheme="minorEastAsia" w:eastAsiaTheme="minorEastAsia"/>
        </w:rPr>
        <w:t>亿元</w:t>
      </w:r>
      <w:r>
        <w:rPr>
          <w:rFonts w:cs="Times New Roman" w:asciiTheme="minorEastAsia" w:hAnsiTheme="minorEastAsia" w:eastAsiaTheme="minorEastAsia"/>
        </w:rPr>
        <w:t>收购西</w:t>
      </w:r>
      <w:r>
        <w:rPr>
          <w:rFonts w:hint="eastAsia" w:cs="Times New Roman" w:asciiTheme="minorEastAsia" w:hAnsiTheme="minorEastAsia" w:eastAsiaTheme="minorEastAsia"/>
        </w:rPr>
        <w:t>北</w:t>
      </w:r>
      <w:r>
        <w:rPr>
          <w:rFonts w:cs="Times New Roman" w:asciiTheme="minorEastAsia" w:hAnsiTheme="minorEastAsia" w:eastAsiaTheme="minorEastAsia"/>
        </w:rPr>
        <w:t>矿业</w:t>
      </w:r>
      <w:r>
        <w:rPr>
          <w:rFonts w:hint="eastAsia" w:cs="Times New Roman" w:asciiTheme="minorEastAsia" w:hAnsiTheme="minorEastAsia" w:eastAsiaTheme="minorEastAsia"/>
        </w:rPr>
        <w:t>现有股东</w:t>
      </w:r>
      <w:r>
        <w:rPr>
          <w:rFonts w:cs="Times New Roman" w:asciiTheme="minorEastAsia" w:hAnsiTheme="minorEastAsia" w:eastAsiaTheme="minorEastAsia"/>
        </w:rPr>
        <w:t>26</w:t>
      </w:r>
      <w:r>
        <w:rPr>
          <w:rFonts w:hint="eastAsia" w:cs="Times New Roman" w:asciiTheme="minorEastAsia" w:hAnsiTheme="minorEastAsia" w:eastAsiaTheme="minorEastAsia"/>
        </w:rPr>
        <w:t>%</w:t>
      </w:r>
      <w:r>
        <w:rPr>
          <w:rFonts w:cs="Times New Roman" w:asciiTheme="minorEastAsia" w:hAnsiTheme="minorEastAsia" w:eastAsiaTheme="minorEastAsia"/>
        </w:rPr>
        <w:t>股权</w:t>
      </w:r>
      <w:r>
        <w:rPr>
          <w:rFonts w:hint="eastAsia" w:cs="Times New Roman" w:asciiTheme="minorEastAsia" w:hAnsiTheme="minorEastAsia" w:eastAsiaTheme="minorEastAsia"/>
        </w:rPr>
        <w:t>，以现金93.18亿元向西北矿业增资。具体交易方案如下：</w:t>
      </w:r>
    </w:p>
    <w:p>
      <w:pPr>
        <w:pStyle w:val="39"/>
        <w:keepNext/>
        <w:spacing w:line="520" w:lineRule="exact"/>
        <w:ind w:firstLine="562"/>
        <w:jc w:val="both"/>
        <w:rPr>
          <w:rFonts w:hint="eastAsia" w:cs="Times New Roman" w:asciiTheme="minorEastAsia" w:hAnsiTheme="minorEastAsia" w:eastAsiaTheme="minorEastAsia"/>
          <w:b/>
          <w:bCs/>
        </w:rPr>
      </w:pPr>
      <w:bookmarkStart w:id="1" w:name="_Hlk193822360"/>
      <w:r>
        <w:rPr>
          <w:rFonts w:cs="Times New Roman" w:asciiTheme="minorEastAsia" w:hAnsiTheme="minorEastAsia" w:eastAsiaTheme="minorEastAsia"/>
          <w:b/>
          <w:bCs/>
        </w:rPr>
        <w:t>1</w:t>
      </w:r>
      <w:r>
        <w:rPr>
          <w:rFonts w:hint="eastAsia" w:cs="Times New Roman" w:asciiTheme="minorEastAsia" w:hAnsiTheme="minorEastAsia" w:eastAsiaTheme="minorEastAsia"/>
          <w:b/>
          <w:bCs/>
        </w:rPr>
        <w:t>.</w:t>
      </w:r>
      <w:r>
        <w:rPr>
          <w:rFonts w:cs="Times New Roman" w:asciiTheme="minorEastAsia" w:hAnsiTheme="minorEastAsia" w:eastAsiaTheme="minorEastAsia"/>
          <w:b/>
          <w:bCs/>
        </w:rPr>
        <w:t>股权收购</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公司</w:t>
      </w:r>
      <w:r>
        <w:rPr>
          <w:rFonts w:cs="Times New Roman" w:asciiTheme="minorEastAsia" w:hAnsiTheme="minorEastAsia" w:eastAsiaTheme="minorEastAsia"/>
        </w:rPr>
        <w:t>拟</w:t>
      </w:r>
      <w:r>
        <w:rPr>
          <w:rFonts w:hint="eastAsia" w:cs="Times New Roman" w:asciiTheme="minorEastAsia" w:hAnsiTheme="minorEastAsia" w:eastAsiaTheme="minorEastAsia"/>
        </w:rPr>
        <w:t>现金</w:t>
      </w:r>
      <w:r>
        <w:rPr>
          <w:rFonts w:cs="Times New Roman" w:asciiTheme="minorEastAsia" w:hAnsiTheme="minorEastAsia" w:eastAsiaTheme="minorEastAsia"/>
        </w:rPr>
        <w:t>收购</w:t>
      </w:r>
      <w:r>
        <w:rPr>
          <w:rFonts w:hint="eastAsia" w:cs="Times New Roman" w:asciiTheme="minorEastAsia" w:hAnsiTheme="minorEastAsia" w:eastAsiaTheme="minorEastAsia"/>
        </w:rPr>
        <w:t>西北矿业合计2</w:t>
      </w:r>
      <w:r>
        <w:rPr>
          <w:rFonts w:cs="Times New Roman" w:asciiTheme="minorEastAsia" w:hAnsiTheme="minorEastAsia" w:eastAsiaTheme="minorEastAsia"/>
        </w:rPr>
        <w:t>6</w:t>
      </w:r>
      <w:r>
        <w:rPr>
          <w:rFonts w:hint="eastAsia" w:cs="Times New Roman" w:asciiTheme="minorEastAsia" w:hAnsiTheme="minorEastAsia" w:eastAsiaTheme="minorEastAsia"/>
        </w:rPr>
        <w:t>%股权。其中：公司拟收购淄博矿业集团有限责任公司</w:t>
      </w:r>
      <w:r>
        <w:rPr>
          <w:rFonts w:cs="Times New Roman" w:asciiTheme="minorEastAsia" w:hAnsiTheme="minorEastAsia" w:eastAsiaTheme="minorEastAsia"/>
        </w:rPr>
        <w:t>（“</w:t>
      </w:r>
      <w:r>
        <w:rPr>
          <w:rFonts w:hint="eastAsia" w:cs="Times New Roman" w:asciiTheme="minorEastAsia" w:hAnsiTheme="minorEastAsia" w:eastAsiaTheme="minorEastAsia"/>
        </w:rPr>
        <w:t>淄</w:t>
      </w:r>
      <w:r>
        <w:rPr>
          <w:rFonts w:cs="Times New Roman" w:asciiTheme="minorEastAsia" w:hAnsiTheme="minorEastAsia" w:eastAsiaTheme="minorEastAsia"/>
        </w:rPr>
        <w:t>矿集团”）所持</w:t>
      </w:r>
      <w:r>
        <w:rPr>
          <w:rFonts w:hint="eastAsia" w:cs="Times New Roman" w:asciiTheme="minorEastAsia" w:hAnsiTheme="minorEastAsia" w:eastAsiaTheme="minorEastAsia"/>
        </w:rPr>
        <w:t>西北</w:t>
      </w:r>
      <w:r>
        <w:rPr>
          <w:rFonts w:cs="Times New Roman" w:asciiTheme="minorEastAsia" w:hAnsiTheme="minorEastAsia" w:eastAsiaTheme="minorEastAsia"/>
        </w:rPr>
        <w:t>矿业</w:t>
      </w:r>
      <w:r>
        <w:rPr>
          <w:rFonts w:hint="eastAsia" w:cs="Times New Roman" w:asciiTheme="minorEastAsia" w:hAnsiTheme="minorEastAsia" w:eastAsiaTheme="minorEastAsia"/>
        </w:rPr>
        <w:t>1</w:t>
      </w:r>
      <w:r>
        <w:rPr>
          <w:rFonts w:cs="Times New Roman" w:asciiTheme="minorEastAsia" w:hAnsiTheme="minorEastAsia" w:eastAsiaTheme="minorEastAsia"/>
        </w:rPr>
        <w:t>5</w:t>
      </w:r>
      <w:r>
        <w:rPr>
          <w:rFonts w:hint="eastAsia" w:cs="Times New Roman" w:asciiTheme="minorEastAsia" w:hAnsiTheme="minorEastAsia" w:eastAsiaTheme="minorEastAsia"/>
        </w:rPr>
        <w:t>.</w:t>
      </w:r>
      <w:r>
        <w:rPr>
          <w:rFonts w:cs="Times New Roman" w:asciiTheme="minorEastAsia" w:hAnsiTheme="minorEastAsia" w:eastAsiaTheme="minorEastAsia"/>
        </w:rPr>
        <w:t>62</w:t>
      </w:r>
      <w:r>
        <w:rPr>
          <w:rFonts w:hint="eastAsia" w:cs="Times New Roman" w:asciiTheme="minorEastAsia" w:hAnsiTheme="minorEastAsia" w:eastAsiaTheme="minorEastAsia"/>
        </w:rPr>
        <w:t>%</w:t>
      </w:r>
      <w:r>
        <w:rPr>
          <w:rFonts w:cs="Times New Roman" w:asciiTheme="minorEastAsia" w:hAnsiTheme="minorEastAsia" w:eastAsiaTheme="minorEastAsia"/>
        </w:rPr>
        <w:t>股权、龙口矿业集团有限公司（“龙矿集团”）所持</w:t>
      </w:r>
      <w:r>
        <w:rPr>
          <w:rFonts w:hint="eastAsia" w:cs="Times New Roman" w:asciiTheme="minorEastAsia" w:hAnsiTheme="minorEastAsia" w:eastAsiaTheme="minorEastAsia"/>
        </w:rPr>
        <w:t>西北</w:t>
      </w:r>
      <w:r>
        <w:rPr>
          <w:rFonts w:cs="Times New Roman" w:asciiTheme="minorEastAsia" w:hAnsiTheme="minorEastAsia" w:eastAsiaTheme="minorEastAsia"/>
        </w:rPr>
        <w:t>矿业</w:t>
      </w:r>
      <w:r>
        <w:rPr>
          <w:rFonts w:hint="eastAsia" w:cs="Times New Roman" w:asciiTheme="minorEastAsia" w:hAnsiTheme="minorEastAsia" w:eastAsiaTheme="minorEastAsia"/>
        </w:rPr>
        <w:t>5.58%</w:t>
      </w:r>
      <w:r>
        <w:rPr>
          <w:rFonts w:cs="Times New Roman" w:asciiTheme="minorEastAsia" w:hAnsiTheme="minorEastAsia" w:eastAsiaTheme="minorEastAsia"/>
        </w:rPr>
        <w:t>股权、</w:t>
      </w:r>
      <w:r>
        <w:rPr>
          <w:rFonts w:hint="eastAsia" w:cs="Times New Roman" w:asciiTheme="minorEastAsia" w:hAnsiTheme="minorEastAsia" w:eastAsiaTheme="minorEastAsia"/>
        </w:rPr>
        <w:t>新汶矿业集团有限责任公司</w:t>
      </w:r>
      <w:r>
        <w:rPr>
          <w:rFonts w:cs="Times New Roman" w:asciiTheme="minorEastAsia" w:hAnsiTheme="minorEastAsia" w:eastAsiaTheme="minorEastAsia"/>
        </w:rPr>
        <w:t>（“</w:t>
      </w:r>
      <w:r>
        <w:rPr>
          <w:rFonts w:hint="eastAsia" w:cs="Times New Roman" w:asciiTheme="minorEastAsia" w:hAnsiTheme="minorEastAsia" w:eastAsiaTheme="minorEastAsia"/>
        </w:rPr>
        <w:t>新</w:t>
      </w:r>
      <w:r>
        <w:rPr>
          <w:rFonts w:cs="Times New Roman" w:asciiTheme="minorEastAsia" w:hAnsiTheme="minorEastAsia" w:eastAsiaTheme="minorEastAsia"/>
        </w:rPr>
        <w:t>矿集团”）所持西</w:t>
      </w:r>
      <w:r>
        <w:rPr>
          <w:rFonts w:hint="eastAsia" w:cs="Times New Roman" w:asciiTheme="minorEastAsia" w:hAnsiTheme="minorEastAsia" w:eastAsiaTheme="minorEastAsia"/>
        </w:rPr>
        <w:t>北</w:t>
      </w:r>
      <w:r>
        <w:rPr>
          <w:rFonts w:cs="Times New Roman" w:asciiTheme="minorEastAsia" w:hAnsiTheme="minorEastAsia" w:eastAsiaTheme="minorEastAsia"/>
        </w:rPr>
        <w:t>矿业</w:t>
      </w:r>
      <w:r>
        <w:rPr>
          <w:rFonts w:hint="eastAsia" w:cs="Times New Roman" w:asciiTheme="minorEastAsia" w:hAnsiTheme="minorEastAsia" w:eastAsiaTheme="minorEastAsia"/>
        </w:rPr>
        <w:t>2.56%</w:t>
      </w:r>
      <w:r>
        <w:rPr>
          <w:rFonts w:cs="Times New Roman" w:asciiTheme="minorEastAsia" w:hAnsiTheme="minorEastAsia" w:eastAsiaTheme="minorEastAsia"/>
        </w:rPr>
        <w:t>股权、</w:t>
      </w:r>
      <w:r>
        <w:rPr>
          <w:rFonts w:hint="eastAsia" w:cs="Times New Roman" w:asciiTheme="minorEastAsia" w:hAnsiTheme="minorEastAsia" w:eastAsiaTheme="minorEastAsia"/>
        </w:rPr>
        <w:t>肥城</w:t>
      </w:r>
      <w:r>
        <w:rPr>
          <w:rFonts w:cs="Times New Roman" w:asciiTheme="minorEastAsia" w:hAnsiTheme="minorEastAsia" w:eastAsiaTheme="minorEastAsia"/>
        </w:rPr>
        <w:t>肥矿煤业有限公司（“肥城煤业”</w:t>
      </w:r>
      <w:r>
        <w:rPr>
          <w:rFonts w:hint="eastAsia" w:cs="Times New Roman" w:asciiTheme="minorEastAsia" w:hAnsiTheme="minorEastAsia" w:eastAsiaTheme="minorEastAsia"/>
        </w:rPr>
        <w:t>，与淄矿集团、龙矿集团、新矿集团合称“现有股东方”或“股东方”，单称“各现有股东方”或“各股东方”</w:t>
      </w:r>
      <w:r>
        <w:rPr>
          <w:rFonts w:cs="Times New Roman" w:asciiTheme="minorEastAsia" w:hAnsiTheme="minorEastAsia" w:eastAsiaTheme="minorEastAsia"/>
        </w:rPr>
        <w:t>）所持西</w:t>
      </w:r>
      <w:r>
        <w:rPr>
          <w:rFonts w:hint="eastAsia" w:cs="Times New Roman" w:asciiTheme="minorEastAsia" w:hAnsiTheme="minorEastAsia" w:eastAsiaTheme="minorEastAsia"/>
        </w:rPr>
        <w:t>北</w:t>
      </w:r>
      <w:r>
        <w:rPr>
          <w:rFonts w:cs="Times New Roman" w:asciiTheme="minorEastAsia" w:hAnsiTheme="minorEastAsia" w:eastAsiaTheme="minorEastAsia"/>
        </w:rPr>
        <w:t>矿业</w:t>
      </w:r>
      <w:r>
        <w:rPr>
          <w:rFonts w:hint="eastAsia" w:cs="Times New Roman" w:asciiTheme="minorEastAsia" w:hAnsiTheme="minorEastAsia" w:eastAsiaTheme="minorEastAsia"/>
        </w:rPr>
        <w:t>2.24%</w:t>
      </w:r>
      <w:r>
        <w:rPr>
          <w:rFonts w:cs="Times New Roman" w:asciiTheme="minorEastAsia" w:hAnsiTheme="minorEastAsia" w:eastAsiaTheme="minorEastAsia"/>
        </w:rPr>
        <w:t>股权</w:t>
      </w:r>
      <w:r>
        <w:rPr>
          <w:rFonts w:hint="eastAsia" w:cs="Times New Roman" w:asciiTheme="minorEastAsia" w:hAnsiTheme="minorEastAsia" w:eastAsiaTheme="minorEastAsia"/>
        </w:rPr>
        <w:t>（“本次转让”）。本次转让的</w:t>
      </w:r>
      <w:r>
        <w:rPr>
          <w:rFonts w:cs="Times New Roman" w:asciiTheme="minorEastAsia" w:hAnsiTheme="minorEastAsia" w:eastAsiaTheme="minorEastAsia"/>
        </w:rPr>
        <w:t>转让</w:t>
      </w:r>
      <w:r>
        <w:rPr>
          <w:rFonts w:hint="eastAsia" w:cs="Times New Roman" w:asciiTheme="minorEastAsia" w:hAnsiTheme="minorEastAsia" w:eastAsiaTheme="minorEastAsia"/>
        </w:rPr>
        <w:t>价格</w:t>
      </w:r>
      <w:r>
        <w:rPr>
          <w:rFonts w:cs="Times New Roman" w:asciiTheme="minorEastAsia" w:hAnsiTheme="minorEastAsia" w:eastAsiaTheme="minorEastAsia"/>
        </w:rPr>
        <w:t>为</w:t>
      </w:r>
      <w:bookmarkStart w:id="2" w:name="_Hlk194340743"/>
      <w:r>
        <w:rPr>
          <w:rFonts w:cs="Times New Roman" w:asciiTheme="minorEastAsia" w:hAnsiTheme="minorEastAsia" w:eastAsiaTheme="minorEastAsia"/>
        </w:rPr>
        <w:t>47.48</w:t>
      </w:r>
      <w:bookmarkEnd w:id="2"/>
      <w:r>
        <w:rPr>
          <w:rFonts w:cs="Times New Roman" w:asciiTheme="minorEastAsia" w:hAnsiTheme="minorEastAsia" w:eastAsiaTheme="minorEastAsia"/>
        </w:rPr>
        <w:t>亿元</w:t>
      </w:r>
      <w:r>
        <w:rPr>
          <w:rFonts w:hint="eastAsia" w:cs="Times New Roman" w:asciiTheme="minorEastAsia" w:hAnsiTheme="minorEastAsia" w:eastAsiaTheme="minorEastAsia"/>
        </w:rPr>
        <w:t>，各现有股东方转让比例及转让价款</w:t>
      </w:r>
      <w:r>
        <w:rPr>
          <w:rFonts w:cs="Times New Roman" w:asciiTheme="minorEastAsia" w:hAnsiTheme="minorEastAsia" w:eastAsiaTheme="minorEastAsia"/>
        </w:rPr>
        <w:t>具体情况如下</w:t>
      </w:r>
      <w:r>
        <w:rPr>
          <w:rFonts w:hint="eastAsia" w:cs="Times New Roman" w:asciiTheme="minorEastAsia" w:hAnsiTheme="minorEastAsia" w:eastAsiaTheme="minorEastAsia"/>
        </w:rPr>
        <w:t>：</w:t>
      </w:r>
    </w:p>
    <w:tbl>
      <w:tblPr>
        <w:tblStyle w:val="20"/>
        <w:tblW w:w="5000"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1638"/>
        <w:gridCol w:w="1637"/>
        <w:gridCol w:w="1637"/>
        <w:gridCol w:w="1637"/>
        <w:gridCol w:w="1813"/>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PrEx>
        <w:trPr>
          <w:trHeight w:val="397" w:hRule="atLeast"/>
          <w:tblHeader/>
          <w:jc w:val="center"/>
        </w:trPr>
        <w:tc>
          <w:tcPr>
            <w:tcW w:w="979" w:type="pct"/>
            <w:shd w:val="clear" w:color="auto" w:fill="auto"/>
            <w:vAlign w:val="center"/>
          </w:tcPr>
          <w:p>
            <w:pPr>
              <w:pStyle w:val="41"/>
              <w:keepNext/>
              <w:widowControl w:val="0"/>
              <w:spacing w:after="0" w:line="240" w:lineRule="auto"/>
              <w:jc w:val="center"/>
              <w:rPr>
                <w:rFonts w:hint="eastAsia" w:ascii="宋体" w:hAnsi="宋体" w:eastAsia="宋体"/>
                <w:b/>
                <w:sz w:val="21"/>
                <w:szCs w:val="21"/>
              </w:rPr>
            </w:pPr>
            <w:r>
              <w:rPr>
                <w:rFonts w:ascii="宋体" w:hAnsi="宋体" w:eastAsia="宋体"/>
                <w:b/>
                <w:sz w:val="21"/>
                <w:szCs w:val="21"/>
              </w:rPr>
              <w:t>交易对方</w:t>
            </w:r>
          </w:p>
        </w:tc>
        <w:tc>
          <w:tcPr>
            <w:tcW w:w="979" w:type="pct"/>
            <w:vAlign w:val="center"/>
          </w:tcPr>
          <w:p>
            <w:pPr>
              <w:pStyle w:val="41"/>
              <w:keepNext/>
              <w:widowControl w:val="0"/>
              <w:spacing w:after="0" w:line="240" w:lineRule="auto"/>
              <w:jc w:val="center"/>
              <w:rPr>
                <w:rFonts w:hint="eastAsia" w:ascii="宋体" w:hAnsi="宋体" w:eastAsia="宋体"/>
                <w:b/>
                <w:sz w:val="21"/>
                <w:szCs w:val="21"/>
              </w:rPr>
            </w:pPr>
            <w:r>
              <w:rPr>
                <w:rFonts w:hint="eastAsia" w:ascii="宋体" w:hAnsi="宋体" w:eastAsia="宋体"/>
                <w:b/>
                <w:sz w:val="21"/>
                <w:szCs w:val="21"/>
              </w:rPr>
              <w:t>转让前持股比例</w:t>
            </w:r>
          </w:p>
        </w:tc>
        <w:tc>
          <w:tcPr>
            <w:tcW w:w="979" w:type="pct"/>
            <w:shd w:val="clear" w:color="auto" w:fill="auto"/>
            <w:vAlign w:val="center"/>
          </w:tcPr>
          <w:p>
            <w:pPr>
              <w:pStyle w:val="41"/>
              <w:keepNext/>
              <w:widowControl w:val="0"/>
              <w:spacing w:after="0" w:line="240" w:lineRule="auto"/>
              <w:jc w:val="center"/>
              <w:rPr>
                <w:rFonts w:hint="eastAsia" w:ascii="宋体" w:hAnsi="宋体" w:eastAsia="宋体"/>
                <w:b/>
                <w:sz w:val="21"/>
                <w:szCs w:val="21"/>
              </w:rPr>
            </w:pPr>
            <w:r>
              <w:rPr>
                <w:rFonts w:ascii="宋体" w:hAnsi="宋体" w:eastAsia="宋体"/>
                <w:b/>
                <w:sz w:val="21"/>
                <w:szCs w:val="21"/>
              </w:rPr>
              <w:t>转让比例</w:t>
            </w:r>
          </w:p>
        </w:tc>
        <w:tc>
          <w:tcPr>
            <w:tcW w:w="979" w:type="pct"/>
            <w:shd w:val="clear" w:color="auto" w:fill="auto"/>
            <w:vAlign w:val="center"/>
          </w:tcPr>
          <w:p>
            <w:pPr>
              <w:pStyle w:val="41"/>
              <w:keepNext/>
              <w:widowControl w:val="0"/>
              <w:spacing w:after="0" w:line="240" w:lineRule="auto"/>
              <w:jc w:val="center"/>
              <w:rPr>
                <w:rFonts w:hint="eastAsia" w:ascii="宋体" w:hAnsi="宋体" w:eastAsia="宋体"/>
                <w:b/>
                <w:sz w:val="21"/>
                <w:szCs w:val="21"/>
              </w:rPr>
            </w:pPr>
            <w:r>
              <w:rPr>
                <w:rFonts w:hint="eastAsia" w:ascii="宋体" w:hAnsi="宋体" w:eastAsia="宋体"/>
                <w:b/>
                <w:sz w:val="21"/>
                <w:szCs w:val="21"/>
              </w:rPr>
              <w:t>转让后持股比例</w:t>
            </w:r>
          </w:p>
        </w:tc>
        <w:tc>
          <w:tcPr>
            <w:tcW w:w="1084" w:type="pct"/>
            <w:shd w:val="clear" w:color="auto" w:fill="auto"/>
            <w:vAlign w:val="center"/>
          </w:tcPr>
          <w:p>
            <w:pPr>
              <w:pStyle w:val="41"/>
              <w:keepNext/>
              <w:widowControl w:val="0"/>
              <w:spacing w:after="0" w:line="240" w:lineRule="auto"/>
              <w:jc w:val="center"/>
              <w:rPr>
                <w:rFonts w:hint="eastAsia" w:ascii="宋体" w:hAnsi="宋体" w:eastAsia="宋体"/>
                <w:b/>
                <w:sz w:val="21"/>
                <w:szCs w:val="21"/>
              </w:rPr>
            </w:pPr>
            <w:r>
              <w:rPr>
                <w:rFonts w:hint="eastAsia" w:ascii="宋体" w:hAnsi="宋体" w:eastAsia="宋体"/>
                <w:b/>
                <w:sz w:val="21"/>
                <w:szCs w:val="21"/>
              </w:rPr>
              <w:t>转让价款（亿元）</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979" w:type="pct"/>
            <w:shd w:val="clear" w:color="auto" w:fill="auto"/>
            <w:vAlign w:val="center"/>
          </w:tcPr>
          <w:p>
            <w:pPr>
              <w:pStyle w:val="41"/>
              <w:widowControl w:val="0"/>
              <w:spacing w:after="0" w:line="240" w:lineRule="auto"/>
              <w:jc w:val="center"/>
              <w:rPr>
                <w:rFonts w:hint="eastAsia" w:ascii="宋体" w:hAnsi="宋体" w:eastAsia="宋体"/>
                <w:sz w:val="21"/>
                <w:szCs w:val="21"/>
              </w:rPr>
            </w:pPr>
            <w:r>
              <w:rPr>
                <w:rFonts w:hint="eastAsia" w:ascii="宋体" w:hAnsi="宋体" w:eastAsia="宋体"/>
                <w:sz w:val="21"/>
                <w:szCs w:val="21"/>
              </w:rPr>
              <w:t>淄</w:t>
            </w:r>
            <w:r>
              <w:rPr>
                <w:rFonts w:ascii="宋体" w:hAnsi="宋体" w:eastAsia="宋体"/>
                <w:sz w:val="21"/>
                <w:szCs w:val="21"/>
              </w:rPr>
              <w:t>矿集团</w:t>
            </w:r>
          </w:p>
        </w:tc>
        <w:tc>
          <w:tcPr>
            <w:tcW w:w="979" w:type="pct"/>
            <w:vAlign w:val="center"/>
          </w:tcPr>
          <w:p>
            <w:pPr>
              <w:pStyle w:val="41"/>
              <w:widowControl w:val="0"/>
              <w:spacing w:after="0" w:line="240" w:lineRule="auto"/>
              <w:jc w:val="right"/>
              <w:rPr>
                <w:rFonts w:hint="eastAsia" w:ascii="宋体" w:hAnsi="宋体" w:eastAsia="宋体"/>
                <w:color w:val="000000"/>
                <w:sz w:val="21"/>
                <w:szCs w:val="21"/>
              </w:rPr>
            </w:pPr>
            <w:r>
              <w:rPr>
                <w:rFonts w:ascii="宋体" w:hAnsi="宋体" w:eastAsia="宋体"/>
                <w:color w:val="000000"/>
                <w:sz w:val="21"/>
                <w:szCs w:val="21"/>
              </w:rPr>
              <w:t>89.62%</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5</w:t>
            </w:r>
            <w:r>
              <w:rPr>
                <w:rFonts w:hint="eastAsia" w:ascii="宋体" w:hAnsi="宋体" w:eastAsia="宋体"/>
                <w:color w:val="000000"/>
                <w:sz w:val="21"/>
                <w:szCs w:val="21"/>
              </w:rPr>
              <w:t>.</w:t>
            </w:r>
            <w:r>
              <w:rPr>
                <w:rFonts w:ascii="宋体" w:hAnsi="宋体" w:eastAsia="宋体"/>
                <w:color w:val="000000"/>
                <w:sz w:val="21"/>
                <w:szCs w:val="21"/>
              </w:rPr>
              <w:t>62</w:t>
            </w:r>
            <w:r>
              <w:rPr>
                <w:rFonts w:hint="eastAsia" w:ascii="宋体" w:hAnsi="宋体" w:eastAsia="宋体"/>
                <w:color w:val="000000"/>
                <w:sz w:val="21"/>
                <w:szCs w:val="21"/>
              </w:rPr>
              <w:t>%</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ascii="宋体" w:hAnsi="宋体" w:eastAsia="宋体"/>
                <w:color w:val="000000"/>
                <w:sz w:val="21"/>
                <w:szCs w:val="21"/>
              </w:rPr>
              <w:t>74</w:t>
            </w:r>
            <w:r>
              <w:rPr>
                <w:rFonts w:hint="eastAsia" w:ascii="宋体" w:hAnsi="宋体" w:eastAsia="宋体"/>
                <w:color w:val="000000"/>
                <w:sz w:val="21"/>
                <w:szCs w:val="21"/>
              </w:rPr>
              <w:t>.00%</w:t>
            </w:r>
          </w:p>
        </w:tc>
        <w:tc>
          <w:tcPr>
            <w:tcW w:w="1084"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8</w:t>
            </w:r>
            <w:r>
              <w:rPr>
                <w:rFonts w:hint="eastAsia" w:ascii="宋体" w:hAnsi="宋体" w:eastAsia="宋体"/>
                <w:color w:val="000000"/>
                <w:sz w:val="21"/>
                <w:szCs w:val="21"/>
              </w:rPr>
              <w:t>.</w:t>
            </w:r>
            <w:r>
              <w:rPr>
                <w:rFonts w:ascii="宋体" w:hAnsi="宋体" w:eastAsia="宋体"/>
                <w:color w:val="000000"/>
                <w:sz w:val="21"/>
                <w:szCs w:val="21"/>
              </w:rPr>
              <w:t>53</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979" w:type="pct"/>
            <w:shd w:val="clear" w:color="auto" w:fill="auto"/>
            <w:vAlign w:val="center"/>
          </w:tcPr>
          <w:p>
            <w:pPr>
              <w:pStyle w:val="41"/>
              <w:widowControl w:val="0"/>
              <w:spacing w:after="0" w:line="240" w:lineRule="auto"/>
              <w:jc w:val="center"/>
              <w:rPr>
                <w:rFonts w:hint="eastAsia" w:ascii="宋体" w:hAnsi="宋体" w:eastAsia="宋体"/>
                <w:sz w:val="21"/>
                <w:szCs w:val="21"/>
              </w:rPr>
            </w:pPr>
            <w:r>
              <w:rPr>
                <w:rFonts w:ascii="宋体" w:hAnsi="宋体" w:eastAsia="宋体"/>
                <w:sz w:val="21"/>
                <w:szCs w:val="21"/>
              </w:rPr>
              <w:t>龙矿集团</w:t>
            </w:r>
          </w:p>
        </w:tc>
        <w:tc>
          <w:tcPr>
            <w:tcW w:w="979" w:type="pct"/>
            <w:vAlign w:val="center"/>
          </w:tcPr>
          <w:p>
            <w:pPr>
              <w:pStyle w:val="41"/>
              <w:widowControl w:val="0"/>
              <w:spacing w:after="0" w:line="240" w:lineRule="auto"/>
              <w:jc w:val="right"/>
              <w:rPr>
                <w:rFonts w:hint="eastAsia" w:ascii="宋体" w:hAnsi="宋体" w:eastAsia="宋体"/>
                <w:color w:val="000000"/>
                <w:sz w:val="21"/>
                <w:szCs w:val="21"/>
              </w:rPr>
            </w:pPr>
            <w:r>
              <w:rPr>
                <w:rFonts w:ascii="宋体" w:hAnsi="宋体" w:eastAsia="宋体"/>
                <w:color w:val="000000"/>
                <w:sz w:val="21"/>
                <w:szCs w:val="21"/>
              </w:rPr>
              <w:t>5.58%</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5.58%</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0.00%</w:t>
            </w:r>
          </w:p>
        </w:tc>
        <w:tc>
          <w:tcPr>
            <w:tcW w:w="1084"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ascii="宋体" w:hAnsi="宋体" w:eastAsia="宋体"/>
                <w:color w:val="000000"/>
                <w:sz w:val="21"/>
                <w:szCs w:val="21"/>
              </w:rPr>
              <w:t>10</w:t>
            </w:r>
            <w:r>
              <w:rPr>
                <w:rFonts w:hint="eastAsia" w:ascii="宋体" w:hAnsi="宋体" w:eastAsia="宋体"/>
                <w:color w:val="000000"/>
                <w:sz w:val="21"/>
                <w:szCs w:val="21"/>
              </w:rPr>
              <w:t>.</w:t>
            </w:r>
            <w:r>
              <w:rPr>
                <w:rFonts w:ascii="宋体" w:hAnsi="宋体" w:eastAsia="宋体"/>
                <w:color w:val="000000"/>
                <w:sz w:val="21"/>
                <w:szCs w:val="21"/>
              </w:rPr>
              <w:t>19</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979" w:type="pct"/>
            <w:shd w:val="clear" w:color="auto" w:fill="auto"/>
            <w:vAlign w:val="center"/>
          </w:tcPr>
          <w:p>
            <w:pPr>
              <w:pStyle w:val="41"/>
              <w:widowControl w:val="0"/>
              <w:spacing w:after="0" w:line="240" w:lineRule="auto"/>
              <w:jc w:val="center"/>
              <w:rPr>
                <w:rFonts w:hint="eastAsia" w:ascii="宋体" w:hAnsi="宋体" w:eastAsia="宋体"/>
                <w:sz w:val="21"/>
                <w:szCs w:val="21"/>
              </w:rPr>
            </w:pPr>
            <w:r>
              <w:rPr>
                <w:rFonts w:hint="eastAsia" w:ascii="宋体" w:hAnsi="宋体" w:eastAsia="宋体"/>
                <w:sz w:val="21"/>
                <w:szCs w:val="21"/>
              </w:rPr>
              <w:t>新</w:t>
            </w:r>
            <w:r>
              <w:rPr>
                <w:rFonts w:ascii="宋体" w:hAnsi="宋体" w:eastAsia="宋体"/>
                <w:sz w:val="21"/>
                <w:szCs w:val="21"/>
              </w:rPr>
              <w:t>矿集团</w:t>
            </w:r>
          </w:p>
        </w:tc>
        <w:tc>
          <w:tcPr>
            <w:tcW w:w="979" w:type="pct"/>
            <w:vAlign w:val="center"/>
          </w:tcPr>
          <w:p>
            <w:pPr>
              <w:pStyle w:val="41"/>
              <w:widowControl w:val="0"/>
              <w:spacing w:after="0" w:line="240" w:lineRule="auto"/>
              <w:jc w:val="right"/>
              <w:rPr>
                <w:rFonts w:hint="eastAsia" w:ascii="宋体" w:hAnsi="宋体" w:eastAsia="宋体"/>
                <w:color w:val="000000"/>
                <w:sz w:val="21"/>
                <w:szCs w:val="21"/>
              </w:rPr>
            </w:pPr>
            <w:r>
              <w:rPr>
                <w:rFonts w:ascii="宋体" w:hAnsi="宋体" w:eastAsia="宋体"/>
                <w:color w:val="000000"/>
                <w:sz w:val="21"/>
                <w:szCs w:val="21"/>
              </w:rPr>
              <w:t>2.56%</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2.56%</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0.00%</w:t>
            </w:r>
          </w:p>
        </w:tc>
        <w:tc>
          <w:tcPr>
            <w:tcW w:w="1084"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4.</w:t>
            </w:r>
            <w:r>
              <w:rPr>
                <w:rFonts w:ascii="宋体" w:hAnsi="宋体" w:eastAsia="宋体"/>
                <w:color w:val="000000"/>
                <w:sz w:val="21"/>
                <w:szCs w:val="21"/>
              </w:rPr>
              <w:t>68</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979" w:type="pct"/>
            <w:shd w:val="clear" w:color="auto" w:fill="auto"/>
            <w:vAlign w:val="center"/>
          </w:tcPr>
          <w:p>
            <w:pPr>
              <w:pStyle w:val="41"/>
              <w:widowControl w:val="0"/>
              <w:spacing w:after="0" w:line="240" w:lineRule="auto"/>
              <w:jc w:val="center"/>
              <w:rPr>
                <w:rFonts w:hint="eastAsia" w:ascii="宋体" w:hAnsi="宋体" w:eastAsia="宋体"/>
                <w:sz w:val="21"/>
                <w:szCs w:val="21"/>
              </w:rPr>
            </w:pPr>
            <w:r>
              <w:rPr>
                <w:rFonts w:ascii="宋体" w:hAnsi="宋体" w:eastAsia="宋体"/>
                <w:sz w:val="21"/>
                <w:szCs w:val="21"/>
              </w:rPr>
              <w:t>肥城煤业</w:t>
            </w:r>
          </w:p>
        </w:tc>
        <w:tc>
          <w:tcPr>
            <w:tcW w:w="979" w:type="pct"/>
            <w:vAlign w:val="center"/>
          </w:tcPr>
          <w:p>
            <w:pPr>
              <w:pStyle w:val="41"/>
              <w:widowControl w:val="0"/>
              <w:spacing w:after="0" w:line="240" w:lineRule="auto"/>
              <w:jc w:val="right"/>
              <w:rPr>
                <w:rFonts w:hint="eastAsia" w:ascii="宋体" w:hAnsi="宋体" w:eastAsia="宋体"/>
                <w:color w:val="000000"/>
                <w:sz w:val="21"/>
                <w:szCs w:val="21"/>
              </w:rPr>
            </w:pPr>
            <w:r>
              <w:rPr>
                <w:rFonts w:ascii="宋体" w:hAnsi="宋体" w:eastAsia="宋体"/>
                <w:color w:val="000000"/>
                <w:sz w:val="21"/>
                <w:szCs w:val="21"/>
              </w:rPr>
              <w:t>2.24%</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2.24%</w:t>
            </w:r>
          </w:p>
        </w:tc>
        <w:tc>
          <w:tcPr>
            <w:tcW w:w="979"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0.00%</w:t>
            </w:r>
          </w:p>
        </w:tc>
        <w:tc>
          <w:tcPr>
            <w:tcW w:w="1084" w:type="pct"/>
            <w:shd w:val="clear" w:color="auto" w:fill="auto"/>
            <w:vAlign w:val="center"/>
          </w:tcPr>
          <w:p>
            <w:pPr>
              <w:pStyle w:val="41"/>
              <w:widowControl w:val="0"/>
              <w:spacing w:after="0" w:line="240" w:lineRule="auto"/>
              <w:jc w:val="right"/>
              <w:rPr>
                <w:rFonts w:hint="eastAsia" w:ascii="宋体" w:hAnsi="宋体" w:eastAsia="宋体"/>
                <w:color w:val="000000"/>
                <w:sz w:val="21"/>
                <w:szCs w:val="21"/>
              </w:rPr>
            </w:pPr>
            <w:r>
              <w:rPr>
                <w:rFonts w:hint="eastAsia" w:ascii="宋体" w:hAnsi="宋体" w:eastAsia="宋体"/>
                <w:color w:val="000000"/>
                <w:sz w:val="21"/>
                <w:szCs w:val="21"/>
              </w:rPr>
              <w:t>4.</w:t>
            </w:r>
            <w:r>
              <w:rPr>
                <w:rFonts w:ascii="宋体" w:hAnsi="宋体" w:eastAsia="宋体"/>
                <w:color w:val="000000"/>
                <w:sz w:val="21"/>
                <w:szCs w:val="21"/>
              </w:rPr>
              <w:t>09</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979" w:type="pct"/>
            <w:shd w:val="clear" w:color="auto" w:fill="auto"/>
            <w:vAlign w:val="center"/>
          </w:tcPr>
          <w:p>
            <w:pPr>
              <w:pStyle w:val="41"/>
              <w:widowControl w:val="0"/>
              <w:spacing w:after="0" w:line="240" w:lineRule="auto"/>
              <w:jc w:val="center"/>
              <w:rPr>
                <w:rFonts w:hint="eastAsia" w:ascii="宋体" w:hAnsi="宋体" w:eastAsia="宋体"/>
                <w:b/>
                <w:sz w:val="21"/>
                <w:szCs w:val="21"/>
              </w:rPr>
            </w:pPr>
            <w:r>
              <w:rPr>
                <w:rFonts w:ascii="宋体" w:hAnsi="宋体" w:eastAsia="宋体"/>
                <w:b/>
                <w:sz w:val="21"/>
                <w:szCs w:val="21"/>
              </w:rPr>
              <w:t>合计</w:t>
            </w:r>
          </w:p>
        </w:tc>
        <w:tc>
          <w:tcPr>
            <w:tcW w:w="979" w:type="pct"/>
            <w:vAlign w:val="center"/>
          </w:tcPr>
          <w:p>
            <w:pPr>
              <w:pStyle w:val="41"/>
              <w:widowControl w:val="0"/>
              <w:spacing w:after="0" w:line="240" w:lineRule="auto"/>
              <w:jc w:val="right"/>
              <w:rPr>
                <w:rFonts w:hint="eastAsia" w:ascii="宋体" w:hAnsi="宋体" w:eastAsia="宋体"/>
                <w:b/>
                <w:sz w:val="21"/>
                <w:szCs w:val="21"/>
              </w:rPr>
            </w:pPr>
            <w:r>
              <w:rPr>
                <w:rFonts w:ascii="宋体" w:hAnsi="宋体" w:eastAsia="宋体"/>
                <w:b/>
                <w:sz w:val="21"/>
                <w:szCs w:val="21"/>
              </w:rPr>
              <w:t>100.00%</w:t>
            </w:r>
          </w:p>
        </w:tc>
        <w:tc>
          <w:tcPr>
            <w:tcW w:w="979" w:type="pct"/>
            <w:shd w:val="clear" w:color="auto" w:fill="auto"/>
            <w:vAlign w:val="center"/>
          </w:tcPr>
          <w:p>
            <w:pPr>
              <w:pStyle w:val="41"/>
              <w:widowControl w:val="0"/>
              <w:spacing w:after="0" w:line="240" w:lineRule="auto"/>
              <w:jc w:val="right"/>
              <w:rPr>
                <w:rFonts w:hint="eastAsia" w:ascii="宋体" w:hAnsi="宋体" w:eastAsia="宋体"/>
                <w:b/>
                <w:sz w:val="21"/>
                <w:szCs w:val="21"/>
              </w:rPr>
            </w:pPr>
            <w:r>
              <w:rPr>
                <w:rFonts w:ascii="宋体" w:hAnsi="宋体" w:eastAsia="宋体"/>
                <w:b/>
                <w:sz w:val="21"/>
                <w:szCs w:val="21"/>
              </w:rPr>
              <w:t>26.00</w:t>
            </w:r>
            <w:r>
              <w:rPr>
                <w:rFonts w:hint="eastAsia" w:ascii="宋体" w:hAnsi="宋体" w:eastAsia="宋体"/>
                <w:b/>
                <w:sz w:val="21"/>
                <w:szCs w:val="21"/>
              </w:rPr>
              <w:t>%</w:t>
            </w:r>
          </w:p>
        </w:tc>
        <w:tc>
          <w:tcPr>
            <w:tcW w:w="979" w:type="pct"/>
            <w:shd w:val="clear" w:color="auto" w:fill="auto"/>
            <w:vAlign w:val="center"/>
          </w:tcPr>
          <w:p>
            <w:pPr>
              <w:pStyle w:val="41"/>
              <w:widowControl w:val="0"/>
              <w:spacing w:after="0" w:line="240" w:lineRule="auto"/>
              <w:jc w:val="right"/>
              <w:rPr>
                <w:rFonts w:hint="eastAsia" w:ascii="宋体" w:hAnsi="宋体" w:eastAsia="宋体"/>
                <w:b/>
                <w:bCs/>
                <w:color w:val="000000"/>
                <w:sz w:val="21"/>
                <w:szCs w:val="21"/>
              </w:rPr>
            </w:pPr>
            <w:r>
              <w:rPr>
                <w:rFonts w:ascii="宋体" w:hAnsi="宋体" w:eastAsia="宋体"/>
                <w:b/>
                <w:bCs/>
                <w:color w:val="000000"/>
                <w:sz w:val="21"/>
                <w:szCs w:val="21"/>
              </w:rPr>
              <w:t>74.00</w:t>
            </w:r>
            <w:r>
              <w:rPr>
                <w:rFonts w:hint="eastAsia" w:ascii="宋体" w:hAnsi="宋体" w:eastAsia="宋体"/>
                <w:b/>
                <w:bCs/>
                <w:color w:val="000000"/>
                <w:sz w:val="21"/>
                <w:szCs w:val="21"/>
              </w:rPr>
              <w:t>%</w:t>
            </w:r>
          </w:p>
        </w:tc>
        <w:tc>
          <w:tcPr>
            <w:tcW w:w="1084" w:type="pct"/>
            <w:shd w:val="clear" w:color="auto" w:fill="auto"/>
            <w:vAlign w:val="center"/>
          </w:tcPr>
          <w:p>
            <w:pPr>
              <w:widowControl w:val="0"/>
              <w:adjustRightInd w:val="0"/>
              <w:snapToGrid w:val="0"/>
              <w:jc w:val="right"/>
              <w:rPr>
                <w:rFonts w:hint="eastAsia" w:cs="Times New Roman"/>
                <w:b/>
                <w:sz w:val="21"/>
                <w:szCs w:val="21"/>
              </w:rPr>
            </w:pPr>
            <w:r>
              <w:rPr>
                <w:rFonts w:cs="Times New Roman"/>
                <w:b/>
                <w:sz w:val="21"/>
                <w:szCs w:val="21"/>
              </w:rPr>
              <w:t>47</w:t>
            </w:r>
            <w:r>
              <w:rPr>
                <w:rFonts w:hint="eastAsia" w:cs="Times New Roman"/>
                <w:b/>
                <w:sz w:val="21"/>
                <w:szCs w:val="21"/>
              </w:rPr>
              <w:t>.</w:t>
            </w:r>
            <w:r>
              <w:rPr>
                <w:rFonts w:cs="Times New Roman"/>
                <w:b/>
                <w:sz w:val="21"/>
                <w:szCs w:val="21"/>
              </w:rPr>
              <w:t>48</w:t>
            </w:r>
          </w:p>
        </w:tc>
      </w:tr>
    </w:tbl>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2</w:t>
      </w:r>
      <w:r>
        <w:rPr>
          <w:rFonts w:hint="eastAsia" w:cs="Times New Roman" w:asciiTheme="minorEastAsia" w:hAnsiTheme="minorEastAsia" w:eastAsiaTheme="minorEastAsia"/>
          <w:b/>
          <w:bCs/>
        </w:rPr>
        <w:t>.现金增资</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bookmarkStart w:id="3" w:name="_Hlk193879788"/>
      <w:r>
        <w:rPr>
          <w:rFonts w:hint="eastAsia" w:cs="Times New Roman" w:asciiTheme="minorEastAsia" w:hAnsiTheme="minorEastAsia" w:eastAsiaTheme="minorEastAsia"/>
          <w:sz w:val="28"/>
          <w:szCs w:val="28"/>
        </w:rPr>
        <w:t>公司拟以现金</w:t>
      </w:r>
      <w:r>
        <w:rPr>
          <w:rFonts w:cs="Times New Roman" w:asciiTheme="minorEastAsia" w:hAnsiTheme="minorEastAsia" w:eastAsiaTheme="minorEastAsia"/>
          <w:sz w:val="28"/>
          <w:szCs w:val="28"/>
        </w:rPr>
        <w:t>向</w:t>
      </w:r>
      <w:r>
        <w:rPr>
          <w:rFonts w:hint="eastAsia" w:cs="Times New Roman" w:asciiTheme="minorEastAsia" w:hAnsiTheme="minorEastAsia" w:eastAsiaTheme="minorEastAsia"/>
          <w:sz w:val="28"/>
          <w:szCs w:val="28"/>
        </w:rPr>
        <w:t>西北矿业</w:t>
      </w:r>
      <w:r>
        <w:rPr>
          <w:rFonts w:cs="Times New Roman" w:asciiTheme="minorEastAsia" w:hAnsiTheme="minorEastAsia" w:eastAsiaTheme="minorEastAsia"/>
          <w:sz w:val="28"/>
          <w:szCs w:val="28"/>
        </w:rPr>
        <w:t>增资93.18亿元，其中25.51亿元计入注册资本，67.67亿元计入资本公积</w:t>
      </w:r>
      <w:r>
        <w:rPr>
          <w:rFonts w:hint="eastAsia" w:cs="Times New Roman" w:asciiTheme="minorEastAsia" w:hAnsiTheme="minorEastAsia" w:eastAsiaTheme="minorEastAsia"/>
          <w:sz w:val="28"/>
          <w:szCs w:val="28"/>
        </w:rPr>
        <w:t>（“本次增资”）</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本次转让及本次增资后，公司取得西北矿业5</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股权，西北矿业注册资本由50亿元增加至</w:t>
      </w:r>
      <w:r>
        <w:rPr>
          <w:rFonts w:cs="Times New Roman" w:asciiTheme="minorEastAsia" w:hAnsiTheme="minorEastAsia" w:eastAsiaTheme="minorEastAsia"/>
          <w:sz w:val="28"/>
          <w:szCs w:val="28"/>
        </w:rPr>
        <w:t>75</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亿元，新增注册资本</w:t>
      </w:r>
      <w:r>
        <w:rPr>
          <w:rFonts w:cs="Times New Roman" w:asciiTheme="minorEastAsia" w:hAnsiTheme="minorEastAsia" w:eastAsiaTheme="minorEastAsia"/>
          <w:sz w:val="28"/>
          <w:szCs w:val="28"/>
        </w:rPr>
        <w:t>25</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亿元均由兖矿能源认购，淄矿集团放弃优先认缴权。</w:t>
      </w:r>
      <w:bookmarkEnd w:id="3"/>
      <w:r>
        <w:rPr>
          <w:rFonts w:hint="eastAsia" w:cs="Times New Roman" w:asciiTheme="minorEastAsia" w:hAnsiTheme="minorEastAsia" w:eastAsiaTheme="minorEastAsia"/>
          <w:sz w:val="28"/>
          <w:szCs w:val="28"/>
        </w:rPr>
        <w:t>本次增资前后，西北矿业股权结构变化情况如下：</w:t>
      </w:r>
    </w:p>
    <w:tbl>
      <w:tblPr>
        <w:tblStyle w:val="20"/>
        <w:tblW w:w="5075"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autofit"/>
        <w:tblCellMar>
          <w:top w:w="0" w:type="dxa"/>
          <w:left w:w="28" w:type="dxa"/>
          <w:bottom w:w="0" w:type="dxa"/>
          <w:right w:w="28" w:type="dxa"/>
        </w:tblCellMar>
      </w:tblPr>
      <w:tblGrid>
        <w:gridCol w:w="726"/>
        <w:gridCol w:w="1419"/>
        <w:gridCol w:w="1419"/>
        <w:gridCol w:w="1824"/>
        <w:gridCol w:w="1438"/>
        <w:gridCol w:w="1804"/>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12" w:hRule="atLeast"/>
          <w:tblHeader/>
          <w:jc w:val="center"/>
        </w:trPr>
        <w:tc>
          <w:tcPr>
            <w:tcW w:w="421" w:type="pct"/>
            <w:vMerge w:val="restart"/>
            <w:tcMar>
              <w:top w:w="15" w:type="dxa"/>
              <w:left w:w="88" w:type="dxa"/>
              <w:bottom w:w="0" w:type="dxa"/>
              <w:right w:w="8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序号</w:t>
            </w:r>
          </w:p>
        </w:tc>
        <w:tc>
          <w:tcPr>
            <w:tcW w:w="822" w:type="pct"/>
            <w:vMerge w:val="restart"/>
            <w:tcMar>
              <w:top w:w="72" w:type="dxa"/>
              <w:left w:w="108" w:type="dxa"/>
              <w:bottom w:w="72" w:type="dxa"/>
              <w:right w:w="10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股东名称</w:t>
            </w:r>
          </w:p>
        </w:tc>
        <w:tc>
          <w:tcPr>
            <w:tcW w:w="1879" w:type="pct"/>
            <w:gridSpan w:val="2"/>
            <w:tcMar>
              <w:top w:w="72" w:type="dxa"/>
              <w:left w:w="108" w:type="dxa"/>
              <w:bottom w:w="72" w:type="dxa"/>
              <w:right w:w="10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股权转让后、本次增资前</w:t>
            </w:r>
          </w:p>
        </w:tc>
        <w:tc>
          <w:tcPr>
            <w:tcW w:w="1878" w:type="pct"/>
            <w:gridSpan w:val="2"/>
            <w:tcMar>
              <w:top w:w="72" w:type="dxa"/>
              <w:left w:w="108" w:type="dxa"/>
              <w:bottom w:w="72" w:type="dxa"/>
              <w:right w:w="10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股权转让后、本次增资后</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12" w:hRule="atLeast"/>
          <w:tblHeader/>
          <w:jc w:val="center"/>
        </w:trPr>
        <w:tc>
          <w:tcPr>
            <w:tcW w:w="421" w:type="pct"/>
            <w:vMerge w:val="continue"/>
            <w:vAlign w:val="center"/>
          </w:tcPr>
          <w:p>
            <w:pPr>
              <w:keepNext/>
              <w:adjustRightInd w:val="0"/>
              <w:snapToGrid w:val="0"/>
              <w:ind w:left="180" w:leftChars="75"/>
              <w:jc w:val="center"/>
              <w:rPr>
                <w:rFonts w:hint="eastAsia"/>
                <w:b/>
                <w:color w:val="000000"/>
                <w:sz w:val="21"/>
                <w:szCs w:val="21"/>
              </w:rPr>
            </w:pPr>
          </w:p>
        </w:tc>
        <w:tc>
          <w:tcPr>
            <w:tcW w:w="822" w:type="pct"/>
            <w:vMerge w:val="continue"/>
            <w:vAlign w:val="center"/>
          </w:tcPr>
          <w:p>
            <w:pPr>
              <w:keepNext/>
              <w:adjustRightInd w:val="0"/>
              <w:snapToGrid w:val="0"/>
              <w:ind w:left="180" w:leftChars="75"/>
              <w:jc w:val="center"/>
              <w:rPr>
                <w:rFonts w:hint="eastAsia"/>
                <w:b/>
                <w:color w:val="000000"/>
                <w:sz w:val="21"/>
                <w:szCs w:val="21"/>
              </w:rPr>
            </w:pPr>
          </w:p>
        </w:tc>
        <w:tc>
          <w:tcPr>
            <w:tcW w:w="822" w:type="pct"/>
            <w:tcMar>
              <w:top w:w="72" w:type="dxa"/>
              <w:left w:w="108" w:type="dxa"/>
              <w:bottom w:w="72" w:type="dxa"/>
              <w:right w:w="108" w:type="dxa"/>
            </w:tcMar>
            <w:vAlign w:val="center"/>
          </w:tcPr>
          <w:p>
            <w:pPr>
              <w:keepNext/>
              <w:adjustRightInd w:val="0"/>
              <w:snapToGrid w:val="0"/>
              <w:jc w:val="center"/>
              <w:rPr>
                <w:rFonts w:hint="eastAsia"/>
                <w:b/>
                <w:bCs/>
                <w:color w:val="000000"/>
                <w:sz w:val="21"/>
                <w:szCs w:val="21"/>
              </w:rPr>
            </w:pPr>
            <w:r>
              <w:rPr>
                <w:rFonts w:hint="eastAsia"/>
                <w:b/>
                <w:bCs/>
                <w:color w:val="000000"/>
                <w:sz w:val="21"/>
                <w:szCs w:val="21"/>
              </w:rPr>
              <w:t>注册资本</w:t>
            </w:r>
          </w:p>
          <w:p>
            <w:pPr>
              <w:keepNext/>
              <w:adjustRightInd w:val="0"/>
              <w:snapToGrid w:val="0"/>
              <w:jc w:val="center"/>
              <w:rPr>
                <w:rFonts w:hint="eastAsia"/>
                <w:b/>
                <w:color w:val="000000"/>
                <w:sz w:val="21"/>
                <w:szCs w:val="21"/>
              </w:rPr>
            </w:pPr>
            <w:r>
              <w:rPr>
                <w:rFonts w:hint="eastAsia"/>
                <w:b/>
                <w:bCs/>
                <w:color w:val="000000"/>
                <w:sz w:val="21"/>
                <w:szCs w:val="21"/>
              </w:rPr>
              <w:t>（亿元）</w:t>
            </w:r>
          </w:p>
        </w:tc>
        <w:tc>
          <w:tcPr>
            <w:tcW w:w="1057" w:type="pct"/>
            <w:tcMar>
              <w:top w:w="72" w:type="dxa"/>
              <w:left w:w="108" w:type="dxa"/>
              <w:bottom w:w="72" w:type="dxa"/>
              <w:right w:w="10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占注册资本比例</w:t>
            </w:r>
          </w:p>
        </w:tc>
        <w:tc>
          <w:tcPr>
            <w:tcW w:w="833" w:type="pct"/>
            <w:tcMar>
              <w:top w:w="72" w:type="dxa"/>
              <w:left w:w="108" w:type="dxa"/>
              <w:bottom w:w="72" w:type="dxa"/>
              <w:right w:w="108" w:type="dxa"/>
            </w:tcMar>
            <w:vAlign w:val="center"/>
          </w:tcPr>
          <w:p>
            <w:pPr>
              <w:keepNext/>
              <w:adjustRightInd w:val="0"/>
              <w:snapToGrid w:val="0"/>
              <w:jc w:val="center"/>
              <w:rPr>
                <w:rFonts w:hint="eastAsia"/>
                <w:b/>
                <w:bCs/>
                <w:color w:val="000000"/>
                <w:sz w:val="21"/>
                <w:szCs w:val="21"/>
              </w:rPr>
            </w:pPr>
            <w:r>
              <w:rPr>
                <w:rFonts w:hint="eastAsia"/>
                <w:b/>
                <w:bCs/>
                <w:color w:val="000000"/>
                <w:sz w:val="21"/>
                <w:szCs w:val="21"/>
              </w:rPr>
              <w:t>注册资本</w:t>
            </w:r>
          </w:p>
          <w:p>
            <w:pPr>
              <w:keepNext/>
              <w:adjustRightInd w:val="0"/>
              <w:snapToGrid w:val="0"/>
              <w:jc w:val="center"/>
              <w:rPr>
                <w:rFonts w:hint="eastAsia"/>
                <w:b/>
                <w:color w:val="000000"/>
                <w:sz w:val="21"/>
                <w:szCs w:val="21"/>
              </w:rPr>
            </w:pPr>
            <w:r>
              <w:rPr>
                <w:rFonts w:hint="eastAsia"/>
                <w:b/>
                <w:bCs/>
                <w:color w:val="000000"/>
                <w:sz w:val="21"/>
                <w:szCs w:val="21"/>
              </w:rPr>
              <w:t>（亿元）</w:t>
            </w:r>
          </w:p>
        </w:tc>
        <w:tc>
          <w:tcPr>
            <w:tcW w:w="1046" w:type="pct"/>
            <w:tcMar>
              <w:top w:w="72" w:type="dxa"/>
              <w:left w:w="108" w:type="dxa"/>
              <w:bottom w:w="72" w:type="dxa"/>
              <w:right w:w="10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占注册资本比例</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12" w:hRule="atLeast"/>
          <w:jc w:val="center"/>
        </w:trPr>
        <w:tc>
          <w:tcPr>
            <w:tcW w:w="421" w:type="pct"/>
            <w:tcMar>
              <w:top w:w="15" w:type="dxa"/>
              <w:left w:w="28" w:type="dxa"/>
              <w:bottom w:w="0" w:type="dxa"/>
              <w:right w:w="28" w:type="dxa"/>
            </w:tcMar>
            <w:vAlign w:val="center"/>
          </w:tcPr>
          <w:p>
            <w:pPr>
              <w:adjustRightInd w:val="0"/>
              <w:snapToGrid w:val="0"/>
              <w:jc w:val="center"/>
              <w:rPr>
                <w:rFonts w:hint="eastAsia"/>
                <w:color w:val="000000"/>
                <w:sz w:val="21"/>
                <w:szCs w:val="21"/>
              </w:rPr>
            </w:pPr>
            <w:r>
              <w:rPr>
                <w:rFonts w:hint="eastAsia"/>
                <w:color w:val="000000"/>
                <w:sz w:val="21"/>
                <w:szCs w:val="21"/>
              </w:rPr>
              <w:t>1</w:t>
            </w:r>
          </w:p>
        </w:tc>
        <w:tc>
          <w:tcPr>
            <w:tcW w:w="822" w:type="pct"/>
            <w:tcMar>
              <w:top w:w="72" w:type="dxa"/>
              <w:left w:w="108" w:type="dxa"/>
              <w:bottom w:w="72" w:type="dxa"/>
              <w:right w:w="108" w:type="dxa"/>
            </w:tcMar>
            <w:vAlign w:val="center"/>
          </w:tcPr>
          <w:p>
            <w:pPr>
              <w:adjustRightInd w:val="0"/>
              <w:snapToGrid w:val="0"/>
              <w:jc w:val="center"/>
              <w:rPr>
                <w:rFonts w:hint="eastAsia"/>
                <w:color w:val="000000"/>
                <w:sz w:val="21"/>
                <w:szCs w:val="21"/>
              </w:rPr>
            </w:pPr>
            <w:r>
              <w:rPr>
                <w:rFonts w:hint="eastAsia"/>
                <w:color w:val="000000"/>
                <w:sz w:val="21"/>
                <w:szCs w:val="21"/>
              </w:rPr>
              <w:t>兖矿能源</w:t>
            </w:r>
          </w:p>
        </w:tc>
        <w:tc>
          <w:tcPr>
            <w:tcW w:w="822"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13.00</w:t>
            </w:r>
          </w:p>
        </w:tc>
        <w:tc>
          <w:tcPr>
            <w:tcW w:w="1057"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26.00%</w:t>
            </w:r>
          </w:p>
        </w:tc>
        <w:tc>
          <w:tcPr>
            <w:tcW w:w="833"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38.51</w:t>
            </w:r>
          </w:p>
        </w:tc>
        <w:tc>
          <w:tcPr>
            <w:tcW w:w="1046" w:type="pct"/>
            <w:tcMar>
              <w:top w:w="72" w:type="dxa"/>
              <w:left w:w="108" w:type="dxa"/>
              <w:bottom w:w="72"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51.00%</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12" w:hRule="atLeast"/>
          <w:jc w:val="center"/>
        </w:trPr>
        <w:tc>
          <w:tcPr>
            <w:tcW w:w="421" w:type="pct"/>
            <w:vAlign w:val="center"/>
          </w:tcPr>
          <w:p>
            <w:pPr>
              <w:adjustRightInd w:val="0"/>
              <w:snapToGrid w:val="0"/>
              <w:jc w:val="center"/>
              <w:rPr>
                <w:rFonts w:hint="eastAsia"/>
                <w:color w:val="000000"/>
                <w:sz w:val="21"/>
                <w:szCs w:val="21"/>
              </w:rPr>
            </w:pPr>
            <w:r>
              <w:rPr>
                <w:rFonts w:hint="eastAsia"/>
                <w:color w:val="000000"/>
                <w:sz w:val="21"/>
                <w:szCs w:val="21"/>
              </w:rPr>
              <w:t>2</w:t>
            </w:r>
          </w:p>
        </w:tc>
        <w:tc>
          <w:tcPr>
            <w:tcW w:w="822" w:type="pct"/>
            <w:tcMar>
              <w:top w:w="72" w:type="dxa"/>
              <w:left w:w="108" w:type="dxa"/>
              <w:bottom w:w="72" w:type="dxa"/>
              <w:right w:w="108" w:type="dxa"/>
            </w:tcMar>
            <w:vAlign w:val="center"/>
          </w:tcPr>
          <w:p>
            <w:pPr>
              <w:adjustRightInd w:val="0"/>
              <w:snapToGrid w:val="0"/>
              <w:jc w:val="center"/>
              <w:rPr>
                <w:rFonts w:hint="eastAsia"/>
                <w:color w:val="000000"/>
                <w:sz w:val="21"/>
                <w:szCs w:val="21"/>
              </w:rPr>
            </w:pPr>
            <w:r>
              <w:rPr>
                <w:rFonts w:hint="eastAsia"/>
                <w:color w:val="000000"/>
                <w:sz w:val="21"/>
                <w:szCs w:val="21"/>
              </w:rPr>
              <w:t>淄矿集团</w:t>
            </w:r>
          </w:p>
        </w:tc>
        <w:tc>
          <w:tcPr>
            <w:tcW w:w="822"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37.00</w:t>
            </w:r>
          </w:p>
        </w:tc>
        <w:tc>
          <w:tcPr>
            <w:tcW w:w="1057"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74.00%</w:t>
            </w:r>
          </w:p>
        </w:tc>
        <w:tc>
          <w:tcPr>
            <w:tcW w:w="833"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37.00</w:t>
            </w:r>
          </w:p>
        </w:tc>
        <w:tc>
          <w:tcPr>
            <w:tcW w:w="1046" w:type="pct"/>
            <w:tcMar>
              <w:top w:w="72" w:type="dxa"/>
              <w:left w:w="108" w:type="dxa"/>
              <w:bottom w:w="72" w:type="dxa"/>
              <w:right w:w="108" w:type="dxa"/>
            </w:tcMar>
            <w:vAlign w:val="center"/>
          </w:tcPr>
          <w:p>
            <w:pPr>
              <w:adjustRightInd w:val="0"/>
              <w:snapToGrid w:val="0"/>
              <w:ind w:left="180" w:leftChars="75"/>
              <w:jc w:val="right"/>
              <w:rPr>
                <w:rFonts w:hint="eastAsia"/>
                <w:color w:val="000000"/>
                <w:sz w:val="21"/>
                <w:szCs w:val="21"/>
              </w:rPr>
            </w:pPr>
            <w:r>
              <w:rPr>
                <w:rFonts w:hint="eastAsia"/>
                <w:color w:val="000000"/>
                <w:sz w:val="21"/>
                <w:szCs w:val="21"/>
              </w:rPr>
              <w:t>49.00%</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12" w:hRule="atLeast"/>
          <w:jc w:val="center"/>
        </w:trPr>
        <w:tc>
          <w:tcPr>
            <w:tcW w:w="1243" w:type="pct"/>
            <w:gridSpan w:val="2"/>
            <w:tcMar>
              <w:top w:w="15" w:type="dxa"/>
              <w:left w:w="28" w:type="dxa"/>
              <w:bottom w:w="0" w:type="dxa"/>
              <w:right w:w="28" w:type="dxa"/>
            </w:tcMar>
            <w:vAlign w:val="center"/>
          </w:tcPr>
          <w:p>
            <w:pPr>
              <w:adjustRightInd w:val="0"/>
              <w:snapToGrid w:val="0"/>
              <w:ind w:left="180" w:leftChars="75"/>
              <w:jc w:val="center"/>
              <w:rPr>
                <w:rFonts w:hint="eastAsia"/>
                <w:b/>
                <w:bCs/>
                <w:color w:val="000000"/>
                <w:sz w:val="21"/>
                <w:szCs w:val="21"/>
              </w:rPr>
            </w:pPr>
            <w:r>
              <w:rPr>
                <w:rFonts w:hint="eastAsia"/>
                <w:b/>
                <w:bCs/>
                <w:color w:val="000000"/>
                <w:sz w:val="21"/>
                <w:szCs w:val="21"/>
              </w:rPr>
              <w:t>合计</w:t>
            </w:r>
          </w:p>
        </w:tc>
        <w:tc>
          <w:tcPr>
            <w:tcW w:w="822"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b/>
                <w:bCs/>
                <w:color w:val="000000"/>
                <w:sz w:val="21"/>
                <w:szCs w:val="21"/>
              </w:rPr>
              <w:t>50.00</w:t>
            </w:r>
          </w:p>
        </w:tc>
        <w:tc>
          <w:tcPr>
            <w:tcW w:w="1057"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b/>
                <w:bCs/>
                <w:color w:val="000000"/>
                <w:sz w:val="21"/>
                <w:szCs w:val="21"/>
              </w:rPr>
              <w:t>100.00%</w:t>
            </w:r>
          </w:p>
        </w:tc>
        <w:tc>
          <w:tcPr>
            <w:tcW w:w="833" w:type="pct"/>
            <w:tcMar>
              <w:top w:w="15" w:type="dxa"/>
              <w:left w:w="108" w:type="dxa"/>
              <w:bottom w:w="0" w:type="dxa"/>
              <w:right w:w="108" w:type="dxa"/>
            </w:tcMar>
            <w:vAlign w:val="center"/>
          </w:tcPr>
          <w:p>
            <w:pPr>
              <w:adjustRightInd w:val="0"/>
              <w:snapToGrid w:val="0"/>
              <w:ind w:left="180" w:leftChars="75"/>
              <w:jc w:val="right"/>
              <w:rPr>
                <w:rFonts w:hint="eastAsia"/>
                <w:color w:val="000000"/>
                <w:sz w:val="21"/>
                <w:szCs w:val="21"/>
              </w:rPr>
            </w:pPr>
            <w:r>
              <w:rPr>
                <w:rFonts w:hint="eastAsia"/>
                <w:b/>
                <w:bCs/>
                <w:color w:val="000000"/>
                <w:sz w:val="21"/>
                <w:szCs w:val="21"/>
              </w:rPr>
              <w:t>75.51</w:t>
            </w:r>
          </w:p>
        </w:tc>
        <w:tc>
          <w:tcPr>
            <w:tcW w:w="1046" w:type="pct"/>
            <w:tcMar>
              <w:top w:w="72" w:type="dxa"/>
              <w:left w:w="108" w:type="dxa"/>
              <w:bottom w:w="72" w:type="dxa"/>
              <w:right w:w="108" w:type="dxa"/>
            </w:tcMar>
            <w:vAlign w:val="center"/>
          </w:tcPr>
          <w:p>
            <w:pPr>
              <w:adjustRightInd w:val="0"/>
              <w:snapToGrid w:val="0"/>
              <w:ind w:left="180" w:leftChars="75"/>
              <w:jc w:val="right"/>
              <w:rPr>
                <w:rFonts w:hint="eastAsia"/>
                <w:color w:val="000000"/>
                <w:sz w:val="21"/>
                <w:szCs w:val="21"/>
              </w:rPr>
            </w:pPr>
            <w:r>
              <w:rPr>
                <w:rFonts w:hint="eastAsia"/>
                <w:b/>
                <w:bCs/>
                <w:color w:val="000000"/>
                <w:sz w:val="21"/>
                <w:szCs w:val="21"/>
              </w:rPr>
              <w:t>100.00%</w:t>
            </w:r>
          </w:p>
        </w:tc>
      </w:tr>
      <w:bookmarkEnd w:id="1"/>
    </w:tbl>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（二）本次交易构成关联交易</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截至202</w:t>
      </w:r>
      <w:r>
        <w:rPr>
          <w:rFonts w:hint="eastAsia" w:cs="Times New Roman" w:asciiTheme="minorEastAsia" w:hAnsiTheme="minorEastAsia" w:eastAsiaTheme="minorEastAsia"/>
        </w:rPr>
        <w:t>4</w:t>
      </w:r>
      <w:r>
        <w:rPr>
          <w:rFonts w:cs="Times New Roman" w:asciiTheme="minorEastAsia" w:hAnsiTheme="minorEastAsia" w:eastAsiaTheme="minorEastAsia"/>
        </w:rPr>
        <w:t>年12月</w:t>
      </w:r>
      <w:r>
        <w:rPr>
          <w:rFonts w:hint="eastAsia" w:cs="Times New Roman" w:asciiTheme="minorEastAsia" w:hAnsiTheme="minorEastAsia" w:eastAsiaTheme="minorEastAsia"/>
        </w:rPr>
        <w:t>3</w:t>
      </w:r>
      <w:r>
        <w:rPr>
          <w:rFonts w:cs="Times New Roman" w:asciiTheme="minorEastAsia" w:hAnsiTheme="minorEastAsia" w:eastAsiaTheme="minorEastAsia"/>
        </w:rPr>
        <w:t>1日，山能集团直接和间接持有公司</w:t>
      </w:r>
      <w:r>
        <w:rPr>
          <w:rFonts w:hint="eastAsia" w:cs="Times New Roman" w:asciiTheme="minorEastAsia" w:hAnsiTheme="minorEastAsia" w:eastAsiaTheme="minorEastAsia"/>
        </w:rPr>
        <w:t>52.83%</w:t>
      </w:r>
      <w:r>
        <w:rPr>
          <w:rFonts w:cs="Times New Roman" w:asciiTheme="minorEastAsia" w:hAnsiTheme="minorEastAsia" w:eastAsiaTheme="minorEastAsia"/>
        </w:rPr>
        <w:t>股份，为公司控股股东</w:t>
      </w:r>
      <w:r>
        <w:rPr>
          <w:rFonts w:hint="eastAsia" w:cs="Times New Roman" w:asciiTheme="minorEastAsia" w:hAnsiTheme="minorEastAsia" w:eastAsiaTheme="minorEastAsia"/>
        </w:rPr>
        <w:t>。</w:t>
      </w:r>
      <w:r>
        <w:rPr>
          <w:rFonts w:cs="Times New Roman" w:asciiTheme="minorEastAsia" w:hAnsiTheme="minorEastAsia" w:eastAsiaTheme="minorEastAsia"/>
        </w:rPr>
        <w:t>山能集团直接持有</w:t>
      </w:r>
      <w:r>
        <w:rPr>
          <w:rFonts w:hint="eastAsia" w:cs="Times New Roman" w:asciiTheme="minorEastAsia" w:hAnsiTheme="minorEastAsia" w:eastAsiaTheme="minorEastAsia"/>
        </w:rPr>
        <w:t>本次转让的</w:t>
      </w:r>
      <w:r>
        <w:rPr>
          <w:rFonts w:cs="Times New Roman" w:asciiTheme="minorEastAsia" w:hAnsiTheme="minorEastAsia" w:eastAsiaTheme="minorEastAsia"/>
        </w:rPr>
        <w:t>交易对方</w:t>
      </w:r>
      <w:r>
        <w:rPr>
          <w:rFonts w:hint="eastAsia" w:cs="Times New Roman" w:asciiTheme="minorEastAsia" w:hAnsiTheme="minorEastAsia" w:eastAsiaTheme="minorEastAsia"/>
        </w:rPr>
        <w:t>淄</w:t>
      </w:r>
      <w:r>
        <w:rPr>
          <w:rFonts w:cs="Times New Roman" w:asciiTheme="minorEastAsia" w:hAnsiTheme="minorEastAsia" w:eastAsiaTheme="minorEastAsia"/>
        </w:rPr>
        <w:t>矿集团、龙矿集团、</w:t>
      </w:r>
      <w:r>
        <w:rPr>
          <w:rFonts w:hint="eastAsia" w:cs="Times New Roman" w:asciiTheme="minorEastAsia" w:hAnsiTheme="minorEastAsia" w:eastAsiaTheme="minorEastAsia"/>
        </w:rPr>
        <w:t>新</w:t>
      </w:r>
      <w:r>
        <w:rPr>
          <w:rFonts w:cs="Times New Roman" w:asciiTheme="minorEastAsia" w:hAnsiTheme="minorEastAsia" w:eastAsiaTheme="minorEastAsia"/>
        </w:rPr>
        <w:t>矿集团、肥城煤业100%股权</w:t>
      </w:r>
      <w:r>
        <w:rPr>
          <w:rFonts w:hint="eastAsia" w:cs="Times New Roman" w:asciiTheme="minorEastAsia" w:hAnsiTheme="minorEastAsia" w:eastAsiaTheme="minorEastAsia"/>
        </w:rPr>
        <w:t>，间接持有目标公司西北矿业1</w:t>
      </w:r>
      <w:r>
        <w:rPr>
          <w:rFonts w:cs="Times New Roman" w:asciiTheme="minorEastAsia" w:hAnsiTheme="minorEastAsia" w:eastAsiaTheme="minorEastAsia"/>
        </w:rPr>
        <w:t>00%</w:t>
      </w:r>
      <w:r>
        <w:rPr>
          <w:rFonts w:hint="eastAsia" w:cs="Times New Roman" w:asciiTheme="minorEastAsia" w:hAnsiTheme="minorEastAsia" w:eastAsiaTheme="minorEastAsia"/>
        </w:rPr>
        <w:t>股权</w:t>
      </w:r>
      <w:r>
        <w:rPr>
          <w:rFonts w:cs="Times New Roman" w:asciiTheme="minorEastAsia" w:hAnsiTheme="minorEastAsia" w:eastAsiaTheme="minorEastAsia"/>
        </w:rPr>
        <w:t>。依据公司上市地监管规定，</w:t>
      </w:r>
      <w:r>
        <w:rPr>
          <w:rFonts w:hint="eastAsia" w:cs="Times New Roman" w:asciiTheme="minorEastAsia" w:hAnsiTheme="minorEastAsia" w:eastAsiaTheme="minorEastAsia"/>
        </w:rPr>
        <w:t>交易对方淄</w:t>
      </w:r>
      <w:r>
        <w:rPr>
          <w:rFonts w:cs="Times New Roman" w:asciiTheme="minorEastAsia" w:hAnsiTheme="minorEastAsia" w:eastAsiaTheme="minorEastAsia"/>
        </w:rPr>
        <w:t>矿集团、龙矿集团、</w:t>
      </w:r>
      <w:r>
        <w:rPr>
          <w:rFonts w:hint="eastAsia" w:cs="Times New Roman" w:asciiTheme="minorEastAsia" w:hAnsiTheme="minorEastAsia" w:eastAsiaTheme="minorEastAsia"/>
        </w:rPr>
        <w:t>新</w:t>
      </w:r>
      <w:r>
        <w:rPr>
          <w:rFonts w:cs="Times New Roman" w:asciiTheme="minorEastAsia" w:hAnsiTheme="minorEastAsia" w:eastAsiaTheme="minorEastAsia"/>
        </w:rPr>
        <w:t>矿集团、肥城煤业</w:t>
      </w:r>
      <w:r>
        <w:rPr>
          <w:rFonts w:hint="eastAsia" w:cs="Times New Roman" w:asciiTheme="minorEastAsia" w:hAnsiTheme="minorEastAsia" w:eastAsiaTheme="minorEastAsia"/>
        </w:rPr>
        <w:t>及目标公司均为</w:t>
      </w:r>
      <w:r>
        <w:rPr>
          <w:rFonts w:cs="Times New Roman" w:asciiTheme="minorEastAsia" w:hAnsiTheme="minorEastAsia" w:eastAsiaTheme="minorEastAsia"/>
        </w:rPr>
        <w:t>公司的关联方，本次交易构成关联交易。</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（三）本次交易不构成重大资产重组</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本次交易不构成《上市公司重大资产重组管理办法》规定的重大资产重组事项。</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（四）本次交易涉及的相关审批程序</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公司于</w:t>
      </w:r>
      <w:r>
        <w:rPr>
          <w:rFonts w:cs="Times New Roman" w:asciiTheme="minorEastAsia" w:hAnsiTheme="minorEastAsia" w:eastAsiaTheme="minorEastAsia"/>
          <w:sz w:val="28"/>
          <w:szCs w:val="28"/>
        </w:rPr>
        <w:t>202</w:t>
      </w:r>
      <w:r>
        <w:rPr>
          <w:rFonts w:hint="eastAsia" w:cs="Times New Roman" w:asciiTheme="minorEastAsia" w:hAnsiTheme="minorEastAsia" w:eastAsiaTheme="minorEastAsia"/>
          <w:sz w:val="28"/>
          <w:szCs w:val="28"/>
        </w:rPr>
        <w:t>5</w:t>
      </w:r>
      <w:r>
        <w:rPr>
          <w:rFonts w:cs="Times New Roman" w:asciiTheme="minorEastAsia" w:hAnsiTheme="minorEastAsia" w:eastAsiaTheme="minorEastAsia"/>
          <w:sz w:val="28"/>
          <w:szCs w:val="28"/>
        </w:rPr>
        <w:t>年</w:t>
      </w:r>
      <w:r>
        <w:rPr>
          <w:rFonts w:hint="eastAsia" w:cs="Times New Roman" w:asciiTheme="minorEastAsia" w:hAnsiTheme="minorEastAsia" w:eastAsiaTheme="minorEastAsia"/>
          <w:sz w:val="28"/>
          <w:szCs w:val="28"/>
        </w:rPr>
        <w:t>4</w:t>
      </w:r>
      <w:r>
        <w:rPr>
          <w:rFonts w:cs="Times New Roman" w:asciiTheme="minorEastAsia" w:hAnsiTheme="minorEastAsia" w:eastAsiaTheme="minorEastAsia"/>
          <w:sz w:val="28"/>
          <w:szCs w:val="28"/>
        </w:rPr>
        <w:t>月8日召开第</w:t>
      </w:r>
      <w:r>
        <w:rPr>
          <w:rFonts w:hint="eastAsia" w:cs="Times New Roman" w:asciiTheme="minorEastAsia" w:hAnsiTheme="minorEastAsia" w:eastAsiaTheme="minorEastAsia"/>
          <w:sz w:val="28"/>
          <w:szCs w:val="28"/>
        </w:rPr>
        <w:t>九</w:t>
      </w:r>
      <w:r>
        <w:rPr>
          <w:rFonts w:cs="Times New Roman" w:asciiTheme="minorEastAsia" w:hAnsiTheme="minorEastAsia" w:eastAsiaTheme="minorEastAsia"/>
          <w:sz w:val="28"/>
          <w:szCs w:val="28"/>
        </w:rPr>
        <w:t>届董事会第</w:t>
      </w:r>
      <w:r>
        <w:rPr>
          <w:rFonts w:hint="eastAsia" w:cs="Times New Roman" w:asciiTheme="minorEastAsia" w:hAnsiTheme="minorEastAsia" w:eastAsiaTheme="minorEastAsia"/>
          <w:sz w:val="28"/>
          <w:szCs w:val="28"/>
        </w:rPr>
        <w:t>十五</w:t>
      </w:r>
      <w:r>
        <w:rPr>
          <w:rFonts w:cs="Times New Roman" w:asciiTheme="minorEastAsia" w:hAnsiTheme="minorEastAsia" w:eastAsiaTheme="minorEastAsia"/>
          <w:sz w:val="28"/>
          <w:szCs w:val="28"/>
        </w:rPr>
        <w:t>次会议，审议批准了</w:t>
      </w:r>
      <w:r>
        <w:rPr>
          <w:rFonts w:hint="eastAsia" w:cs="Times New Roman" w:asciiTheme="minorEastAsia" w:hAnsiTheme="minorEastAsia" w:eastAsiaTheme="minorEastAsia"/>
          <w:sz w:val="28"/>
          <w:szCs w:val="28"/>
        </w:rPr>
        <w:t>《关于以协议受让及增资方式收购西北矿业5</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股权的议案》</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关联董事李伟、刘健、刘强、张海军已回避表决。本次交易提交董事会讨论审议前，公司独立董事专门会议已召开会议审议通过了本次交易并同意提交董事会审议。</w:t>
      </w:r>
    </w:p>
    <w:p>
      <w:pPr>
        <w:adjustRightInd w:val="0"/>
        <w:snapToGrid w:val="0"/>
        <w:spacing w:line="520" w:lineRule="exact"/>
        <w:ind w:firstLine="560" w:firstLineChars="200"/>
        <w:jc w:val="both"/>
        <w:rPr>
          <w:rFonts w:hint="eastAsia" w:ascii="楷体" w:hAnsi="楷体" w:eastAsia="楷体" w:cs="Times New Roman"/>
          <w:sz w:val="28"/>
          <w:szCs w:val="28"/>
        </w:rPr>
      </w:pPr>
      <w:r>
        <w:rPr>
          <w:rFonts w:hint="eastAsia" w:cs="Times New Roman" w:asciiTheme="minorEastAsia" w:hAnsiTheme="minorEastAsia" w:eastAsiaTheme="minorEastAsia"/>
          <w:sz w:val="28"/>
          <w:szCs w:val="28"/>
        </w:rPr>
        <w:t>根据公司上市地监管规则和《公司章程》规定，本次交易属于公司股东大会审批权限，</w:t>
      </w:r>
      <w:r>
        <w:rPr>
          <w:rFonts w:cs="Times New Roman" w:asciiTheme="minorEastAsia" w:hAnsiTheme="minorEastAsia" w:eastAsiaTheme="minorEastAsia"/>
          <w:sz w:val="28"/>
          <w:szCs w:val="28"/>
        </w:rPr>
        <w:t>尚需提交股东大会审议</w:t>
      </w:r>
      <w:r>
        <w:rPr>
          <w:rFonts w:ascii="楷体" w:hAnsi="楷体" w:eastAsia="楷体" w:cs="Times New Roman"/>
          <w:sz w:val="28"/>
          <w:szCs w:val="28"/>
        </w:rPr>
        <w:t>。</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（五）</w:t>
      </w:r>
      <w:r>
        <w:rPr>
          <w:rFonts w:hint="eastAsia" w:ascii="楷体" w:hAnsi="楷体" w:eastAsia="楷体" w:cs="Times New Roman"/>
          <w:b/>
          <w:bCs/>
          <w:sz w:val="28"/>
          <w:szCs w:val="28"/>
        </w:rPr>
        <w:t>过往12个月内与同一关联人之间的关联交易</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截至本公告日，过去12个月内，公司与山能集团及其下属公司未发生交易金额达到3,000万元以上且占本公司最近一期经审计净资产绝对值5%以上</w:t>
      </w:r>
      <w:r>
        <w:rPr>
          <w:rFonts w:hint="eastAsia" w:cs="Times New Roman" w:asciiTheme="minorEastAsia" w:hAnsiTheme="minorEastAsia" w:eastAsiaTheme="minorEastAsia"/>
          <w:sz w:val="28"/>
          <w:szCs w:val="28"/>
        </w:rPr>
        <w:t>购买或出售资产的交易。</w:t>
      </w:r>
    </w:p>
    <w:p>
      <w:pPr>
        <w:keepNext/>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二、关联方介绍</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（一）关联关系介绍</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参见本公告之“一、本次交易概述”之“（二）本次交易构成关联交易”相关内容。</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（二）关联方基本情况</w:t>
      </w:r>
    </w:p>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1</w:t>
      </w:r>
      <w:r>
        <w:rPr>
          <w:rFonts w:hint="eastAsia" w:cs="Times New Roman" w:asciiTheme="minorEastAsia" w:hAnsiTheme="minorEastAsia" w:eastAsiaTheme="minorEastAsia"/>
          <w:b/>
          <w:bCs/>
        </w:rPr>
        <w:t>.</w:t>
      </w:r>
      <w:r>
        <w:rPr>
          <w:rFonts w:cs="Times New Roman" w:asciiTheme="minorEastAsia" w:hAnsiTheme="minorEastAsia" w:eastAsiaTheme="minorEastAsia"/>
          <w:b/>
          <w:bCs/>
        </w:rPr>
        <w:t>山能集团</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名称</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山东能源集团有限公司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统一社会信用代码</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91370000166120002R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成立时间</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1996</w:t>
            </w:r>
            <w:r>
              <w:rPr>
                <w:rFonts w:hint="eastAsia" w:cs="Times New Roman" w:asciiTheme="minorEastAsia" w:hAnsiTheme="minorEastAsia" w:eastAsiaTheme="minorEastAsia"/>
                <w:sz w:val="21"/>
                <w:szCs w:val="21"/>
              </w:rPr>
              <w:t>年</w:t>
            </w:r>
            <w:r>
              <w:rPr>
                <w:rFonts w:cs="Times New Roman" w:asciiTheme="minorEastAsia" w:hAnsiTheme="minorEastAsia" w:eastAsiaTheme="minorEastAsia"/>
                <w:sz w:val="21"/>
                <w:szCs w:val="21"/>
              </w:rPr>
              <w:t>3</w:t>
            </w:r>
            <w:r>
              <w:rPr>
                <w:rFonts w:hint="eastAsia" w:cs="Times New Roman" w:asciiTheme="minorEastAsia" w:hAnsiTheme="minorEastAsia" w:eastAsiaTheme="minorEastAsia"/>
                <w:sz w:val="21"/>
                <w:szCs w:val="21"/>
              </w:rPr>
              <w:t>月</w:t>
            </w:r>
            <w:r>
              <w:rPr>
                <w:rFonts w:cs="Times New Roman" w:asciiTheme="minorEastAsia" w:hAnsiTheme="minorEastAsia" w:eastAsiaTheme="minorEastAsia"/>
                <w:sz w:val="21"/>
                <w:szCs w:val="21"/>
              </w:rPr>
              <w:t>12</w:t>
            </w:r>
            <w:r>
              <w:rPr>
                <w:rFonts w:hint="eastAsia" w:cs="Times New Roman" w:asciiTheme="minorEastAsia" w:hAnsiTheme="minorEastAsia" w:eastAsia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注册地</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山东省济南市高新区舜华路</w:t>
            </w:r>
            <w:r>
              <w:rPr>
                <w:rFonts w:cs="Times New Roman" w:asciiTheme="minorEastAsia" w:hAnsiTheme="minorEastAsia" w:eastAsiaTheme="minorEastAsia"/>
                <w:sz w:val="21"/>
                <w:szCs w:val="21"/>
              </w:rPr>
              <w:t>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法定代表人</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注册资本</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3,020,000万元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经营范围</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授权范围内的国有资产经营；开展煤炭等资源性产品、煤电、煤化工、高端装备制造、新能源新材料、现代物流贸易、油气、工程和技术研究及管理咨询、高科技、金融等行业领域的投资、管理；规划、组织、协调集团所属企业在上述行业领域内的生产经营活动。投资咨询；期刊出版，有线广播及电视的安装、开通、维护和器材销售；许可证批准范围内的增值电信业务；对外承包工程资质证书批准范围内的承包与实力、规模、业绩相适应的国外工程项目及对外派遣实施上述境外工程所需的劳务人员。（以下仅限分支机构经营）：热电、供热及发电余热综合利用；公路运输；木材加工；水、暖管道安装、维修；餐饮、旅馆；水的开采及销售；黄金、贵金属、有色金属的地质探矿、开采、选冶、加工、销售及技术服务。广告业务；机电产品、服装、纺织及橡胶制品的销售；备案范围内的进出口业务；园林绿化；房屋、土地、设备的租赁；煤炭、煤化工及煤电铝技术开发服务；建筑材料、硫酸铵（白色结晶粉末）生产、销售；矿用设备、机电设备、成套设备及零配件的制造、安装、维修、销售；装饰装修；电器设备安装、维修、销售；通用零部件、机械配件、加工及销售；污水处理及中水的销售；房地产开发、物业管理；日用百货、工艺品、金属材料、燃气设备销售；铁路货物（区内自备）运输。（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股权结构</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山东省人民政府国有资产监督管理委员会持股</w:t>
            </w:r>
            <w:r>
              <w:rPr>
                <w:rFonts w:cs="Times New Roman" w:asciiTheme="minorEastAsia" w:hAnsiTheme="minorEastAsia" w:eastAsiaTheme="minorEastAsia"/>
                <w:sz w:val="21"/>
                <w:szCs w:val="21"/>
              </w:rPr>
              <w:t>70%</w:t>
            </w:r>
            <w:r>
              <w:rPr>
                <w:rFonts w:hint="eastAsia" w:cs="Times New Roman" w:asciiTheme="minorEastAsia" w:hAnsiTheme="minorEastAsia" w:eastAsiaTheme="minorEastAsia"/>
                <w:sz w:val="21"/>
                <w:szCs w:val="21"/>
              </w:rPr>
              <w:t>；山东国惠投资控股集团有限公司持股</w:t>
            </w:r>
            <w:r>
              <w:rPr>
                <w:rFonts w:cs="Times New Roman" w:asciiTheme="minorEastAsia" w:hAnsiTheme="minorEastAsia" w:eastAsiaTheme="minorEastAsia"/>
                <w:sz w:val="21"/>
                <w:szCs w:val="21"/>
              </w:rPr>
              <w:t>20%</w:t>
            </w:r>
            <w:r>
              <w:rPr>
                <w:rFonts w:hint="eastAsia" w:cs="Times New Roman" w:asciiTheme="minorEastAsia" w:hAnsiTheme="minorEastAsia" w:eastAsiaTheme="minorEastAsia"/>
                <w:sz w:val="21"/>
                <w:szCs w:val="21"/>
              </w:rPr>
              <w:t>；山东省财欣资产运营有限公司持股</w:t>
            </w:r>
            <w:r>
              <w:rPr>
                <w:rFonts w:cs="Times New Roman" w:asciiTheme="minorEastAsia" w:hAnsiTheme="minorEastAsia" w:eastAsiaTheme="minor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是否为失信被执行人</w:t>
            </w:r>
          </w:p>
        </w:tc>
        <w:tc>
          <w:tcPr>
            <w:tcW w:w="3702" w:type="pct"/>
            <w:vAlign w:val="center"/>
          </w:tcPr>
          <w:p>
            <w:pPr>
              <w:adjustRightInd w:val="0"/>
              <w:snapToGrid w:val="0"/>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否</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rPr>
      </w:pPr>
      <w:r>
        <w:rPr>
          <w:rFonts w:cs="Times New Roman" w:asciiTheme="minorEastAsia" w:hAnsiTheme="minorEastAsia" w:eastAsiaTheme="minorEastAsia"/>
          <w:sz w:val="28"/>
          <w:szCs w:val="28"/>
        </w:rPr>
        <w:t>（2）主要财务指标</w:t>
      </w:r>
    </w:p>
    <w:p>
      <w:pPr>
        <w:keepNext/>
        <w:adjustRightInd w:val="0"/>
        <w:snapToGrid w:val="0"/>
        <w:ind w:firstLine="480" w:firstLineChars="200"/>
        <w:jc w:val="right"/>
        <w:rPr>
          <w:rFonts w:hint="eastAsia" w:cs="Times New Roman" w:asciiTheme="minorEastAsia" w:hAnsiTheme="minorEastAsia" w:eastAsiaTheme="minorEastAsia"/>
        </w:rPr>
      </w:pPr>
      <w:r>
        <w:rPr>
          <w:rFonts w:hint="eastAsia" w:cs="Times New Roman" w:asciiTheme="minorEastAsia" w:hAnsiTheme="minorEastAsia" w:eastAsiaTheme="minorEastAsia"/>
        </w:rPr>
        <w:t>单位：万元</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508"/>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sz w:val="21"/>
                <w:szCs w:val="21"/>
              </w:rPr>
              <w:br w:type="page"/>
            </w: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rFonts w:hint="eastAsia"/>
                <w:b/>
                <w:bCs/>
                <w:sz w:val="21"/>
                <w:szCs w:val="21"/>
              </w:rPr>
              <w:t>截至2024年12月31日</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rFonts w:hint="eastAsia"/>
                <w:b/>
                <w:bCs/>
                <w:sz w:val="21"/>
                <w:szCs w:val="21"/>
              </w:rPr>
              <w:t>截至2023年12月31日</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资产总额</w:t>
            </w:r>
          </w:p>
        </w:tc>
        <w:tc>
          <w:tcPr>
            <w:tcW w:w="2058" w:type="pct"/>
            <w:vAlign w:val="center"/>
          </w:tcPr>
          <w:p>
            <w:pPr>
              <w:jc w:val="right"/>
              <w:textAlignment w:val="center"/>
              <w:rPr>
                <w:rFonts w:hint="eastAsia"/>
                <w:sz w:val="21"/>
                <w:szCs w:val="21"/>
              </w:rPr>
            </w:pPr>
            <w:r>
              <w:rPr>
                <w:rFonts w:hint="eastAsia"/>
                <w:color w:val="000000"/>
                <w:sz w:val="21"/>
                <w:szCs w:val="21"/>
              </w:rPr>
              <w:t xml:space="preserve">102,171,240.49 </w:t>
            </w:r>
          </w:p>
        </w:tc>
        <w:tc>
          <w:tcPr>
            <w:tcW w:w="2057" w:type="pct"/>
            <w:vAlign w:val="center"/>
          </w:tcPr>
          <w:p>
            <w:pPr>
              <w:jc w:val="right"/>
              <w:textAlignment w:val="center"/>
              <w:rPr>
                <w:rFonts w:hint="eastAsia"/>
                <w:sz w:val="21"/>
                <w:szCs w:val="21"/>
              </w:rPr>
            </w:pPr>
            <w:r>
              <w:rPr>
                <w:rFonts w:hint="eastAsia"/>
                <w:color w:val="000000"/>
                <w:sz w:val="21"/>
                <w:szCs w:val="21"/>
              </w:rPr>
              <w:t xml:space="preserve">100,204,139.58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资产净额</w:t>
            </w:r>
          </w:p>
        </w:tc>
        <w:tc>
          <w:tcPr>
            <w:tcW w:w="2058" w:type="pct"/>
            <w:vAlign w:val="center"/>
          </w:tcPr>
          <w:p>
            <w:pPr>
              <w:jc w:val="right"/>
              <w:textAlignment w:val="center"/>
              <w:rPr>
                <w:rFonts w:hint="eastAsia"/>
                <w:sz w:val="21"/>
                <w:szCs w:val="21"/>
              </w:rPr>
            </w:pPr>
            <w:r>
              <w:rPr>
                <w:rFonts w:hint="eastAsia"/>
                <w:color w:val="000000"/>
                <w:sz w:val="21"/>
                <w:szCs w:val="21"/>
              </w:rPr>
              <w:t xml:space="preserve">27,981,438.45 </w:t>
            </w:r>
          </w:p>
        </w:tc>
        <w:tc>
          <w:tcPr>
            <w:tcW w:w="2057" w:type="pct"/>
            <w:vAlign w:val="center"/>
          </w:tcPr>
          <w:p>
            <w:pPr>
              <w:jc w:val="right"/>
              <w:textAlignment w:val="center"/>
              <w:rPr>
                <w:rFonts w:hint="eastAsia"/>
                <w:color w:val="000000"/>
                <w:sz w:val="21"/>
                <w:szCs w:val="21"/>
              </w:rPr>
            </w:pPr>
            <w:r>
              <w:rPr>
                <w:rFonts w:hint="eastAsia"/>
                <w:color w:val="000000"/>
                <w:sz w:val="21"/>
                <w:szCs w:val="21"/>
              </w:rPr>
              <w:t xml:space="preserve">27,628,421.28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b/>
                <w:bCs/>
                <w:sz w:val="21"/>
                <w:szCs w:val="21"/>
              </w:rPr>
              <w:t>2024年</w:t>
            </w:r>
            <w:r>
              <w:rPr>
                <w:rFonts w:hint="eastAsia"/>
                <w:b/>
                <w:bCs/>
                <w:sz w:val="21"/>
                <w:szCs w:val="21"/>
              </w:rPr>
              <w:t>年度</w:t>
            </w:r>
          </w:p>
          <w:p>
            <w:pPr>
              <w:adjustRightInd w:val="0"/>
              <w:snapToGrid w:val="0"/>
              <w:jc w:val="center"/>
              <w:rPr>
                <w:rFonts w:hint="eastAsia"/>
                <w:b/>
                <w:bCs/>
                <w:sz w:val="21"/>
                <w:szCs w:val="21"/>
              </w:rPr>
            </w:pPr>
            <w:r>
              <w:rPr>
                <w:b/>
                <w:bCs/>
                <w:sz w:val="21"/>
                <w:szCs w:val="21"/>
              </w:rPr>
              <w:t>（</w:t>
            </w:r>
            <w:r>
              <w:rPr>
                <w:rFonts w:hint="eastAsia"/>
                <w:b/>
                <w:bCs/>
                <w:sz w:val="21"/>
                <w:szCs w:val="21"/>
              </w:rPr>
              <w:t>未</w:t>
            </w:r>
            <w:r>
              <w:rPr>
                <w:b/>
                <w:bCs/>
                <w:sz w:val="21"/>
                <w:szCs w:val="21"/>
              </w:rPr>
              <w:t>经审计）</w:t>
            </w:r>
          </w:p>
        </w:tc>
        <w:tc>
          <w:tcPr>
            <w:tcW w:w="2057" w:type="pct"/>
            <w:vAlign w:val="center"/>
          </w:tcPr>
          <w:p>
            <w:pPr>
              <w:adjustRightInd w:val="0"/>
              <w:snapToGrid w:val="0"/>
              <w:jc w:val="center"/>
              <w:rPr>
                <w:rFonts w:hint="eastAsia"/>
                <w:b/>
                <w:bCs/>
                <w:sz w:val="21"/>
                <w:szCs w:val="21"/>
              </w:rPr>
            </w:pPr>
            <w:r>
              <w:rPr>
                <w:rFonts w:hint="eastAsia"/>
                <w:b/>
                <w:bCs/>
                <w:sz w:val="21"/>
                <w:szCs w:val="21"/>
              </w:rPr>
              <w:t>2023年度</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营业收入</w:t>
            </w:r>
          </w:p>
        </w:tc>
        <w:tc>
          <w:tcPr>
            <w:tcW w:w="2058" w:type="pct"/>
            <w:vAlign w:val="center"/>
          </w:tcPr>
          <w:p>
            <w:pPr>
              <w:jc w:val="right"/>
              <w:textAlignment w:val="center"/>
              <w:rPr>
                <w:rFonts w:hint="eastAsia"/>
                <w:sz w:val="21"/>
                <w:szCs w:val="21"/>
              </w:rPr>
            </w:pPr>
            <w:r>
              <w:rPr>
                <w:rFonts w:hint="eastAsia"/>
                <w:color w:val="000000"/>
                <w:sz w:val="21"/>
                <w:szCs w:val="21"/>
              </w:rPr>
              <w:t xml:space="preserve">86,501,776.03 </w:t>
            </w:r>
          </w:p>
        </w:tc>
        <w:tc>
          <w:tcPr>
            <w:tcW w:w="2057" w:type="pct"/>
            <w:vAlign w:val="center"/>
          </w:tcPr>
          <w:p>
            <w:pPr>
              <w:jc w:val="right"/>
              <w:textAlignment w:val="center"/>
              <w:rPr>
                <w:rFonts w:hint="eastAsia"/>
                <w:sz w:val="21"/>
                <w:szCs w:val="21"/>
              </w:rPr>
            </w:pPr>
            <w:r>
              <w:rPr>
                <w:rFonts w:hint="eastAsia"/>
                <w:color w:val="000000"/>
                <w:sz w:val="21"/>
                <w:szCs w:val="21"/>
              </w:rPr>
              <w:t xml:space="preserve">85,356,810.52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净利润</w:t>
            </w:r>
          </w:p>
        </w:tc>
        <w:tc>
          <w:tcPr>
            <w:tcW w:w="2058" w:type="pct"/>
            <w:vAlign w:val="center"/>
          </w:tcPr>
          <w:p>
            <w:pPr>
              <w:jc w:val="right"/>
              <w:textAlignment w:val="center"/>
              <w:rPr>
                <w:rFonts w:hint="eastAsia"/>
                <w:sz w:val="21"/>
                <w:szCs w:val="21"/>
              </w:rPr>
            </w:pPr>
            <w:r>
              <w:rPr>
                <w:rFonts w:hint="eastAsia"/>
                <w:color w:val="000000"/>
                <w:sz w:val="21"/>
                <w:szCs w:val="21"/>
              </w:rPr>
              <w:t xml:space="preserve">1,484,237.08 </w:t>
            </w:r>
          </w:p>
        </w:tc>
        <w:tc>
          <w:tcPr>
            <w:tcW w:w="2057" w:type="pct"/>
            <w:vAlign w:val="center"/>
          </w:tcPr>
          <w:p>
            <w:pPr>
              <w:jc w:val="right"/>
              <w:textAlignment w:val="center"/>
              <w:rPr>
                <w:rFonts w:hint="eastAsia"/>
                <w:sz w:val="21"/>
                <w:szCs w:val="21"/>
              </w:rPr>
            </w:pPr>
            <w:r>
              <w:rPr>
                <w:rFonts w:hint="eastAsia"/>
                <w:color w:val="000000"/>
                <w:sz w:val="21"/>
                <w:szCs w:val="21"/>
              </w:rPr>
              <w:t xml:space="preserve">2,265,057.98 </w:t>
            </w:r>
          </w:p>
        </w:tc>
      </w:tr>
    </w:tbl>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2</w:t>
      </w:r>
      <w:r>
        <w:rPr>
          <w:rFonts w:hint="eastAsia" w:cs="Times New Roman" w:asciiTheme="minorEastAsia" w:hAnsiTheme="minorEastAsia" w:eastAsiaTheme="minorEastAsia"/>
          <w:b/>
          <w:bCs/>
        </w:rPr>
        <w:t>.淄</w:t>
      </w:r>
      <w:r>
        <w:rPr>
          <w:rFonts w:cs="Times New Roman" w:asciiTheme="minorEastAsia" w:hAnsiTheme="minorEastAsia" w:eastAsiaTheme="minorEastAsia"/>
          <w:b/>
          <w:bCs/>
        </w:rPr>
        <w:t>矿集团</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名称</w:t>
            </w:r>
          </w:p>
        </w:tc>
        <w:tc>
          <w:tcPr>
            <w:tcW w:w="3702" w:type="pct"/>
            <w:tcBorders>
              <w:top w:val="single" w:color="010000" w:sz="4" w:space="0"/>
              <w:left w:val="single" w:color="010000" w:sz="4" w:space="0"/>
              <w:bottom w:val="single" w:color="010000" w:sz="4" w:space="0"/>
              <w:right w:val="single" w:color="010000" w:sz="4" w:space="0"/>
            </w:tcBorders>
            <w:shd w:val="clear" w:color="auto" w:fill="auto"/>
            <w:vAlign w:val="center"/>
          </w:tcPr>
          <w:p>
            <w:pPr>
              <w:adjustRightInd w:val="0"/>
              <w:snapToGrid w:val="0"/>
              <w:jc w:val="both"/>
              <w:rPr>
                <w:rFonts w:hint="eastAsia"/>
                <w:sz w:val="21"/>
                <w:szCs w:val="21"/>
              </w:rPr>
            </w:pPr>
            <w:r>
              <w:rPr>
                <w:rFonts w:hint="eastAsia"/>
                <w:sz w:val="21"/>
                <w:szCs w:val="21"/>
              </w:rPr>
              <w:t>淄博矿业集团有限责任公司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统一社会信用代码</w:t>
            </w:r>
          </w:p>
        </w:tc>
        <w:tc>
          <w:tcPr>
            <w:tcW w:w="3702" w:type="pct"/>
            <w:tcBorders>
              <w:top w:val="single" w:color="010000" w:sz="4" w:space="0"/>
              <w:left w:val="single" w:color="010000" w:sz="4" w:space="0"/>
              <w:bottom w:val="single" w:color="010000" w:sz="4" w:space="0"/>
              <w:right w:val="single" w:color="010000" w:sz="4" w:space="0"/>
            </w:tcBorders>
            <w:shd w:val="clear" w:color="auto" w:fill="auto"/>
            <w:vAlign w:val="center"/>
          </w:tcPr>
          <w:p>
            <w:pPr>
              <w:adjustRightInd w:val="0"/>
              <w:snapToGrid w:val="0"/>
              <w:jc w:val="both"/>
              <w:rPr>
                <w:rFonts w:hint="eastAsia"/>
                <w:sz w:val="21"/>
                <w:szCs w:val="21"/>
              </w:rPr>
            </w:pPr>
            <w:r>
              <w:rPr>
                <w:sz w:val="21"/>
                <w:szCs w:val="21"/>
              </w:rPr>
              <w:t>91370000164108130A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成立时间</w:t>
            </w:r>
          </w:p>
        </w:tc>
        <w:tc>
          <w:tcPr>
            <w:tcW w:w="3702" w:type="pct"/>
            <w:vAlign w:val="center"/>
          </w:tcPr>
          <w:p>
            <w:pPr>
              <w:adjustRightInd w:val="0"/>
              <w:snapToGrid w:val="0"/>
              <w:jc w:val="both"/>
              <w:rPr>
                <w:rFonts w:hint="eastAsia"/>
                <w:sz w:val="21"/>
                <w:szCs w:val="21"/>
              </w:rPr>
            </w:pPr>
            <w:r>
              <w:rPr>
                <w:rFonts w:hint="eastAsia"/>
                <w:sz w:val="21"/>
                <w:szCs w:val="21"/>
              </w:rPr>
              <w:t>1992年1月25日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注册地</w:t>
            </w:r>
          </w:p>
        </w:tc>
        <w:tc>
          <w:tcPr>
            <w:tcW w:w="3702" w:type="pct"/>
            <w:tcBorders>
              <w:top w:val="single" w:color="010000" w:sz="4" w:space="0"/>
              <w:left w:val="single" w:color="010000" w:sz="4" w:space="0"/>
              <w:bottom w:val="single" w:color="010000" w:sz="4" w:space="0"/>
              <w:right w:val="single" w:color="010000" w:sz="4" w:space="0"/>
            </w:tcBorders>
            <w:shd w:val="clear" w:color="auto" w:fill="auto"/>
            <w:vAlign w:val="center"/>
          </w:tcPr>
          <w:p>
            <w:pPr>
              <w:adjustRightInd w:val="0"/>
              <w:snapToGrid w:val="0"/>
              <w:jc w:val="both"/>
              <w:rPr>
                <w:rFonts w:hint="eastAsia"/>
                <w:sz w:val="21"/>
                <w:szCs w:val="21"/>
              </w:rPr>
            </w:pPr>
            <w:r>
              <w:rPr>
                <w:rFonts w:hint="eastAsia"/>
                <w:sz w:val="21"/>
                <w:szCs w:val="21"/>
              </w:rPr>
              <w:t>淄博市淄川区淄矿路</w:t>
            </w:r>
            <w:r>
              <w:rPr>
                <w:sz w:val="21"/>
                <w:szCs w:val="21"/>
              </w:rPr>
              <w:t>133</w:t>
            </w:r>
            <w:r>
              <w:rPr>
                <w:rFonts w:hint="eastAsia"/>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法定代表人</w:t>
            </w:r>
          </w:p>
        </w:tc>
        <w:tc>
          <w:tcPr>
            <w:tcW w:w="3702" w:type="pct"/>
            <w:tcBorders>
              <w:top w:val="single" w:color="010000" w:sz="4" w:space="0"/>
              <w:left w:val="single" w:color="010000" w:sz="4" w:space="0"/>
              <w:bottom w:val="single" w:color="010000" w:sz="4" w:space="0"/>
              <w:right w:val="single" w:color="010000" w:sz="4" w:space="0"/>
            </w:tcBorders>
            <w:shd w:val="clear" w:color="auto" w:fill="auto"/>
            <w:vAlign w:val="center"/>
          </w:tcPr>
          <w:p>
            <w:pPr>
              <w:adjustRightInd w:val="0"/>
              <w:snapToGrid w:val="0"/>
              <w:jc w:val="both"/>
              <w:rPr>
                <w:rFonts w:hint="eastAsia"/>
                <w:sz w:val="21"/>
                <w:szCs w:val="21"/>
              </w:rPr>
            </w:pPr>
            <w:r>
              <w:rPr>
                <w:rFonts w:hint="eastAsia"/>
                <w:sz w:val="21"/>
                <w:szCs w:val="21"/>
              </w:rPr>
              <w:t>黄书翔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注册资本</w:t>
            </w:r>
          </w:p>
        </w:tc>
        <w:tc>
          <w:tcPr>
            <w:tcW w:w="3702" w:type="pct"/>
            <w:vAlign w:val="center"/>
          </w:tcPr>
          <w:p>
            <w:pPr>
              <w:adjustRightInd w:val="0"/>
              <w:snapToGrid w:val="0"/>
              <w:jc w:val="both"/>
              <w:rPr>
                <w:rFonts w:hint="eastAsia"/>
                <w:sz w:val="21"/>
                <w:szCs w:val="21"/>
              </w:rPr>
            </w:pPr>
            <w:r>
              <w:rPr>
                <w:rFonts w:hint="eastAsia"/>
                <w:sz w:val="21"/>
                <w:szCs w:val="21"/>
              </w:rPr>
              <w:t>63,197.2万元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经营范围</w:t>
            </w:r>
          </w:p>
        </w:tc>
        <w:tc>
          <w:tcPr>
            <w:tcW w:w="3702" w:type="pct"/>
            <w:vAlign w:val="center"/>
          </w:tcPr>
          <w:p>
            <w:pPr>
              <w:adjustRightInd w:val="0"/>
              <w:snapToGrid w:val="0"/>
              <w:jc w:val="both"/>
              <w:rPr>
                <w:rFonts w:hint="eastAsia"/>
                <w:sz w:val="21"/>
                <w:szCs w:val="21"/>
              </w:rPr>
            </w:pPr>
            <w:r>
              <w:rPr>
                <w:rFonts w:hint="eastAsia"/>
                <w:sz w:val="21"/>
                <w:szCs w:val="21"/>
              </w:rPr>
              <w:t>煤炭销售；以下限分支机构经营：煤炭开采,发电,汽油、柴油零售。（有效期限以许可证为准）。进出口业务，房屋租赁；煤泥、硫化铁、水泥制品、煤化工产品（不含危险化学品）、计算机设备及配件、通信器材（不含无线电发射设备）、粉煤灰砖的销售，计算机软硬件的开发、系统集成，受托开展广播电视网络维修、管理，矿山机电设备维修，自备铁路运输，煤炭洗选、加工；工程测量，供热、供水，仓储服务（不含危险化学品），搬运装卸（不含道路运输），焦炭、钢材、铝材、建材、铁矿石、铁矿粉销售；设备租赁、销售；选煤厂托管运营。（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股权结构</w:t>
            </w:r>
          </w:p>
        </w:tc>
        <w:tc>
          <w:tcPr>
            <w:tcW w:w="3702" w:type="pct"/>
            <w:vAlign w:val="center"/>
          </w:tcPr>
          <w:p>
            <w:pPr>
              <w:adjustRightInd w:val="0"/>
              <w:snapToGrid w:val="0"/>
              <w:jc w:val="both"/>
              <w:rPr>
                <w:rFonts w:hint="eastAsia"/>
                <w:sz w:val="21"/>
                <w:szCs w:val="21"/>
              </w:rPr>
            </w:pPr>
            <w:r>
              <w:rPr>
                <w:rFonts w:hint="eastAsia"/>
                <w:sz w:val="21"/>
                <w:szCs w:val="21"/>
              </w:rPr>
              <w:t>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是否为失信被执行人</w:t>
            </w:r>
          </w:p>
        </w:tc>
        <w:tc>
          <w:tcPr>
            <w:tcW w:w="3702" w:type="pct"/>
            <w:vAlign w:val="center"/>
          </w:tcPr>
          <w:p>
            <w:pPr>
              <w:adjustRightInd w:val="0"/>
              <w:snapToGrid w:val="0"/>
              <w:jc w:val="both"/>
              <w:rPr>
                <w:rFonts w:hint="eastAsia"/>
                <w:sz w:val="21"/>
                <w:szCs w:val="21"/>
              </w:rPr>
            </w:pPr>
            <w:r>
              <w:rPr>
                <w:rFonts w:hint="eastAsia"/>
                <w:sz w:val="21"/>
                <w:szCs w:val="21"/>
              </w:rPr>
              <w:t>否</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80" w:firstLineChars="200"/>
        <w:jc w:val="right"/>
        <w:rPr>
          <w:rFonts w:hint="eastAsia" w:cs="Times New Roman" w:asciiTheme="minorEastAsia" w:hAnsiTheme="minorEastAsia" w:eastAsiaTheme="minorEastAsia"/>
        </w:rPr>
      </w:pPr>
      <w:r>
        <w:rPr>
          <w:rFonts w:hint="eastAsia" w:cs="Times New Roman" w:asciiTheme="minorEastAsia" w:hAnsiTheme="minorEastAsia" w:eastAsiaTheme="minorEastAsia"/>
        </w:rPr>
        <w:t>单位：万元</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508"/>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sz w:val="21"/>
                <w:szCs w:val="21"/>
              </w:rPr>
              <w:br w:type="page"/>
            </w: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rFonts w:hint="eastAsia"/>
                <w:b/>
                <w:bCs/>
                <w:sz w:val="21"/>
                <w:szCs w:val="21"/>
              </w:rPr>
              <w:t>截至2024年12月31日</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rFonts w:hint="eastAsia"/>
                <w:b/>
                <w:bCs/>
                <w:sz w:val="21"/>
                <w:szCs w:val="21"/>
              </w:rPr>
              <w:t>截至2023年12月31日</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资产总额</w:t>
            </w:r>
          </w:p>
        </w:tc>
        <w:tc>
          <w:tcPr>
            <w:tcW w:w="2058" w:type="pct"/>
            <w:vAlign w:val="center"/>
          </w:tcPr>
          <w:p>
            <w:pPr>
              <w:jc w:val="right"/>
              <w:textAlignment w:val="center"/>
              <w:rPr>
                <w:rFonts w:hint="eastAsia"/>
                <w:sz w:val="21"/>
                <w:szCs w:val="21"/>
              </w:rPr>
            </w:pPr>
            <w:r>
              <w:rPr>
                <w:rFonts w:cs="Times New Roman"/>
                <w:color w:val="000000"/>
                <w:sz w:val="21"/>
                <w:szCs w:val="21"/>
                <w:lang w:bidi="ar"/>
              </w:rPr>
              <w:t>6,</w:t>
            </w:r>
            <w:r>
              <w:rPr>
                <w:rFonts w:hint="eastAsia" w:cs="Times New Roman"/>
                <w:color w:val="000000"/>
                <w:sz w:val="21"/>
                <w:szCs w:val="21"/>
                <w:lang w:bidi="ar"/>
              </w:rPr>
              <w:t>495</w:t>
            </w:r>
            <w:r>
              <w:rPr>
                <w:rFonts w:cs="Times New Roman"/>
                <w:color w:val="000000"/>
                <w:sz w:val="21"/>
                <w:szCs w:val="21"/>
                <w:lang w:bidi="ar"/>
              </w:rPr>
              <w:t>,</w:t>
            </w:r>
            <w:r>
              <w:rPr>
                <w:rFonts w:hint="eastAsia" w:cs="Times New Roman"/>
                <w:color w:val="000000"/>
                <w:sz w:val="21"/>
                <w:szCs w:val="21"/>
                <w:lang w:bidi="ar"/>
              </w:rPr>
              <w:t>062</w:t>
            </w:r>
            <w:r>
              <w:rPr>
                <w:rFonts w:cs="Times New Roman"/>
                <w:color w:val="000000"/>
                <w:sz w:val="21"/>
                <w:szCs w:val="21"/>
                <w:lang w:bidi="ar"/>
              </w:rPr>
              <w:t>.</w:t>
            </w:r>
            <w:r>
              <w:rPr>
                <w:rFonts w:hint="eastAsia" w:cs="Times New Roman"/>
                <w:color w:val="000000"/>
                <w:sz w:val="21"/>
                <w:szCs w:val="21"/>
                <w:lang w:bidi="ar"/>
              </w:rPr>
              <w:t>52</w:t>
            </w:r>
          </w:p>
        </w:tc>
        <w:tc>
          <w:tcPr>
            <w:tcW w:w="2057" w:type="pct"/>
            <w:vAlign w:val="center"/>
          </w:tcPr>
          <w:p>
            <w:pPr>
              <w:jc w:val="right"/>
              <w:textAlignment w:val="center"/>
              <w:rPr>
                <w:rFonts w:hint="eastAsia"/>
                <w:sz w:val="21"/>
                <w:szCs w:val="21"/>
              </w:rPr>
            </w:pPr>
            <w:r>
              <w:rPr>
                <w:rFonts w:cs="Times New Roman"/>
                <w:color w:val="000000"/>
                <w:sz w:val="21"/>
                <w:szCs w:val="21"/>
                <w:lang w:bidi="ar"/>
              </w:rPr>
              <w:t>5,778,360.10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资产净额</w:t>
            </w:r>
          </w:p>
        </w:tc>
        <w:tc>
          <w:tcPr>
            <w:tcW w:w="2058" w:type="pct"/>
            <w:vAlign w:val="center"/>
          </w:tcPr>
          <w:p>
            <w:pPr>
              <w:jc w:val="right"/>
              <w:textAlignment w:val="center"/>
              <w:rPr>
                <w:rFonts w:hint="eastAsia"/>
                <w:sz w:val="21"/>
                <w:szCs w:val="21"/>
              </w:rPr>
            </w:pPr>
            <w:r>
              <w:rPr>
                <w:rFonts w:cs="Times New Roman"/>
                <w:color w:val="000000"/>
                <w:sz w:val="21"/>
                <w:szCs w:val="21"/>
                <w:lang w:bidi="ar"/>
              </w:rPr>
              <w:t>3,</w:t>
            </w:r>
            <w:r>
              <w:rPr>
                <w:rFonts w:hint="eastAsia" w:cs="Times New Roman"/>
                <w:color w:val="000000"/>
                <w:sz w:val="21"/>
                <w:szCs w:val="21"/>
                <w:lang w:bidi="ar"/>
              </w:rPr>
              <w:t>254</w:t>
            </w:r>
            <w:r>
              <w:rPr>
                <w:rFonts w:cs="Times New Roman"/>
                <w:color w:val="000000"/>
                <w:sz w:val="21"/>
                <w:szCs w:val="21"/>
                <w:lang w:bidi="ar"/>
              </w:rPr>
              <w:t>,</w:t>
            </w:r>
            <w:r>
              <w:rPr>
                <w:rFonts w:hint="eastAsia" w:cs="Times New Roman"/>
                <w:color w:val="000000"/>
                <w:sz w:val="21"/>
                <w:szCs w:val="21"/>
                <w:lang w:bidi="ar"/>
              </w:rPr>
              <w:t>133</w:t>
            </w:r>
            <w:r>
              <w:rPr>
                <w:rFonts w:cs="Times New Roman"/>
                <w:color w:val="000000"/>
                <w:sz w:val="21"/>
                <w:szCs w:val="21"/>
                <w:lang w:bidi="ar"/>
              </w:rPr>
              <w:t>.</w:t>
            </w:r>
            <w:r>
              <w:rPr>
                <w:rFonts w:hint="eastAsia" w:cs="Times New Roman"/>
                <w:color w:val="000000"/>
                <w:sz w:val="21"/>
                <w:szCs w:val="21"/>
                <w:lang w:bidi="ar"/>
              </w:rPr>
              <w:t>15</w:t>
            </w:r>
          </w:p>
        </w:tc>
        <w:tc>
          <w:tcPr>
            <w:tcW w:w="2057" w:type="pct"/>
            <w:vAlign w:val="center"/>
          </w:tcPr>
          <w:p>
            <w:pPr>
              <w:jc w:val="right"/>
              <w:textAlignment w:val="center"/>
              <w:rPr>
                <w:rFonts w:hint="eastAsia"/>
                <w:color w:val="000000"/>
                <w:sz w:val="21"/>
                <w:szCs w:val="21"/>
              </w:rPr>
            </w:pPr>
            <w:r>
              <w:rPr>
                <w:rFonts w:cs="Times New Roman"/>
                <w:color w:val="000000"/>
                <w:sz w:val="21"/>
                <w:szCs w:val="21"/>
                <w:lang w:bidi="ar"/>
              </w:rPr>
              <w:t>2,916,516.69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b/>
                <w:bCs/>
                <w:sz w:val="21"/>
                <w:szCs w:val="21"/>
              </w:rPr>
              <w:t>2024</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b/>
                <w:bCs/>
                <w:sz w:val="21"/>
                <w:szCs w:val="21"/>
              </w:rPr>
              <w:t>2023</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营业收入</w:t>
            </w:r>
          </w:p>
        </w:tc>
        <w:tc>
          <w:tcPr>
            <w:tcW w:w="2058" w:type="pct"/>
            <w:vAlign w:val="center"/>
          </w:tcPr>
          <w:p>
            <w:pPr>
              <w:jc w:val="right"/>
              <w:textAlignment w:val="center"/>
              <w:rPr>
                <w:rFonts w:hint="eastAsia"/>
                <w:sz w:val="21"/>
                <w:szCs w:val="21"/>
              </w:rPr>
            </w:pPr>
            <w:r>
              <w:rPr>
                <w:rFonts w:hint="eastAsia" w:cs="Times New Roman"/>
                <w:color w:val="000000"/>
                <w:sz w:val="21"/>
                <w:szCs w:val="21"/>
                <w:lang w:bidi="ar"/>
              </w:rPr>
              <w:t>3,577,225.56</w:t>
            </w:r>
          </w:p>
        </w:tc>
        <w:tc>
          <w:tcPr>
            <w:tcW w:w="2057" w:type="pct"/>
            <w:vAlign w:val="center"/>
          </w:tcPr>
          <w:p>
            <w:pPr>
              <w:jc w:val="right"/>
              <w:textAlignment w:val="center"/>
              <w:rPr>
                <w:rFonts w:hint="eastAsia"/>
                <w:sz w:val="21"/>
                <w:szCs w:val="21"/>
              </w:rPr>
            </w:pPr>
            <w:r>
              <w:rPr>
                <w:rFonts w:cs="Times New Roman"/>
                <w:color w:val="000000"/>
                <w:sz w:val="21"/>
                <w:szCs w:val="21"/>
                <w:lang w:bidi="ar"/>
              </w:rPr>
              <w:t>7,430,672.63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净利润</w:t>
            </w:r>
          </w:p>
        </w:tc>
        <w:tc>
          <w:tcPr>
            <w:tcW w:w="2058" w:type="pct"/>
            <w:vAlign w:val="center"/>
          </w:tcPr>
          <w:p>
            <w:pPr>
              <w:jc w:val="right"/>
              <w:textAlignment w:val="center"/>
              <w:rPr>
                <w:rFonts w:hint="eastAsia"/>
                <w:sz w:val="21"/>
                <w:szCs w:val="21"/>
              </w:rPr>
            </w:pPr>
            <w:r>
              <w:rPr>
                <w:rFonts w:cs="Times New Roman"/>
                <w:color w:val="000000"/>
                <w:sz w:val="21"/>
                <w:szCs w:val="21"/>
                <w:lang w:bidi="ar"/>
              </w:rPr>
              <w:t>1</w:t>
            </w:r>
            <w:r>
              <w:rPr>
                <w:rFonts w:hint="eastAsia" w:cs="Times New Roman"/>
                <w:color w:val="000000"/>
                <w:sz w:val="21"/>
                <w:szCs w:val="21"/>
                <w:lang w:bidi="ar"/>
              </w:rPr>
              <w:t>40</w:t>
            </w:r>
            <w:r>
              <w:rPr>
                <w:rFonts w:cs="Times New Roman"/>
                <w:color w:val="000000"/>
                <w:sz w:val="21"/>
                <w:szCs w:val="21"/>
                <w:lang w:bidi="ar"/>
              </w:rPr>
              <w:t>,7</w:t>
            </w:r>
            <w:r>
              <w:rPr>
                <w:rFonts w:hint="eastAsia" w:cs="Times New Roman"/>
                <w:color w:val="000000"/>
                <w:sz w:val="21"/>
                <w:szCs w:val="21"/>
                <w:lang w:bidi="ar"/>
              </w:rPr>
              <w:t>38</w:t>
            </w:r>
            <w:r>
              <w:rPr>
                <w:rFonts w:cs="Times New Roman"/>
                <w:color w:val="000000"/>
                <w:sz w:val="21"/>
                <w:szCs w:val="21"/>
                <w:lang w:bidi="ar"/>
              </w:rPr>
              <w:t>.4</w:t>
            </w:r>
            <w:r>
              <w:rPr>
                <w:rFonts w:hint="eastAsia" w:cs="Times New Roman"/>
                <w:color w:val="000000"/>
                <w:sz w:val="21"/>
                <w:szCs w:val="21"/>
                <w:lang w:bidi="ar"/>
              </w:rPr>
              <w:t>0</w:t>
            </w:r>
          </w:p>
        </w:tc>
        <w:tc>
          <w:tcPr>
            <w:tcW w:w="2057" w:type="pct"/>
            <w:vAlign w:val="center"/>
          </w:tcPr>
          <w:p>
            <w:pPr>
              <w:jc w:val="right"/>
              <w:textAlignment w:val="center"/>
              <w:rPr>
                <w:rFonts w:hint="eastAsia"/>
                <w:sz w:val="21"/>
                <w:szCs w:val="21"/>
              </w:rPr>
            </w:pPr>
            <w:r>
              <w:rPr>
                <w:rFonts w:cs="Times New Roman"/>
                <w:color w:val="000000"/>
                <w:sz w:val="21"/>
                <w:szCs w:val="21"/>
                <w:lang w:bidi="ar"/>
              </w:rPr>
              <w:t>153,656.15</w:t>
            </w:r>
          </w:p>
        </w:tc>
      </w:tr>
    </w:tbl>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3</w:t>
      </w:r>
      <w:r>
        <w:rPr>
          <w:rFonts w:hint="eastAsia" w:cs="Times New Roman" w:asciiTheme="minorEastAsia" w:hAnsiTheme="minorEastAsia" w:eastAsiaTheme="minorEastAsia"/>
          <w:b/>
          <w:bCs/>
        </w:rPr>
        <w:t>.</w:t>
      </w:r>
      <w:r>
        <w:rPr>
          <w:rFonts w:cs="Times New Roman" w:asciiTheme="minorEastAsia" w:hAnsiTheme="minorEastAsia" w:eastAsiaTheme="minorEastAsia"/>
          <w:b/>
          <w:bCs/>
        </w:rPr>
        <w:t>龙矿集团</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名称</w:t>
            </w:r>
          </w:p>
        </w:tc>
        <w:tc>
          <w:tcPr>
            <w:tcW w:w="3702" w:type="pct"/>
            <w:shd w:val="clear" w:color="auto" w:fill="auto"/>
            <w:vAlign w:val="center"/>
          </w:tcPr>
          <w:p>
            <w:pPr>
              <w:adjustRightInd w:val="0"/>
              <w:snapToGrid w:val="0"/>
              <w:jc w:val="both"/>
              <w:rPr>
                <w:rFonts w:hint="eastAsia"/>
                <w:sz w:val="21"/>
                <w:szCs w:val="21"/>
              </w:rPr>
            </w:pPr>
            <w:r>
              <w:rPr>
                <w:bCs/>
                <w:sz w:val="21"/>
                <w:szCs w:val="21"/>
              </w:rPr>
              <w:t>龙口矿业集团有限公司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统一社会信用代码</w:t>
            </w:r>
          </w:p>
        </w:tc>
        <w:tc>
          <w:tcPr>
            <w:tcW w:w="3702" w:type="pct"/>
            <w:shd w:val="clear" w:color="auto" w:fill="auto"/>
            <w:vAlign w:val="center"/>
          </w:tcPr>
          <w:p>
            <w:pPr>
              <w:adjustRightInd w:val="0"/>
              <w:snapToGrid w:val="0"/>
              <w:jc w:val="both"/>
              <w:rPr>
                <w:rFonts w:hint="eastAsia"/>
                <w:sz w:val="21"/>
                <w:szCs w:val="21"/>
              </w:rPr>
            </w:pPr>
            <w:r>
              <w:rPr>
                <w:sz w:val="21"/>
                <w:szCs w:val="21"/>
              </w:rPr>
              <w:t>9137000016942321XR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成立时间</w:t>
            </w:r>
          </w:p>
        </w:tc>
        <w:tc>
          <w:tcPr>
            <w:tcW w:w="3702" w:type="pct"/>
            <w:vAlign w:val="center"/>
          </w:tcPr>
          <w:p>
            <w:pPr>
              <w:adjustRightInd w:val="0"/>
              <w:snapToGrid w:val="0"/>
              <w:jc w:val="both"/>
              <w:rPr>
                <w:rFonts w:hint="eastAsia"/>
                <w:sz w:val="21"/>
                <w:szCs w:val="21"/>
              </w:rPr>
            </w:pPr>
            <w:r>
              <w:rPr>
                <w:sz w:val="21"/>
                <w:szCs w:val="21"/>
              </w:rPr>
              <w:t>1989年9月13日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注册地</w:t>
            </w:r>
          </w:p>
        </w:tc>
        <w:tc>
          <w:tcPr>
            <w:tcW w:w="3702" w:type="pct"/>
            <w:vAlign w:val="center"/>
          </w:tcPr>
          <w:p>
            <w:pPr>
              <w:adjustRightInd w:val="0"/>
              <w:snapToGrid w:val="0"/>
              <w:jc w:val="both"/>
              <w:rPr>
                <w:rFonts w:hint="eastAsia"/>
                <w:sz w:val="21"/>
                <w:szCs w:val="21"/>
              </w:rPr>
            </w:pPr>
            <w:r>
              <w:rPr>
                <w:sz w:val="21"/>
                <w:szCs w:val="21"/>
              </w:rPr>
              <w:t>山东省龙口市振兴南路369号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法定代表人</w:t>
            </w:r>
          </w:p>
        </w:tc>
        <w:tc>
          <w:tcPr>
            <w:tcW w:w="3702" w:type="pct"/>
            <w:vAlign w:val="center"/>
          </w:tcPr>
          <w:p>
            <w:pPr>
              <w:adjustRightInd w:val="0"/>
              <w:snapToGrid w:val="0"/>
              <w:jc w:val="both"/>
              <w:rPr>
                <w:rFonts w:hint="eastAsia"/>
                <w:sz w:val="21"/>
                <w:szCs w:val="21"/>
              </w:rPr>
            </w:pPr>
            <w:r>
              <w:rPr>
                <w:rFonts w:hint="eastAsia"/>
                <w:sz w:val="21"/>
                <w:szCs w:val="21"/>
              </w:rPr>
              <w:t>郑学军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注册资本</w:t>
            </w:r>
          </w:p>
        </w:tc>
        <w:tc>
          <w:tcPr>
            <w:tcW w:w="3702" w:type="pct"/>
            <w:vAlign w:val="center"/>
          </w:tcPr>
          <w:p>
            <w:pPr>
              <w:adjustRightInd w:val="0"/>
              <w:snapToGrid w:val="0"/>
              <w:jc w:val="both"/>
              <w:rPr>
                <w:rFonts w:hint="eastAsia"/>
                <w:sz w:val="21"/>
                <w:szCs w:val="21"/>
              </w:rPr>
            </w:pPr>
            <w:r>
              <w:rPr>
                <w:sz w:val="21"/>
                <w:szCs w:val="21"/>
              </w:rPr>
              <w:t>270,378.1万元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经营范围</w:t>
            </w:r>
          </w:p>
        </w:tc>
        <w:tc>
          <w:tcPr>
            <w:tcW w:w="3702" w:type="pct"/>
            <w:vAlign w:val="center"/>
          </w:tcPr>
          <w:p>
            <w:pPr>
              <w:adjustRightInd w:val="0"/>
              <w:snapToGrid w:val="0"/>
              <w:jc w:val="both"/>
              <w:rPr>
                <w:rFonts w:hint="eastAsia"/>
                <w:sz w:val="21"/>
                <w:szCs w:val="21"/>
              </w:rPr>
            </w:pPr>
            <w:r>
              <w:rPr>
                <w:sz w:val="21"/>
                <w:szCs w:val="21"/>
              </w:rPr>
              <w:t>煤炭开采、销售（限分支机构经营）（有效期限以许可证为准）。在法律法规规定的范围内对外投资及管理（未经金融监管部门批准，不得从事吸收存款、发放贷款、融资担保、代客理财等金融业务）；企业管理咨询服务；碳纤维复合材料制品、汽车配件、建筑材料、不锈钢管件、船用配件、集装箱配件的销售；铸铁件、砂型铸件、机械设备、仪器仪表及配件的销售；机械设备租赁、房屋租赁；会议服务；备案范围进出口业务（凭备案证经营）；工程测量：控制测量、地形测量、矿山测量、建筑工程测量、固体矿产勘查；建筑施工工程、矿山工程、机电设备安装工程、修缮服务；电力工程施工、安装；电力设施设备安装、维修、试验；电力技术服务、运行及维护（依法须经批准的项目，经相关部门批准后方可开展经营活动）</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股权结构</w:t>
            </w:r>
          </w:p>
        </w:tc>
        <w:tc>
          <w:tcPr>
            <w:tcW w:w="3702" w:type="pct"/>
            <w:vAlign w:val="center"/>
          </w:tcPr>
          <w:p>
            <w:pPr>
              <w:adjustRightInd w:val="0"/>
              <w:snapToGrid w:val="0"/>
              <w:jc w:val="both"/>
              <w:rPr>
                <w:rFonts w:hint="eastAsia"/>
                <w:sz w:val="21"/>
                <w:szCs w:val="21"/>
              </w:rPr>
            </w:pPr>
            <w:r>
              <w:rPr>
                <w:rFonts w:hint="eastAsia"/>
                <w:sz w:val="21"/>
                <w:szCs w:val="21"/>
              </w:rPr>
              <w:t>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是否为失信被执行人</w:t>
            </w:r>
          </w:p>
        </w:tc>
        <w:tc>
          <w:tcPr>
            <w:tcW w:w="3702" w:type="pct"/>
            <w:vAlign w:val="center"/>
          </w:tcPr>
          <w:p>
            <w:pPr>
              <w:adjustRightInd w:val="0"/>
              <w:snapToGrid w:val="0"/>
              <w:jc w:val="both"/>
              <w:rPr>
                <w:rFonts w:hint="eastAsia"/>
                <w:sz w:val="21"/>
                <w:szCs w:val="21"/>
              </w:rPr>
            </w:pPr>
            <w:r>
              <w:rPr>
                <w:rFonts w:hint="eastAsia"/>
                <w:sz w:val="21"/>
                <w:szCs w:val="21"/>
              </w:rPr>
              <w:t>否</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80" w:firstLineChars="200"/>
        <w:jc w:val="right"/>
        <w:rPr>
          <w:rFonts w:hint="eastAsia" w:cs="Times New Roman" w:asciiTheme="minorEastAsia" w:hAnsiTheme="minorEastAsia" w:eastAsiaTheme="minorEastAsia"/>
        </w:rPr>
      </w:pPr>
      <w:r>
        <w:rPr>
          <w:rFonts w:hint="eastAsia" w:cs="Times New Roman" w:asciiTheme="minorEastAsia" w:hAnsiTheme="minorEastAsia" w:eastAsiaTheme="minorEastAsia"/>
        </w:rPr>
        <w:t>单位：万元</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508"/>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sz w:val="21"/>
                <w:szCs w:val="21"/>
              </w:rPr>
              <w:br w:type="page"/>
            </w: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rFonts w:hint="eastAsia"/>
                <w:b/>
                <w:bCs/>
                <w:sz w:val="21"/>
                <w:szCs w:val="21"/>
              </w:rPr>
              <w:t>截至2024年12月31日</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rFonts w:hint="eastAsia"/>
                <w:b/>
                <w:bCs/>
                <w:sz w:val="21"/>
                <w:szCs w:val="21"/>
              </w:rPr>
              <w:t>截至2023年12月31日</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资产总额</w:t>
            </w:r>
          </w:p>
        </w:tc>
        <w:tc>
          <w:tcPr>
            <w:tcW w:w="2058" w:type="pct"/>
            <w:vAlign w:val="center"/>
          </w:tcPr>
          <w:p>
            <w:pPr>
              <w:jc w:val="right"/>
              <w:textAlignment w:val="center"/>
              <w:rPr>
                <w:rFonts w:hint="eastAsia"/>
                <w:color w:val="000000"/>
                <w:sz w:val="21"/>
                <w:szCs w:val="21"/>
                <w:lang w:bidi="ar"/>
              </w:rPr>
            </w:pPr>
            <w:r>
              <w:rPr>
                <w:color w:val="000000"/>
                <w:sz w:val="21"/>
                <w:szCs w:val="21"/>
                <w:lang w:bidi="ar"/>
              </w:rPr>
              <w:t xml:space="preserve">849,873.65 </w:t>
            </w:r>
          </w:p>
        </w:tc>
        <w:tc>
          <w:tcPr>
            <w:tcW w:w="2057" w:type="pct"/>
            <w:vAlign w:val="center"/>
          </w:tcPr>
          <w:p>
            <w:pPr>
              <w:jc w:val="right"/>
              <w:textAlignment w:val="center"/>
              <w:rPr>
                <w:rFonts w:hint="eastAsia"/>
                <w:color w:val="000000"/>
                <w:sz w:val="21"/>
                <w:szCs w:val="21"/>
                <w:lang w:bidi="ar"/>
              </w:rPr>
            </w:pPr>
            <w:r>
              <w:rPr>
                <w:color w:val="000000"/>
                <w:sz w:val="21"/>
                <w:szCs w:val="21"/>
                <w:lang w:bidi="ar"/>
              </w:rPr>
              <w:t xml:space="preserve">1,181,463.04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资产净额</w:t>
            </w:r>
          </w:p>
        </w:tc>
        <w:tc>
          <w:tcPr>
            <w:tcW w:w="2058" w:type="pct"/>
            <w:vAlign w:val="center"/>
          </w:tcPr>
          <w:p>
            <w:pPr>
              <w:jc w:val="right"/>
              <w:textAlignment w:val="center"/>
              <w:rPr>
                <w:rFonts w:hint="eastAsia"/>
                <w:color w:val="000000"/>
                <w:sz w:val="21"/>
                <w:szCs w:val="21"/>
                <w:lang w:bidi="ar"/>
              </w:rPr>
            </w:pPr>
            <w:r>
              <w:rPr>
                <w:color w:val="000000"/>
                <w:sz w:val="21"/>
                <w:szCs w:val="21"/>
                <w:lang w:bidi="ar"/>
              </w:rPr>
              <w:t xml:space="preserve">251,758.75 </w:t>
            </w:r>
          </w:p>
        </w:tc>
        <w:tc>
          <w:tcPr>
            <w:tcW w:w="2057" w:type="pct"/>
            <w:vAlign w:val="center"/>
          </w:tcPr>
          <w:p>
            <w:pPr>
              <w:jc w:val="right"/>
              <w:textAlignment w:val="center"/>
              <w:rPr>
                <w:rFonts w:hint="eastAsia"/>
                <w:color w:val="000000"/>
                <w:sz w:val="21"/>
                <w:szCs w:val="21"/>
                <w:lang w:bidi="ar"/>
              </w:rPr>
            </w:pPr>
            <w:r>
              <w:rPr>
                <w:color w:val="000000"/>
                <w:sz w:val="21"/>
                <w:szCs w:val="21"/>
                <w:lang w:bidi="ar"/>
              </w:rPr>
              <w:t xml:space="preserve">312,737.14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b/>
                <w:bCs/>
                <w:sz w:val="21"/>
                <w:szCs w:val="21"/>
              </w:rPr>
              <w:t>2024</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b/>
                <w:bCs/>
                <w:sz w:val="21"/>
                <w:szCs w:val="21"/>
              </w:rPr>
              <w:t>2023</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营业收入</w:t>
            </w:r>
          </w:p>
        </w:tc>
        <w:tc>
          <w:tcPr>
            <w:tcW w:w="2058" w:type="pct"/>
            <w:vAlign w:val="center"/>
          </w:tcPr>
          <w:p>
            <w:pPr>
              <w:jc w:val="right"/>
              <w:textAlignment w:val="center"/>
              <w:rPr>
                <w:rFonts w:hint="eastAsia"/>
                <w:sz w:val="21"/>
                <w:szCs w:val="21"/>
              </w:rPr>
            </w:pPr>
            <w:r>
              <w:rPr>
                <w:rFonts w:hint="eastAsia"/>
                <w:color w:val="000000"/>
                <w:sz w:val="21"/>
                <w:szCs w:val="21"/>
              </w:rPr>
              <w:t xml:space="preserve">109,752.27 </w:t>
            </w:r>
          </w:p>
        </w:tc>
        <w:tc>
          <w:tcPr>
            <w:tcW w:w="2057" w:type="pct"/>
            <w:vAlign w:val="center"/>
          </w:tcPr>
          <w:p>
            <w:pPr>
              <w:jc w:val="right"/>
              <w:textAlignment w:val="center"/>
              <w:rPr>
                <w:rFonts w:hint="eastAsia"/>
                <w:sz w:val="21"/>
                <w:szCs w:val="21"/>
              </w:rPr>
            </w:pPr>
            <w:r>
              <w:rPr>
                <w:rFonts w:hint="eastAsia"/>
                <w:color w:val="000000"/>
                <w:sz w:val="21"/>
                <w:szCs w:val="21"/>
              </w:rPr>
              <w:t xml:space="preserve">144,598.25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净利润</w:t>
            </w:r>
          </w:p>
        </w:tc>
        <w:tc>
          <w:tcPr>
            <w:tcW w:w="2058" w:type="pct"/>
            <w:vAlign w:val="center"/>
          </w:tcPr>
          <w:p>
            <w:pPr>
              <w:jc w:val="right"/>
              <w:textAlignment w:val="center"/>
              <w:rPr>
                <w:rFonts w:hint="eastAsia"/>
                <w:sz w:val="21"/>
                <w:szCs w:val="21"/>
              </w:rPr>
            </w:pPr>
            <w:r>
              <w:rPr>
                <w:rFonts w:hint="eastAsia"/>
                <w:color w:val="000000"/>
                <w:sz w:val="21"/>
                <w:szCs w:val="21"/>
              </w:rPr>
              <w:t xml:space="preserve">-51,102.77 </w:t>
            </w:r>
          </w:p>
        </w:tc>
        <w:tc>
          <w:tcPr>
            <w:tcW w:w="2057" w:type="pct"/>
            <w:vAlign w:val="center"/>
          </w:tcPr>
          <w:p>
            <w:pPr>
              <w:jc w:val="right"/>
              <w:textAlignment w:val="center"/>
              <w:rPr>
                <w:rFonts w:hint="eastAsia"/>
                <w:sz w:val="21"/>
                <w:szCs w:val="21"/>
              </w:rPr>
            </w:pPr>
            <w:r>
              <w:rPr>
                <w:rFonts w:hint="eastAsia"/>
                <w:color w:val="000000"/>
                <w:sz w:val="21"/>
                <w:szCs w:val="21"/>
              </w:rPr>
              <w:t xml:space="preserve">-79,880.69 </w:t>
            </w:r>
          </w:p>
        </w:tc>
      </w:tr>
    </w:tbl>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4</w:t>
      </w:r>
      <w:r>
        <w:rPr>
          <w:rFonts w:hint="eastAsia" w:cs="Times New Roman" w:asciiTheme="minorEastAsia" w:hAnsiTheme="minorEastAsia" w:eastAsiaTheme="minorEastAsia"/>
          <w:b/>
          <w:bCs/>
        </w:rPr>
        <w:t>.新</w:t>
      </w:r>
      <w:r>
        <w:rPr>
          <w:rFonts w:cs="Times New Roman" w:asciiTheme="minorEastAsia" w:hAnsiTheme="minorEastAsia" w:eastAsiaTheme="minorEastAsia"/>
          <w:b/>
          <w:bCs/>
        </w:rPr>
        <w:t>矿集团</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名称</w:t>
            </w:r>
          </w:p>
        </w:tc>
        <w:tc>
          <w:tcPr>
            <w:tcW w:w="3702" w:type="pct"/>
            <w:shd w:val="clear" w:color="auto" w:fill="auto"/>
            <w:vAlign w:val="center"/>
          </w:tcPr>
          <w:p>
            <w:pPr>
              <w:adjustRightInd w:val="0"/>
              <w:snapToGrid w:val="0"/>
              <w:jc w:val="both"/>
              <w:rPr>
                <w:rFonts w:hint="eastAsia"/>
                <w:sz w:val="21"/>
                <w:szCs w:val="21"/>
              </w:rPr>
            </w:pPr>
            <w:r>
              <w:rPr>
                <w:sz w:val="21"/>
                <w:szCs w:val="21"/>
              </w:rPr>
              <w:t>新汶矿业集团有限责任公司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统一社会信用代码</w:t>
            </w:r>
          </w:p>
        </w:tc>
        <w:tc>
          <w:tcPr>
            <w:tcW w:w="3702" w:type="pct"/>
            <w:shd w:val="clear" w:color="auto" w:fill="auto"/>
            <w:vAlign w:val="center"/>
          </w:tcPr>
          <w:p>
            <w:pPr>
              <w:adjustRightInd w:val="0"/>
              <w:snapToGrid w:val="0"/>
              <w:jc w:val="both"/>
              <w:rPr>
                <w:rFonts w:hint="eastAsia"/>
                <w:sz w:val="21"/>
                <w:szCs w:val="21"/>
              </w:rPr>
            </w:pPr>
            <w:r>
              <w:rPr>
                <w:sz w:val="21"/>
                <w:szCs w:val="21"/>
              </w:rPr>
              <w:t>91370000169595636J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成立时间</w:t>
            </w:r>
          </w:p>
        </w:tc>
        <w:tc>
          <w:tcPr>
            <w:tcW w:w="3702" w:type="pct"/>
            <w:vAlign w:val="center"/>
          </w:tcPr>
          <w:p>
            <w:pPr>
              <w:adjustRightInd w:val="0"/>
              <w:snapToGrid w:val="0"/>
              <w:jc w:val="both"/>
              <w:rPr>
                <w:rFonts w:hint="eastAsia"/>
                <w:sz w:val="21"/>
                <w:szCs w:val="21"/>
              </w:rPr>
            </w:pPr>
            <w:r>
              <w:rPr>
                <w:sz w:val="21"/>
                <w:szCs w:val="21"/>
              </w:rPr>
              <w:t>1998年3月12日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注册地</w:t>
            </w:r>
          </w:p>
        </w:tc>
        <w:tc>
          <w:tcPr>
            <w:tcW w:w="3702" w:type="pct"/>
            <w:vAlign w:val="center"/>
          </w:tcPr>
          <w:p>
            <w:pPr>
              <w:adjustRightInd w:val="0"/>
              <w:snapToGrid w:val="0"/>
              <w:jc w:val="both"/>
              <w:rPr>
                <w:rFonts w:hint="eastAsia"/>
                <w:sz w:val="21"/>
                <w:szCs w:val="21"/>
              </w:rPr>
            </w:pPr>
            <w:r>
              <w:rPr>
                <w:sz w:val="21"/>
                <w:szCs w:val="21"/>
              </w:rPr>
              <w:t>山东省泰安市新泰市新汶办事处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法定代表人</w:t>
            </w:r>
          </w:p>
        </w:tc>
        <w:tc>
          <w:tcPr>
            <w:tcW w:w="3702" w:type="pct"/>
            <w:vAlign w:val="center"/>
          </w:tcPr>
          <w:p>
            <w:pPr>
              <w:adjustRightInd w:val="0"/>
              <w:snapToGrid w:val="0"/>
              <w:jc w:val="both"/>
              <w:rPr>
                <w:rFonts w:hint="eastAsia"/>
                <w:sz w:val="21"/>
                <w:szCs w:val="21"/>
              </w:rPr>
            </w:pPr>
            <w:r>
              <w:rPr>
                <w:sz w:val="21"/>
                <w:szCs w:val="21"/>
              </w:rPr>
              <w:t>王乃国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注册资本</w:t>
            </w:r>
          </w:p>
        </w:tc>
        <w:tc>
          <w:tcPr>
            <w:tcW w:w="3702" w:type="pct"/>
            <w:vAlign w:val="center"/>
          </w:tcPr>
          <w:p>
            <w:pPr>
              <w:adjustRightInd w:val="0"/>
              <w:snapToGrid w:val="0"/>
              <w:jc w:val="both"/>
              <w:rPr>
                <w:rFonts w:hint="eastAsia"/>
                <w:sz w:val="21"/>
                <w:szCs w:val="21"/>
              </w:rPr>
            </w:pPr>
            <w:r>
              <w:rPr>
                <w:sz w:val="21"/>
                <w:szCs w:val="21"/>
              </w:rPr>
              <w:t>357,936.01万元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经营范围</w:t>
            </w:r>
          </w:p>
        </w:tc>
        <w:tc>
          <w:tcPr>
            <w:tcW w:w="3702" w:type="pct"/>
            <w:vAlign w:val="center"/>
          </w:tcPr>
          <w:p>
            <w:pPr>
              <w:adjustRightInd w:val="0"/>
              <w:snapToGrid w:val="0"/>
              <w:jc w:val="both"/>
              <w:rPr>
                <w:rFonts w:hint="eastAsia"/>
                <w:sz w:val="21"/>
                <w:szCs w:val="21"/>
              </w:rPr>
            </w:pPr>
            <w:r>
              <w:rPr>
                <w:sz w:val="21"/>
                <w:szCs w:val="21"/>
              </w:rPr>
              <w:t>煤炭开采、洗选；电厂受托管理运营服务；道路运输；燃气生产、经营；化工产品（不含化学危险品）销售；石膏开采及石膏制品、许可范围内烧碱、液氯、盐酸、次氯酸纳、聚氯乙烯、三氯氢硅、四氯化硅、液体消毒剂的生产、销售；饮食服务；社区服务；计量授权证书范围内部强制检定；（以上经营仅限分支机构）。因特网接入服务业务；对外提供经济技术合作业务；矿山工程施工；地质钻探；钻井服务；地质灾害治理工程；地质钻探技术咨询；地质钻探技术开发；矿山设备（不含特种设备）制造、销售、安装、撤除、维修及技术咨询服务；液压支架安装、维修、租赁、撤除；采矿设备制造、煤炭、建筑材料的销售；电力设备、配件的销售；电力设备维修维护（特种设备除外）;电力、热力技术咨询服务；设备租赁；农牧养殖；塑料制品、橡胶制品、纺织品、服装、工艺品（不含金饰品）、计量器具、仪器仪表及配件的生产、销售；对所属企业的管理；煤炭开采技术咨询、服务；批准范围内的进出口业务；房屋租赁；教育咨询；企业管理及商务信息咨询；煤矿安全培训；文化艺术及职业技能培训；环境监测；计量检测；环保技术咨询、服务及培训；文化艺术交流策划；企业形象及市场营销策划；舞美设计；广告业务；会议及展览服务；婚庆礼仪服务；摄影服务；市场调研；网站建设与维护；动漫制作；电子产品、办公用品、文化用品、工艺品（象牙及其制品除外）的销售。（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股权结构</w:t>
            </w:r>
          </w:p>
        </w:tc>
        <w:tc>
          <w:tcPr>
            <w:tcW w:w="3702" w:type="pct"/>
            <w:vAlign w:val="center"/>
          </w:tcPr>
          <w:p>
            <w:pPr>
              <w:adjustRightInd w:val="0"/>
              <w:snapToGrid w:val="0"/>
              <w:jc w:val="both"/>
              <w:rPr>
                <w:rFonts w:hint="eastAsia"/>
                <w:sz w:val="21"/>
                <w:szCs w:val="21"/>
              </w:rPr>
            </w:pPr>
            <w:r>
              <w:rPr>
                <w:rFonts w:hint="eastAsia"/>
                <w:sz w:val="21"/>
                <w:szCs w:val="21"/>
              </w:rPr>
              <w:t>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是否为失信被执行人</w:t>
            </w:r>
          </w:p>
        </w:tc>
        <w:tc>
          <w:tcPr>
            <w:tcW w:w="3702" w:type="pct"/>
            <w:vAlign w:val="center"/>
          </w:tcPr>
          <w:p>
            <w:pPr>
              <w:adjustRightInd w:val="0"/>
              <w:snapToGrid w:val="0"/>
              <w:jc w:val="both"/>
              <w:rPr>
                <w:rFonts w:hint="eastAsia"/>
                <w:sz w:val="21"/>
                <w:szCs w:val="21"/>
              </w:rPr>
            </w:pPr>
            <w:r>
              <w:rPr>
                <w:rFonts w:hint="eastAsia"/>
                <w:sz w:val="21"/>
                <w:szCs w:val="21"/>
              </w:rPr>
              <w:t>否</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80" w:firstLineChars="200"/>
        <w:jc w:val="right"/>
        <w:rPr>
          <w:rFonts w:hint="eastAsia" w:cs="Times New Roman" w:asciiTheme="minorEastAsia" w:hAnsiTheme="minorEastAsia" w:eastAsiaTheme="minorEastAsia"/>
        </w:rPr>
      </w:pPr>
      <w:r>
        <w:rPr>
          <w:rFonts w:hint="eastAsia" w:cs="Times New Roman" w:asciiTheme="minorEastAsia" w:hAnsiTheme="minorEastAsia" w:eastAsiaTheme="minorEastAsia"/>
        </w:rPr>
        <w:t>单位：万元</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508"/>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sz w:val="21"/>
                <w:szCs w:val="21"/>
              </w:rPr>
              <w:br w:type="page"/>
            </w: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rFonts w:hint="eastAsia"/>
                <w:b/>
                <w:bCs/>
                <w:sz w:val="21"/>
                <w:szCs w:val="21"/>
              </w:rPr>
              <w:t>截至2024年12月31日</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rFonts w:hint="eastAsia"/>
                <w:b/>
                <w:bCs/>
                <w:sz w:val="21"/>
                <w:szCs w:val="21"/>
              </w:rPr>
              <w:t>截至2023年12月31日</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资产总额</w:t>
            </w:r>
          </w:p>
        </w:tc>
        <w:tc>
          <w:tcPr>
            <w:tcW w:w="2058" w:type="pct"/>
            <w:vAlign w:val="center"/>
          </w:tcPr>
          <w:p>
            <w:pPr>
              <w:jc w:val="right"/>
              <w:textAlignment w:val="center"/>
              <w:rPr>
                <w:rFonts w:hint="eastAsia"/>
                <w:sz w:val="21"/>
                <w:szCs w:val="21"/>
              </w:rPr>
            </w:pPr>
            <w:r>
              <w:rPr>
                <w:rFonts w:hint="eastAsia"/>
                <w:color w:val="000000"/>
                <w:sz w:val="21"/>
                <w:szCs w:val="21"/>
              </w:rPr>
              <w:t xml:space="preserve">9,224,804.93 </w:t>
            </w:r>
          </w:p>
        </w:tc>
        <w:tc>
          <w:tcPr>
            <w:tcW w:w="2057" w:type="pct"/>
            <w:vAlign w:val="center"/>
          </w:tcPr>
          <w:p>
            <w:pPr>
              <w:jc w:val="right"/>
              <w:textAlignment w:val="center"/>
              <w:rPr>
                <w:rFonts w:hint="eastAsia"/>
                <w:sz w:val="21"/>
                <w:szCs w:val="21"/>
              </w:rPr>
            </w:pPr>
            <w:r>
              <w:rPr>
                <w:rFonts w:hint="eastAsia"/>
                <w:color w:val="000000"/>
                <w:sz w:val="21"/>
                <w:szCs w:val="21"/>
              </w:rPr>
              <w:t xml:space="preserve">9,238,407.45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资产净额</w:t>
            </w:r>
          </w:p>
        </w:tc>
        <w:tc>
          <w:tcPr>
            <w:tcW w:w="2058" w:type="pct"/>
            <w:vAlign w:val="center"/>
          </w:tcPr>
          <w:p>
            <w:pPr>
              <w:jc w:val="right"/>
              <w:textAlignment w:val="center"/>
              <w:rPr>
                <w:rFonts w:hint="eastAsia"/>
                <w:sz w:val="21"/>
                <w:szCs w:val="21"/>
              </w:rPr>
            </w:pPr>
            <w:r>
              <w:rPr>
                <w:rFonts w:hint="eastAsia"/>
                <w:color w:val="000000"/>
                <w:sz w:val="21"/>
                <w:szCs w:val="21"/>
              </w:rPr>
              <w:t xml:space="preserve">2,951,473.68 </w:t>
            </w:r>
          </w:p>
        </w:tc>
        <w:tc>
          <w:tcPr>
            <w:tcW w:w="2057" w:type="pct"/>
            <w:vAlign w:val="center"/>
          </w:tcPr>
          <w:p>
            <w:pPr>
              <w:jc w:val="right"/>
              <w:textAlignment w:val="center"/>
              <w:rPr>
                <w:rFonts w:hint="eastAsia"/>
                <w:color w:val="000000"/>
                <w:sz w:val="21"/>
                <w:szCs w:val="21"/>
              </w:rPr>
            </w:pPr>
            <w:r>
              <w:rPr>
                <w:rFonts w:hint="eastAsia"/>
                <w:color w:val="000000"/>
                <w:sz w:val="21"/>
                <w:szCs w:val="21"/>
              </w:rPr>
              <w:t xml:space="preserve">3,201,791.15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b/>
                <w:bCs/>
                <w:sz w:val="21"/>
                <w:szCs w:val="21"/>
              </w:rPr>
              <w:t>2024</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b/>
                <w:bCs/>
                <w:sz w:val="21"/>
                <w:szCs w:val="21"/>
              </w:rPr>
              <w:t>2023</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营业收入</w:t>
            </w:r>
          </w:p>
        </w:tc>
        <w:tc>
          <w:tcPr>
            <w:tcW w:w="2058" w:type="pct"/>
            <w:vAlign w:val="center"/>
          </w:tcPr>
          <w:p>
            <w:pPr>
              <w:jc w:val="right"/>
              <w:textAlignment w:val="center"/>
              <w:rPr>
                <w:rFonts w:hint="eastAsia"/>
                <w:sz w:val="21"/>
                <w:szCs w:val="21"/>
              </w:rPr>
            </w:pPr>
            <w:r>
              <w:rPr>
                <w:rFonts w:hint="eastAsia"/>
                <w:color w:val="000000"/>
                <w:sz w:val="21"/>
                <w:szCs w:val="21"/>
              </w:rPr>
              <w:t xml:space="preserve">12,483,911.10 </w:t>
            </w:r>
          </w:p>
        </w:tc>
        <w:tc>
          <w:tcPr>
            <w:tcW w:w="2057" w:type="pct"/>
            <w:vAlign w:val="center"/>
          </w:tcPr>
          <w:p>
            <w:pPr>
              <w:jc w:val="right"/>
              <w:textAlignment w:val="center"/>
              <w:rPr>
                <w:rFonts w:hint="eastAsia"/>
                <w:sz w:val="21"/>
                <w:szCs w:val="21"/>
              </w:rPr>
            </w:pPr>
            <w:r>
              <w:rPr>
                <w:rFonts w:hint="eastAsia"/>
                <w:color w:val="000000"/>
                <w:sz w:val="21"/>
                <w:szCs w:val="21"/>
              </w:rPr>
              <w:t xml:space="preserve">12,174,637.50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净利润</w:t>
            </w:r>
          </w:p>
        </w:tc>
        <w:tc>
          <w:tcPr>
            <w:tcW w:w="2058" w:type="pct"/>
            <w:vAlign w:val="center"/>
          </w:tcPr>
          <w:p>
            <w:pPr>
              <w:jc w:val="right"/>
              <w:textAlignment w:val="center"/>
              <w:rPr>
                <w:rFonts w:hint="eastAsia"/>
                <w:sz w:val="21"/>
                <w:szCs w:val="21"/>
              </w:rPr>
            </w:pPr>
            <w:r>
              <w:rPr>
                <w:rFonts w:hint="eastAsia"/>
                <w:color w:val="000000"/>
                <w:sz w:val="21"/>
                <w:szCs w:val="21"/>
              </w:rPr>
              <w:t xml:space="preserve">186,235.99 </w:t>
            </w:r>
          </w:p>
        </w:tc>
        <w:tc>
          <w:tcPr>
            <w:tcW w:w="2057" w:type="pct"/>
            <w:vAlign w:val="center"/>
          </w:tcPr>
          <w:p>
            <w:pPr>
              <w:jc w:val="right"/>
              <w:textAlignment w:val="center"/>
              <w:rPr>
                <w:rFonts w:hint="eastAsia"/>
                <w:sz w:val="21"/>
                <w:szCs w:val="21"/>
              </w:rPr>
            </w:pPr>
            <w:r>
              <w:rPr>
                <w:rFonts w:hint="eastAsia"/>
                <w:color w:val="000000"/>
                <w:sz w:val="21"/>
                <w:szCs w:val="21"/>
              </w:rPr>
              <w:t xml:space="preserve">727,121.84 </w:t>
            </w:r>
          </w:p>
        </w:tc>
      </w:tr>
    </w:tbl>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5</w:t>
      </w:r>
      <w:r>
        <w:rPr>
          <w:rFonts w:hint="eastAsia" w:cs="Times New Roman" w:asciiTheme="minorEastAsia" w:hAnsiTheme="minorEastAsia" w:eastAsiaTheme="minorEastAsia"/>
          <w:b/>
          <w:bCs/>
        </w:rPr>
        <w:t>.</w:t>
      </w:r>
      <w:r>
        <w:rPr>
          <w:rFonts w:cs="Times New Roman" w:asciiTheme="minorEastAsia" w:hAnsiTheme="minorEastAsia" w:eastAsiaTheme="minorEastAsia"/>
          <w:b/>
          <w:bCs/>
        </w:rPr>
        <w:t>肥城煤业</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名称</w:t>
            </w:r>
          </w:p>
        </w:tc>
        <w:tc>
          <w:tcPr>
            <w:tcW w:w="3702" w:type="pct"/>
            <w:vAlign w:val="center"/>
          </w:tcPr>
          <w:p>
            <w:pPr>
              <w:adjustRightInd w:val="0"/>
              <w:snapToGrid w:val="0"/>
              <w:jc w:val="both"/>
              <w:rPr>
                <w:rFonts w:hint="eastAsia"/>
                <w:sz w:val="21"/>
                <w:szCs w:val="21"/>
              </w:rPr>
            </w:pPr>
            <w:r>
              <w:rPr>
                <w:sz w:val="21"/>
                <w:szCs w:val="21"/>
              </w:rPr>
              <w:t>肥城肥矿煤业有限公司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统一社会信用代码</w:t>
            </w:r>
          </w:p>
        </w:tc>
        <w:tc>
          <w:tcPr>
            <w:tcW w:w="3702" w:type="pct"/>
            <w:vAlign w:val="center"/>
          </w:tcPr>
          <w:p>
            <w:pPr>
              <w:adjustRightInd w:val="0"/>
              <w:snapToGrid w:val="0"/>
              <w:jc w:val="both"/>
              <w:rPr>
                <w:rFonts w:hint="eastAsia"/>
                <w:sz w:val="21"/>
                <w:szCs w:val="21"/>
              </w:rPr>
            </w:pPr>
            <w:r>
              <w:rPr>
                <w:sz w:val="21"/>
                <w:szCs w:val="21"/>
              </w:rPr>
              <w:t>91370983MA3CH6RW6B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成立时间</w:t>
            </w:r>
          </w:p>
        </w:tc>
        <w:tc>
          <w:tcPr>
            <w:tcW w:w="3702" w:type="pct"/>
            <w:vAlign w:val="center"/>
          </w:tcPr>
          <w:p>
            <w:pPr>
              <w:adjustRightInd w:val="0"/>
              <w:snapToGrid w:val="0"/>
              <w:jc w:val="both"/>
              <w:rPr>
                <w:rFonts w:hint="eastAsia"/>
                <w:sz w:val="21"/>
                <w:szCs w:val="21"/>
              </w:rPr>
            </w:pPr>
            <w:r>
              <w:rPr>
                <w:sz w:val="21"/>
                <w:szCs w:val="21"/>
              </w:rPr>
              <w:t>2016年9月21日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注册地</w:t>
            </w:r>
          </w:p>
        </w:tc>
        <w:tc>
          <w:tcPr>
            <w:tcW w:w="3702" w:type="pct"/>
            <w:vAlign w:val="center"/>
          </w:tcPr>
          <w:p>
            <w:pPr>
              <w:adjustRightInd w:val="0"/>
              <w:snapToGrid w:val="0"/>
              <w:jc w:val="both"/>
              <w:rPr>
                <w:rFonts w:hint="eastAsia"/>
                <w:sz w:val="21"/>
                <w:szCs w:val="21"/>
              </w:rPr>
            </w:pPr>
            <w:r>
              <w:rPr>
                <w:sz w:val="21"/>
                <w:szCs w:val="21"/>
              </w:rPr>
              <w:t>山东省泰安市肥城市王瓜店街道办事处创业路287号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法定代表人</w:t>
            </w:r>
          </w:p>
        </w:tc>
        <w:tc>
          <w:tcPr>
            <w:tcW w:w="3702" w:type="pct"/>
            <w:vAlign w:val="center"/>
          </w:tcPr>
          <w:p>
            <w:pPr>
              <w:adjustRightInd w:val="0"/>
              <w:snapToGrid w:val="0"/>
              <w:jc w:val="both"/>
              <w:rPr>
                <w:rFonts w:hint="eastAsia"/>
                <w:sz w:val="21"/>
                <w:szCs w:val="21"/>
              </w:rPr>
            </w:pPr>
            <w:r>
              <w:rPr>
                <w:sz w:val="21"/>
                <w:szCs w:val="21"/>
              </w:rPr>
              <w:t>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注册资本</w:t>
            </w:r>
          </w:p>
        </w:tc>
        <w:tc>
          <w:tcPr>
            <w:tcW w:w="3702" w:type="pct"/>
            <w:vAlign w:val="center"/>
          </w:tcPr>
          <w:p>
            <w:pPr>
              <w:adjustRightInd w:val="0"/>
              <w:snapToGrid w:val="0"/>
              <w:jc w:val="both"/>
              <w:rPr>
                <w:rFonts w:hint="eastAsia"/>
                <w:sz w:val="21"/>
                <w:szCs w:val="21"/>
              </w:rPr>
            </w:pPr>
            <w:r>
              <w:rPr>
                <w:sz w:val="21"/>
                <w:szCs w:val="21"/>
              </w:rPr>
              <w:t>50,000万元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经营范围</w:t>
            </w:r>
          </w:p>
        </w:tc>
        <w:tc>
          <w:tcPr>
            <w:tcW w:w="3702" w:type="pct"/>
            <w:vAlign w:val="center"/>
          </w:tcPr>
          <w:p>
            <w:pPr>
              <w:adjustRightInd w:val="0"/>
              <w:snapToGrid w:val="0"/>
              <w:jc w:val="both"/>
              <w:rPr>
                <w:rFonts w:hint="eastAsia"/>
                <w:sz w:val="21"/>
                <w:szCs w:val="21"/>
              </w:rPr>
            </w:pPr>
            <w:r>
              <w:rPr>
                <w:sz w:val="21"/>
                <w:szCs w:val="21"/>
              </w:rPr>
              <w:t>煤炭开采、销售，木材、电子产品、橡胶制品、矿山机械、五金、建材、钢材、日用百货、铁矿石、焦炭、石油焦、劳保用品、水泥、建筑材料、家具、煤矸石、高岭土、炉渣、酒水销售，电器配件生产、销售、维修，铝材的压延加工、销售，自来水及热气供应，纯净水生产、销售，供电，工矿工程建筑施工，煤矿安全及技术咨询服务，机械设备租赁，普通货运，住宿，餐饮服务，烟零售，房屋维修、广告设计、制作、发布、代理，煤炭行业（矿井）主导工艺工程设计，国家法律、法规、政策允许范围内的进出口贸易，互联网信息服务，有限广播电视传输服务（卫星电视广播地面接收设施安装除外），基础软件服务，矿山救援技术服务，房屋租赁、销售。（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股权结构</w:t>
            </w:r>
          </w:p>
        </w:tc>
        <w:tc>
          <w:tcPr>
            <w:tcW w:w="3702" w:type="pct"/>
            <w:vAlign w:val="center"/>
          </w:tcPr>
          <w:p>
            <w:pPr>
              <w:adjustRightInd w:val="0"/>
              <w:snapToGrid w:val="0"/>
              <w:jc w:val="both"/>
              <w:rPr>
                <w:rFonts w:hint="eastAsia"/>
                <w:sz w:val="21"/>
                <w:szCs w:val="21"/>
              </w:rPr>
            </w:pPr>
            <w:r>
              <w:rPr>
                <w:rFonts w:hint="eastAsia"/>
                <w:sz w:val="21"/>
                <w:szCs w:val="21"/>
              </w:rPr>
              <w:t>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hint="eastAsia"/>
                <w:b/>
                <w:bCs/>
                <w:sz w:val="21"/>
                <w:szCs w:val="21"/>
              </w:rPr>
            </w:pPr>
            <w:r>
              <w:rPr>
                <w:rFonts w:hint="eastAsia"/>
                <w:b/>
                <w:bCs/>
                <w:sz w:val="21"/>
                <w:szCs w:val="21"/>
              </w:rPr>
              <w:t>是否为失信被执行人</w:t>
            </w:r>
          </w:p>
        </w:tc>
        <w:tc>
          <w:tcPr>
            <w:tcW w:w="3702" w:type="pct"/>
            <w:vAlign w:val="center"/>
          </w:tcPr>
          <w:p>
            <w:pPr>
              <w:adjustRightInd w:val="0"/>
              <w:snapToGrid w:val="0"/>
              <w:jc w:val="both"/>
              <w:rPr>
                <w:rFonts w:hint="eastAsia"/>
                <w:sz w:val="21"/>
                <w:szCs w:val="21"/>
              </w:rPr>
            </w:pPr>
            <w:r>
              <w:rPr>
                <w:rFonts w:hint="eastAsia"/>
                <w:sz w:val="21"/>
                <w:szCs w:val="21"/>
              </w:rPr>
              <w:t>否</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80" w:firstLineChars="200"/>
        <w:jc w:val="right"/>
        <w:rPr>
          <w:rFonts w:hint="eastAsia" w:cs="Times New Roman" w:asciiTheme="minorEastAsia" w:hAnsiTheme="minorEastAsia" w:eastAsiaTheme="minorEastAsia"/>
          <w:sz w:val="32"/>
          <w:szCs w:val="32"/>
        </w:rPr>
      </w:pPr>
      <w:r>
        <w:rPr>
          <w:rFonts w:hint="eastAsia" w:cs="Times New Roman" w:asciiTheme="minorEastAsia" w:hAnsiTheme="minorEastAsia" w:eastAsiaTheme="minorEastAsia"/>
        </w:rPr>
        <w:t>单位：万元</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508"/>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sz w:val="21"/>
                <w:szCs w:val="21"/>
              </w:rPr>
              <w:br w:type="page"/>
            </w: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rFonts w:hint="eastAsia"/>
                <w:b/>
                <w:bCs/>
                <w:sz w:val="21"/>
                <w:szCs w:val="21"/>
              </w:rPr>
              <w:t>截至2024年12月31日</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rFonts w:hint="eastAsia"/>
                <w:b/>
                <w:bCs/>
                <w:sz w:val="21"/>
                <w:szCs w:val="21"/>
              </w:rPr>
              <w:t>截至2023年12月31日</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资产总额</w:t>
            </w:r>
          </w:p>
        </w:tc>
        <w:tc>
          <w:tcPr>
            <w:tcW w:w="2058" w:type="pct"/>
            <w:vAlign w:val="center"/>
          </w:tcPr>
          <w:p>
            <w:pPr>
              <w:jc w:val="right"/>
              <w:textAlignment w:val="center"/>
              <w:rPr>
                <w:rFonts w:hint="eastAsia"/>
                <w:color w:val="000000"/>
                <w:sz w:val="21"/>
                <w:szCs w:val="21"/>
                <w:lang w:bidi="ar"/>
              </w:rPr>
            </w:pPr>
            <w:r>
              <w:rPr>
                <w:rFonts w:hint="eastAsia"/>
                <w:color w:val="000000"/>
                <w:sz w:val="21"/>
                <w:szCs w:val="21"/>
              </w:rPr>
              <w:t xml:space="preserve">767,578.54 </w:t>
            </w:r>
          </w:p>
        </w:tc>
        <w:tc>
          <w:tcPr>
            <w:tcW w:w="2057" w:type="pct"/>
            <w:vAlign w:val="center"/>
          </w:tcPr>
          <w:p>
            <w:pPr>
              <w:jc w:val="right"/>
              <w:textAlignment w:val="center"/>
              <w:rPr>
                <w:rFonts w:hint="eastAsia"/>
                <w:color w:val="000000"/>
                <w:sz w:val="21"/>
                <w:szCs w:val="21"/>
                <w:lang w:bidi="ar"/>
              </w:rPr>
            </w:pPr>
            <w:r>
              <w:rPr>
                <w:rFonts w:hint="eastAsia"/>
                <w:color w:val="000000"/>
                <w:sz w:val="21"/>
                <w:szCs w:val="21"/>
              </w:rPr>
              <w:t xml:space="preserve">889,693.89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资产净额</w:t>
            </w:r>
          </w:p>
        </w:tc>
        <w:tc>
          <w:tcPr>
            <w:tcW w:w="2058" w:type="pct"/>
            <w:vAlign w:val="center"/>
          </w:tcPr>
          <w:p>
            <w:pPr>
              <w:jc w:val="right"/>
              <w:textAlignment w:val="center"/>
              <w:rPr>
                <w:rFonts w:hint="eastAsia"/>
                <w:color w:val="000000"/>
                <w:sz w:val="21"/>
                <w:szCs w:val="21"/>
                <w:lang w:bidi="ar"/>
              </w:rPr>
            </w:pPr>
            <w:r>
              <w:rPr>
                <w:rFonts w:hint="eastAsia"/>
                <w:color w:val="000000"/>
                <w:sz w:val="21"/>
                <w:szCs w:val="21"/>
              </w:rPr>
              <w:t xml:space="preserve">298,399.18 </w:t>
            </w:r>
          </w:p>
        </w:tc>
        <w:tc>
          <w:tcPr>
            <w:tcW w:w="2057" w:type="pct"/>
            <w:vAlign w:val="center"/>
          </w:tcPr>
          <w:p>
            <w:pPr>
              <w:jc w:val="right"/>
              <w:textAlignment w:val="center"/>
              <w:rPr>
                <w:rFonts w:hint="eastAsia"/>
                <w:color w:val="000000"/>
                <w:sz w:val="21"/>
                <w:szCs w:val="21"/>
                <w:lang w:bidi="ar"/>
              </w:rPr>
            </w:pPr>
            <w:r>
              <w:rPr>
                <w:rFonts w:hint="eastAsia"/>
                <w:color w:val="000000"/>
                <w:sz w:val="21"/>
                <w:szCs w:val="21"/>
              </w:rPr>
              <w:t xml:space="preserve">289,119.07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jc w:val="center"/>
              <w:rPr>
                <w:rFonts w:hint="eastAsia"/>
                <w:b/>
                <w:bCs/>
                <w:sz w:val="21"/>
                <w:szCs w:val="21"/>
              </w:rPr>
            </w:pPr>
            <w:r>
              <w:rPr>
                <w:rFonts w:hint="eastAsia"/>
                <w:b/>
                <w:bCs/>
                <w:sz w:val="21"/>
                <w:szCs w:val="21"/>
              </w:rPr>
              <w:t>项目</w:t>
            </w:r>
          </w:p>
        </w:tc>
        <w:tc>
          <w:tcPr>
            <w:tcW w:w="2058" w:type="pct"/>
            <w:vAlign w:val="center"/>
          </w:tcPr>
          <w:p>
            <w:pPr>
              <w:adjustRightInd w:val="0"/>
              <w:snapToGrid w:val="0"/>
              <w:jc w:val="center"/>
              <w:rPr>
                <w:rFonts w:hint="eastAsia"/>
                <w:b/>
                <w:bCs/>
                <w:sz w:val="21"/>
                <w:szCs w:val="21"/>
              </w:rPr>
            </w:pPr>
            <w:r>
              <w:rPr>
                <w:b/>
                <w:bCs/>
                <w:sz w:val="21"/>
                <w:szCs w:val="21"/>
              </w:rPr>
              <w:t>2024</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（未经审计）</w:t>
            </w:r>
          </w:p>
        </w:tc>
        <w:tc>
          <w:tcPr>
            <w:tcW w:w="2057" w:type="pct"/>
            <w:vAlign w:val="center"/>
          </w:tcPr>
          <w:p>
            <w:pPr>
              <w:adjustRightInd w:val="0"/>
              <w:snapToGrid w:val="0"/>
              <w:jc w:val="center"/>
              <w:rPr>
                <w:rFonts w:hint="eastAsia"/>
                <w:b/>
                <w:bCs/>
                <w:sz w:val="21"/>
                <w:szCs w:val="21"/>
              </w:rPr>
            </w:pPr>
            <w:r>
              <w:rPr>
                <w:b/>
                <w:bCs/>
                <w:sz w:val="21"/>
                <w:szCs w:val="21"/>
              </w:rPr>
              <w:t>2023</w:t>
            </w:r>
            <w:r>
              <w:rPr>
                <w:rFonts w:hint="eastAsia"/>
                <w:b/>
                <w:bCs/>
                <w:sz w:val="21"/>
                <w:szCs w:val="21"/>
              </w:rPr>
              <w:t>年度</w:t>
            </w:r>
          </w:p>
          <w:p>
            <w:pPr>
              <w:adjustRightInd w:val="0"/>
              <w:snapToGrid w:val="0"/>
              <w:jc w:val="center"/>
              <w:rPr>
                <w:rFonts w:hint="eastAsia"/>
                <w:b/>
                <w:bCs/>
                <w:sz w:val="21"/>
                <w:szCs w:val="21"/>
              </w:rPr>
            </w:pPr>
            <w:r>
              <w:rPr>
                <w:rFonts w:hint="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营业收入</w:t>
            </w:r>
          </w:p>
        </w:tc>
        <w:tc>
          <w:tcPr>
            <w:tcW w:w="2058" w:type="pct"/>
            <w:vAlign w:val="center"/>
          </w:tcPr>
          <w:p>
            <w:pPr>
              <w:jc w:val="right"/>
              <w:textAlignment w:val="center"/>
              <w:rPr>
                <w:rFonts w:hint="eastAsia"/>
                <w:color w:val="000000"/>
                <w:sz w:val="21"/>
                <w:szCs w:val="21"/>
                <w:lang w:bidi="ar"/>
              </w:rPr>
            </w:pPr>
            <w:r>
              <w:rPr>
                <w:rFonts w:hint="eastAsia"/>
                <w:color w:val="000000"/>
                <w:sz w:val="21"/>
                <w:szCs w:val="21"/>
              </w:rPr>
              <w:t xml:space="preserve">51,259.44 </w:t>
            </w:r>
          </w:p>
        </w:tc>
        <w:tc>
          <w:tcPr>
            <w:tcW w:w="2057" w:type="pct"/>
            <w:vAlign w:val="center"/>
          </w:tcPr>
          <w:p>
            <w:pPr>
              <w:jc w:val="right"/>
              <w:textAlignment w:val="center"/>
              <w:rPr>
                <w:rFonts w:hint="eastAsia"/>
                <w:color w:val="000000"/>
                <w:sz w:val="21"/>
                <w:szCs w:val="21"/>
                <w:lang w:bidi="ar"/>
              </w:rPr>
            </w:pPr>
            <w:r>
              <w:rPr>
                <w:rFonts w:hint="eastAsia"/>
                <w:color w:val="000000"/>
                <w:sz w:val="21"/>
                <w:szCs w:val="21"/>
              </w:rPr>
              <w:t xml:space="preserve">38,600.11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pct"/>
            <w:vAlign w:val="center"/>
          </w:tcPr>
          <w:p>
            <w:pPr>
              <w:adjustRightInd w:val="0"/>
              <w:snapToGrid w:val="0"/>
              <w:rPr>
                <w:rFonts w:hint="eastAsia"/>
                <w:sz w:val="21"/>
                <w:szCs w:val="21"/>
              </w:rPr>
            </w:pPr>
            <w:r>
              <w:rPr>
                <w:rFonts w:hint="eastAsia"/>
                <w:sz w:val="21"/>
                <w:szCs w:val="21"/>
              </w:rPr>
              <w:t>净利润</w:t>
            </w:r>
          </w:p>
        </w:tc>
        <w:tc>
          <w:tcPr>
            <w:tcW w:w="2058" w:type="pct"/>
            <w:vAlign w:val="center"/>
          </w:tcPr>
          <w:p>
            <w:pPr>
              <w:jc w:val="right"/>
              <w:textAlignment w:val="center"/>
              <w:rPr>
                <w:rFonts w:hint="eastAsia"/>
                <w:color w:val="000000"/>
                <w:sz w:val="21"/>
                <w:szCs w:val="21"/>
                <w:lang w:bidi="ar"/>
              </w:rPr>
            </w:pPr>
            <w:r>
              <w:rPr>
                <w:rFonts w:hint="eastAsia"/>
                <w:color w:val="000000"/>
                <w:sz w:val="21"/>
                <w:szCs w:val="21"/>
              </w:rPr>
              <w:t xml:space="preserve">7,183.85 </w:t>
            </w:r>
          </w:p>
        </w:tc>
        <w:tc>
          <w:tcPr>
            <w:tcW w:w="2057" w:type="pct"/>
            <w:vAlign w:val="center"/>
          </w:tcPr>
          <w:p>
            <w:pPr>
              <w:jc w:val="right"/>
              <w:textAlignment w:val="center"/>
              <w:rPr>
                <w:rFonts w:hint="eastAsia"/>
                <w:color w:val="000000"/>
                <w:sz w:val="21"/>
                <w:szCs w:val="21"/>
                <w:lang w:bidi="ar"/>
              </w:rPr>
            </w:pPr>
            <w:r>
              <w:rPr>
                <w:rFonts w:hint="eastAsia"/>
                <w:color w:val="000000"/>
                <w:sz w:val="21"/>
                <w:szCs w:val="21"/>
              </w:rPr>
              <w:t xml:space="preserve">-10,886.77 </w:t>
            </w:r>
          </w:p>
        </w:tc>
      </w:tr>
    </w:tbl>
    <w:p>
      <w:pPr>
        <w:keepNext/>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三、关联交易标的基本情况</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（一）交易类别</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本次交易包括现金收购股权和现金增资两部分，股权收购的交易标的为西北矿业</w:t>
      </w:r>
      <w:r>
        <w:rPr>
          <w:rFonts w:cs="Times New Roman" w:asciiTheme="minorEastAsia" w:hAnsiTheme="minorEastAsia" w:eastAsiaTheme="minorEastAsia"/>
          <w:sz w:val="28"/>
          <w:szCs w:val="28"/>
        </w:rPr>
        <w:t>26%股权，现金增资的交易标的为西北矿业新增</w:t>
      </w:r>
      <w:r>
        <w:rPr>
          <w:rFonts w:hint="eastAsia" w:cs="Times New Roman" w:asciiTheme="minorEastAsia" w:hAnsiTheme="minorEastAsia" w:eastAsiaTheme="minorEastAsia"/>
          <w:sz w:val="28"/>
          <w:szCs w:val="28"/>
        </w:rPr>
        <w:t>加的25.51亿</w:t>
      </w:r>
      <w:r>
        <w:rPr>
          <w:rFonts w:cs="Times New Roman" w:asciiTheme="minorEastAsia" w:hAnsiTheme="minorEastAsia" w:eastAsiaTheme="minorEastAsia"/>
          <w:sz w:val="28"/>
          <w:szCs w:val="28"/>
        </w:rPr>
        <w:t>元注册资本。</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（二）</w:t>
      </w:r>
      <w:r>
        <w:rPr>
          <w:rFonts w:hint="eastAsia" w:ascii="楷体" w:hAnsi="楷体" w:eastAsia="楷体" w:cs="Times New Roman"/>
          <w:b/>
          <w:bCs/>
          <w:sz w:val="28"/>
          <w:szCs w:val="28"/>
        </w:rPr>
        <w:t>交易</w:t>
      </w:r>
      <w:r>
        <w:rPr>
          <w:rFonts w:ascii="楷体" w:hAnsi="楷体" w:eastAsia="楷体" w:cs="Times New Roman"/>
          <w:b/>
          <w:bCs/>
          <w:sz w:val="28"/>
          <w:szCs w:val="28"/>
        </w:rPr>
        <w:t>标的权属状况说明</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截至本公告日，本次转让的交易对方所持的目标公司</w:t>
      </w:r>
      <w:r>
        <w:rPr>
          <w:rFonts w:cs="Times New Roman" w:asciiTheme="minorEastAsia" w:hAnsiTheme="minorEastAsia" w:eastAsiaTheme="minorEastAsia"/>
          <w:sz w:val="28"/>
          <w:szCs w:val="28"/>
        </w:rPr>
        <w:t>股权权属清晰，不存在</w:t>
      </w:r>
      <w:r>
        <w:rPr>
          <w:rFonts w:hint="eastAsia" w:cs="Times New Roman" w:asciiTheme="minorEastAsia" w:hAnsiTheme="minorEastAsia" w:eastAsiaTheme="minorEastAsia"/>
          <w:sz w:val="28"/>
          <w:szCs w:val="28"/>
        </w:rPr>
        <w:t>被</w:t>
      </w:r>
      <w:r>
        <w:rPr>
          <w:rFonts w:cs="Times New Roman" w:asciiTheme="minorEastAsia" w:hAnsiTheme="minorEastAsia" w:eastAsiaTheme="minorEastAsia"/>
          <w:sz w:val="28"/>
          <w:szCs w:val="28"/>
        </w:rPr>
        <w:t>质押及其他任何限制转让的情况，不涉及诉讼、仲裁事项或查封、冻结等司法措施，不存在妨碍权属转移的其他情况。</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（三）交易标的概况</w:t>
      </w:r>
    </w:p>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1</w:t>
      </w:r>
      <w:r>
        <w:rPr>
          <w:rFonts w:hint="eastAsia" w:cs="Times New Roman" w:asciiTheme="minorEastAsia" w:hAnsiTheme="minorEastAsia" w:eastAsiaTheme="minorEastAsia"/>
          <w:b/>
          <w:bCs/>
        </w:rPr>
        <w:t>.基本情况</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西</w:t>
      </w:r>
      <w:r>
        <w:rPr>
          <w:rFonts w:hint="eastAsia" w:cs="Times New Roman" w:asciiTheme="minorEastAsia" w:hAnsiTheme="minorEastAsia" w:eastAsiaTheme="minorEastAsia"/>
        </w:rPr>
        <w:t>北</w:t>
      </w:r>
      <w:r>
        <w:rPr>
          <w:rFonts w:cs="Times New Roman" w:asciiTheme="minorEastAsia" w:hAnsiTheme="minorEastAsia" w:eastAsiaTheme="minorEastAsia"/>
        </w:rPr>
        <w:t>矿业于2021年12月成立，法定代表人为</w:t>
      </w:r>
      <w:r>
        <w:rPr>
          <w:rFonts w:hint="eastAsia" w:cs="Times New Roman" w:asciiTheme="minorEastAsia" w:hAnsiTheme="minorEastAsia" w:eastAsiaTheme="minorEastAsia"/>
        </w:rPr>
        <w:t>黄书翔</w:t>
      </w:r>
      <w:r>
        <w:rPr>
          <w:rFonts w:cs="Times New Roman" w:asciiTheme="minorEastAsia" w:hAnsiTheme="minorEastAsia" w:eastAsiaTheme="minorEastAsia"/>
        </w:rPr>
        <w:t>，注册资本500</w:t>
      </w:r>
      <w:r>
        <w:rPr>
          <w:rFonts w:hint="eastAsia" w:cs="Times New Roman" w:asciiTheme="minorEastAsia" w:hAnsiTheme="minorEastAsia" w:eastAsiaTheme="minorEastAsia"/>
        </w:rPr>
        <w:t>,</w:t>
      </w:r>
      <w:r>
        <w:rPr>
          <w:rFonts w:cs="Times New Roman" w:asciiTheme="minorEastAsia" w:hAnsiTheme="minorEastAsia" w:eastAsiaTheme="minorEastAsia"/>
        </w:rPr>
        <w:t>000万元，住所为</w:t>
      </w:r>
      <w:r>
        <w:rPr>
          <w:rFonts w:hint="eastAsia" w:cs="Times New Roman" w:asciiTheme="minorEastAsia" w:hAnsiTheme="minorEastAsia" w:eastAsiaTheme="minorEastAsia"/>
        </w:rPr>
        <w:t>西安国际港务区港泽路</w:t>
      </w:r>
      <w:r>
        <w:rPr>
          <w:rFonts w:cs="Times New Roman" w:asciiTheme="minorEastAsia" w:hAnsiTheme="minorEastAsia" w:eastAsiaTheme="minorEastAsia"/>
        </w:rPr>
        <w:t>3369号5层，</w:t>
      </w:r>
      <w:r>
        <w:rPr>
          <w:rFonts w:hint="eastAsia" w:cs="Times New Roman" w:asciiTheme="minorEastAsia" w:hAnsiTheme="minorEastAsia" w:eastAsiaTheme="minorEastAsia"/>
        </w:rPr>
        <w:t>主要从事煤炭开采、洗选、加工和销售业务，煤化工、矿井专业化、选煤厂运营、矿用设备维修、煤炭行业科技创新服务等煤炭相关产业链业务。</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本次交易完成前</w:t>
      </w:r>
      <w:r>
        <w:rPr>
          <w:rFonts w:cs="Times New Roman" w:asciiTheme="minorEastAsia" w:hAnsiTheme="minorEastAsia" w:eastAsiaTheme="minorEastAsia"/>
          <w:sz w:val="28"/>
          <w:szCs w:val="28"/>
        </w:rPr>
        <w:t>，西</w:t>
      </w:r>
      <w:r>
        <w:rPr>
          <w:rFonts w:hint="eastAsia" w:cs="Times New Roman" w:asciiTheme="minorEastAsia" w:hAnsiTheme="minorEastAsia" w:eastAsiaTheme="minorEastAsia"/>
          <w:sz w:val="28"/>
          <w:szCs w:val="28"/>
        </w:rPr>
        <w:t>北</w:t>
      </w:r>
      <w:r>
        <w:rPr>
          <w:rFonts w:cs="Times New Roman" w:asciiTheme="minorEastAsia" w:hAnsiTheme="minorEastAsia" w:eastAsiaTheme="minorEastAsia"/>
          <w:sz w:val="28"/>
          <w:szCs w:val="28"/>
        </w:rPr>
        <w:t>矿业的股权结构如下：</w:t>
      </w:r>
    </w:p>
    <w:p>
      <w:pPr>
        <w:adjustRightInd w:val="0"/>
        <w:snapToGrid w:val="0"/>
        <w:ind w:firstLine="560" w:firstLineChars="200"/>
        <w:jc w:val="both"/>
        <w:rPr>
          <w:rFonts w:hint="eastAsia" w:cs="Times New Roman" w:asciiTheme="minorEastAsia" w:hAnsiTheme="minorEastAsia" w:eastAsiaTheme="minorEastAsia"/>
          <w:sz w:val="28"/>
          <w:szCs w:val="28"/>
        </w:rPr>
      </w:pPr>
    </w:p>
    <w:p>
      <w:pPr>
        <w:adjustRightInd w:val="0"/>
        <w:snapToGrid w:val="0"/>
        <w:jc w:val="center"/>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drawing>
          <wp:inline distT="0" distB="0" distL="0" distR="0">
            <wp:extent cx="4946650" cy="1924685"/>
            <wp:effectExtent l="0" t="0" r="0" b="0"/>
            <wp:docPr id="4306092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0924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64412" cy="1931472"/>
                    </a:xfrm>
                    <a:prstGeom prst="rect">
                      <a:avLst/>
                    </a:prstGeom>
                    <a:noFill/>
                  </pic:spPr>
                </pic:pic>
              </a:graphicData>
            </a:graphic>
          </wp:inline>
        </w:drawing>
      </w:r>
    </w:p>
    <w:p>
      <w:pPr>
        <w:adjustRightInd w:val="0"/>
        <w:snapToGrid w:val="0"/>
        <w:ind w:firstLine="560" w:firstLineChars="200"/>
        <w:jc w:val="both"/>
        <w:rPr>
          <w:rFonts w:hint="eastAsia" w:cs="Times New Roman" w:asciiTheme="minorEastAsia" w:hAnsiTheme="minorEastAsia" w:eastAsiaTheme="minorEastAsia"/>
          <w:sz w:val="28"/>
          <w:szCs w:val="28"/>
        </w:rPr>
      </w:pPr>
    </w:p>
    <w:p>
      <w:pPr>
        <w:adjustRightInd w:val="0"/>
        <w:snapToGrid w:val="0"/>
        <w:spacing w:line="360" w:lineRule="auto"/>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本次交易完成后</w:t>
      </w:r>
      <w:r>
        <w:rPr>
          <w:rFonts w:cs="Times New Roman" w:asciiTheme="minorEastAsia" w:hAnsiTheme="minorEastAsia" w:eastAsiaTheme="minorEastAsia"/>
          <w:sz w:val="28"/>
          <w:szCs w:val="28"/>
        </w:rPr>
        <w:t>，西</w:t>
      </w:r>
      <w:r>
        <w:rPr>
          <w:rFonts w:hint="eastAsia" w:cs="Times New Roman" w:asciiTheme="minorEastAsia" w:hAnsiTheme="minorEastAsia" w:eastAsiaTheme="minorEastAsia"/>
          <w:sz w:val="28"/>
          <w:szCs w:val="28"/>
        </w:rPr>
        <w:t>北</w:t>
      </w:r>
      <w:r>
        <w:rPr>
          <w:rFonts w:cs="Times New Roman" w:asciiTheme="minorEastAsia" w:hAnsiTheme="minorEastAsia" w:eastAsiaTheme="minorEastAsia"/>
          <w:sz w:val="28"/>
          <w:szCs w:val="28"/>
        </w:rPr>
        <w:t>矿业的股权结构如下：</w:t>
      </w:r>
    </w:p>
    <w:p>
      <w:pPr>
        <w:spacing w:line="360" w:lineRule="auto"/>
        <w:jc w:val="center"/>
        <w:rPr>
          <w:rFonts w:hint="eastAsia" w:cs="Times New Roman" w:asciiTheme="minorEastAsia" w:hAnsiTheme="minorEastAsia" w:eastAsiaTheme="minorEastAsia"/>
          <w:sz w:val="30"/>
          <w:szCs w:val="30"/>
        </w:rPr>
      </w:pPr>
      <w:r>
        <w:rPr>
          <w:rFonts w:cs="Times New Roman" w:asciiTheme="minorEastAsia" w:hAnsiTheme="minorEastAsia" w:eastAsiaTheme="minorEastAsia"/>
          <w:sz w:val="28"/>
          <w:szCs w:val="28"/>
        </w:rPr>
        <w:drawing>
          <wp:inline distT="0" distB="0" distL="0" distR="0">
            <wp:extent cx="4082415" cy="1891665"/>
            <wp:effectExtent l="0" t="0" r="0" b="0"/>
            <wp:docPr id="10789378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7842"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04566" cy="1902011"/>
                    </a:xfrm>
                    <a:prstGeom prst="rect">
                      <a:avLst/>
                    </a:prstGeom>
                    <a:noFill/>
                  </pic:spPr>
                </pic:pic>
              </a:graphicData>
            </a:graphic>
          </wp:inline>
        </w:drawing>
      </w:r>
    </w:p>
    <w:p>
      <w:pPr>
        <w:keepNext/>
        <w:adjustRightInd w:val="0"/>
        <w:snapToGrid w:val="0"/>
        <w:spacing w:line="520" w:lineRule="exact"/>
        <w:ind w:firstLine="562" w:firstLineChars="200"/>
        <w:jc w:val="both"/>
        <w:rPr>
          <w:rFonts w:hint="eastAsia" w:cs="Times New Roman" w:asciiTheme="minorEastAsia" w:hAnsiTheme="minorEastAsia" w:eastAsiaTheme="minorEastAsia"/>
          <w:b/>
          <w:bCs/>
          <w:sz w:val="28"/>
          <w:szCs w:val="28"/>
        </w:rPr>
      </w:pPr>
      <w:r>
        <w:rPr>
          <w:rFonts w:cs="Times New Roman" w:asciiTheme="minorEastAsia" w:hAnsiTheme="minorEastAsia" w:eastAsiaTheme="minorEastAsia"/>
          <w:b/>
          <w:bCs/>
          <w:sz w:val="28"/>
          <w:szCs w:val="28"/>
        </w:rPr>
        <w:t>2</w:t>
      </w:r>
      <w:r>
        <w:rPr>
          <w:rFonts w:hint="eastAsia" w:cs="Times New Roman" w:asciiTheme="minorEastAsia" w:hAnsiTheme="minorEastAsia" w:eastAsiaTheme="minorEastAsia"/>
          <w:b/>
          <w:bCs/>
          <w:sz w:val="28"/>
          <w:szCs w:val="28"/>
        </w:rPr>
        <w:t>.</w:t>
      </w:r>
      <w:r>
        <w:rPr>
          <w:rFonts w:cs="Times New Roman" w:asciiTheme="minorEastAsia" w:hAnsiTheme="minorEastAsia" w:eastAsiaTheme="minorEastAsia"/>
          <w:b/>
          <w:bCs/>
          <w:sz w:val="28"/>
          <w:szCs w:val="28"/>
        </w:rPr>
        <w:t>控股子公司</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w:t>
      </w:r>
      <w:r>
        <w:rPr>
          <w:rFonts w:cs="Times New Roman" w:asciiTheme="minorEastAsia" w:hAnsiTheme="minorEastAsia" w:eastAsiaTheme="minorEastAsia"/>
          <w:sz w:val="28"/>
          <w:szCs w:val="28"/>
        </w:rPr>
        <w:t>西</w:t>
      </w:r>
      <w:r>
        <w:rPr>
          <w:rFonts w:hint="eastAsia" w:cs="Times New Roman" w:asciiTheme="minorEastAsia" w:hAnsiTheme="minorEastAsia" w:eastAsiaTheme="minorEastAsia"/>
          <w:sz w:val="28"/>
          <w:szCs w:val="28"/>
        </w:rPr>
        <w:t>北</w:t>
      </w:r>
      <w:r>
        <w:rPr>
          <w:rFonts w:cs="Times New Roman" w:asciiTheme="minorEastAsia" w:hAnsiTheme="minorEastAsia" w:eastAsiaTheme="minorEastAsia"/>
          <w:sz w:val="28"/>
          <w:szCs w:val="28"/>
        </w:rPr>
        <w:t>矿业共有</w:t>
      </w:r>
      <w:r>
        <w:rPr>
          <w:rFonts w:hint="eastAsia" w:cs="Times New Roman" w:asciiTheme="minorEastAsia" w:hAnsiTheme="minorEastAsia" w:eastAsiaTheme="minorEastAsia"/>
          <w:sz w:val="28"/>
          <w:szCs w:val="28"/>
        </w:rPr>
        <w:t>18</w:t>
      </w:r>
      <w:r>
        <w:rPr>
          <w:rFonts w:cs="Times New Roman" w:asciiTheme="minorEastAsia" w:hAnsiTheme="minorEastAsia" w:eastAsiaTheme="minorEastAsia"/>
          <w:sz w:val="28"/>
          <w:szCs w:val="28"/>
        </w:rPr>
        <w:t>家控股子公司，具体情况如下：</w:t>
      </w:r>
    </w:p>
    <w:tbl>
      <w:tblPr>
        <w:tblStyle w:val="20"/>
        <w:tblW w:w="5000"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499"/>
        <w:gridCol w:w="3786"/>
        <w:gridCol w:w="794"/>
        <w:gridCol w:w="1376"/>
        <w:gridCol w:w="1907"/>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tblHeader/>
          <w:jc w:val="center"/>
        </w:trPr>
        <w:tc>
          <w:tcPr>
            <w:tcW w:w="298" w:type="pct"/>
            <w:vAlign w:val="center"/>
          </w:tcPr>
          <w:p>
            <w:pPr>
              <w:keepNext/>
              <w:widowControl w:val="0"/>
              <w:adjustRightInd w:val="0"/>
              <w:snapToGrid w:val="0"/>
              <w:jc w:val="center"/>
              <w:rPr>
                <w:rFonts w:hint="eastAsia"/>
                <w:b/>
                <w:bCs/>
                <w:color w:val="000000"/>
                <w:sz w:val="21"/>
                <w:szCs w:val="21"/>
              </w:rPr>
            </w:pPr>
            <w:r>
              <w:rPr>
                <w:rFonts w:hint="eastAsia"/>
                <w:b/>
                <w:bCs/>
                <w:color w:val="000000"/>
                <w:sz w:val="21"/>
                <w:szCs w:val="21"/>
              </w:rPr>
              <w:t>序号</w:t>
            </w:r>
          </w:p>
        </w:tc>
        <w:tc>
          <w:tcPr>
            <w:tcW w:w="2264" w:type="pct"/>
            <w:shd w:val="clear" w:color="auto" w:fill="auto"/>
            <w:vAlign w:val="center"/>
          </w:tcPr>
          <w:p>
            <w:pPr>
              <w:keepNext/>
              <w:widowControl w:val="0"/>
              <w:adjustRightInd w:val="0"/>
              <w:snapToGrid w:val="0"/>
              <w:jc w:val="center"/>
              <w:rPr>
                <w:rFonts w:hint="eastAsia"/>
                <w:b/>
                <w:bCs/>
                <w:color w:val="000000"/>
                <w:sz w:val="21"/>
                <w:szCs w:val="21"/>
              </w:rPr>
            </w:pPr>
            <w:r>
              <w:rPr>
                <w:rFonts w:hint="eastAsia"/>
                <w:b/>
                <w:bCs/>
                <w:color w:val="000000"/>
                <w:sz w:val="21"/>
                <w:szCs w:val="21"/>
              </w:rPr>
              <w:t>公司名称</w:t>
            </w:r>
          </w:p>
        </w:tc>
        <w:tc>
          <w:tcPr>
            <w:tcW w:w="475" w:type="pct"/>
            <w:shd w:val="clear" w:color="auto" w:fill="auto"/>
            <w:vAlign w:val="center"/>
          </w:tcPr>
          <w:p>
            <w:pPr>
              <w:keepNext/>
              <w:widowControl w:val="0"/>
              <w:adjustRightInd w:val="0"/>
              <w:snapToGrid w:val="0"/>
              <w:jc w:val="center"/>
              <w:rPr>
                <w:rFonts w:hint="eastAsia"/>
                <w:b/>
                <w:bCs/>
                <w:color w:val="000000"/>
                <w:sz w:val="21"/>
                <w:szCs w:val="21"/>
              </w:rPr>
            </w:pPr>
            <w:r>
              <w:rPr>
                <w:rFonts w:hint="eastAsia"/>
                <w:b/>
                <w:bCs/>
                <w:color w:val="000000"/>
                <w:sz w:val="21"/>
                <w:szCs w:val="21"/>
              </w:rPr>
              <w:t>持股</w:t>
            </w:r>
          </w:p>
          <w:p>
            <w:pPr>
              <w:keepNext/>
              <w:widowControl w:val="0"/>
              <w:adjustRightInd w:val="0"/>
              <w:snapToGrid w:val="0"/>
              <w:jc w:val="center"/>
              <w:rPr>
                <w:rFonts w:hint="eastAsia"/>
                <w:b/>
                <w:bCs/>
                <w:color w:val="000000"/>
                <w:sz w:val="21"/>
                <w:szCs w:val="21"/>
              </w:rPr>
            </w:pPr>
            <w:r>
              <w:rPr>
                <w:rFonts w:hint="eastAsia"/>
                <w:b/>
                <w:bCs/>
                <w:color w:val="000000"/>
                <w:sz w:val="21"/>
                <w:szCs w:val="21"/>
              </w:rPr>
              <w:t>比例</w:t>
            </w:r>
          </w:p>
        </w:tc>
        <w:tc>
          <w:tcPr>
            <w:tcW w:w="823" w:type="pct"/>
            <w:shd w:val="clear" w:color="auto" w:fill="auto"/>
            <w:vAlign w:val="center"/>
          </w:tcPr>
          <w:p>
            <w:pPr>
              <w:keepNext/>
              <w:widowControl w:val="0"/>
              <w:adjustRightInd w:val="0"/>
              <w:snapToGrid w:val="0"/>
              <w:jc w:val="center"/>
              <w:rPr>
                <w:rFonts w:hint="eastAsia"/>
                <w:b/>
                <w:bCs/>
                <w:color w:val="000000"/>
                <w:sz w:val="21"/>
                <w:szCs w:val="21"/>
              </w:rPr>
            </w:pPr>
            <w:r>
              <w:rPr>
                <w:rFonts w:hint="eastAsia"/>
                <w:b/>
                <w:bCs/>
                <w:color w:val="000000"/>
                <w:sz w:val="21"/>
                <w:szCs w:val="21"/>
              </w:rPr>
              <w:t>注册资本</w:t>
            </w:r>
          </w:p>
          <w:p>
            <w:pPr>
              <w:keepNext/>
              <w:widowControl w:val="0"/>
              <w:adjustRightInd w:val="0"/>
              <w:snapToGrid w:val="0"/>
              <w:jc w:val="center"/>
              <w:rPr>
                <w:rFonts w:hint="eastAsia"/>
                <w:b/>
                <w:bCs/>
                <w:color w:val="000000"/>
                <w:sz w:val="21"/>
                <w:szCs w:val="21"/>
              </w:rPr>
            </w:pPr>
            <w:r>
              <w:rPr>
                <w:rFonts w:hint="eastAsia"/>
                <w:b/>
                <w:bCs/>
                <w:color w:val="000000"/>
                <w:sz w:val="21"/>
                <w:szCs w:val="21"/>
              </w:rPr>
              <w:t>（万元）</w:t>
            </w:r>
          </w:p>
        </w:tc>
        <w:tc>
          <w:tcPr>
            <w:tcW w:w="1140" w:type="pct"/>
            <w:shd w:val="clear" w:color="auto" w:fill="auto"/>
            <w:vAlign w:val="center"/>
          </w:tcPr>
          <w:p>
            <w:pPr>
              <w:keepNext/>
              <w:widowControl w:val="0"/>
              <w:adjustRightInd w:val="0"/>
              <w:snapToGrid w:val="0"/>
              <w:jc w:val="center"/>
              <w:rPr>
                <w:rFonts w:hint="eastAsia"/>
                <w:b/>
                <w:bCs/>
                <w:color w:val="000000"/>
                <w:sz w:val="21"/>
                <w:szCs w:val="21"/>
              </w:rPr>
            </w:pPr>
            <w:r>
              <w:rPr>
                <w:rFonts w:hint="eastAsia"/>
                <w:b/>
                <w:bCs/>
                <w:color w:val="000000"/>
                <w:sz w:val="21"/>
                <w:szCs w:val="21"/>
              </w:rPr>
              <w:t>主营业务</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陕西正通煤业有限责任公司（“正通煤业”）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200,000.00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甘肃灵台邵寨煤业有限公司（“邵寨煤业”）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108,000.00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平凉五举煤业有限公司（“五举煤业”）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60%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165,401.28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陕西长武亭南煤业有限责任公司（“亭南煤业”）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30,000.00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内蒙古双欣矿业有限公司（“双欣矿业”）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55%</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50,000.00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陕西永明煤矿有限公司（“永明煤矿”）</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51%</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1,000.00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山西朔州平鲁区龙矿大恒煤业有限公司（“大恒煤业”）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80%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300.00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山西忻州神达望田煤业有限公司（“望田煤业”）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55%</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24,540.00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内蒙古黄陶勒盖煤炭有限责任公司（“黄陶勒盖”）</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60%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158,000.00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煤炭开采与洗选、危险化学品生产</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平煤长安能源开发有限公司（“平煤长安”）</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60%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100,000.00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杭锦旗聚能能源有限公司（“聚能能源”）</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30,000.00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甘肃华能天竣能源有限公司（“天竣能源”）</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55%</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264,521.60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煤炭开采与洗选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陕西博选科技有限公司（“博选科技”）</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15,000.00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选煤厂运营、选煤设备的维修和智能化选煤</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淄博爱科工矿机械有限公司（“爱科工矿”）</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5,000.00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矿用装备及材料制造、矿井辅助运输服务等</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山西龙矿能源投资开发有限公司（“龙矿投资”）</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5,000.00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矿井安全管理和生产技术监管服务</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陕西万华煤矿装备制造有限公司（“万华装备”）</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2,100.00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矿用液压支架、采掘设备、电气设备的维修</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蚂蚁城（北京）科技有限公司（“蚂蚁城”）</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100%</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600.00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面向煤炭行业企业的科技创新服务</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298" w:type="pct"/>
            <w:vAlign w:val="center"/>
          </w:tcPr>
          <w:p>
            <w:pPr>
              <w:widowControl w:val="0"/>
              <w:numPr>
                <w:ilvl w:val="0"/>
                <w:numId w:val="3"/>
              </w:numPr>
              <w:adjustRightInd w:val="0"/>
              <w:snapToGrid w:val="0"/>
              <w:jc w:val="center"/>
              <w:rPr>
                <w:rFonts w:hint="eastAsia"/>
                <w:color w:val="000000"/>
                <w:sz w:val="21"/>
                <w:szCs w:val="21"/>
              </w:rPr>
            </w:pPr>
          </w:p>
        </w:tc>
        <w:tc>
          <w:tcPr>
            <w:tcW w:w="2264" w:type="pct"/>
            <w:shd w:val="clear" w:color="auto" w:fill="auto"/>
            <w:vAlign w:val="center"/>
          </w:tcPr>
          <w:p>
            <w:pPr>
              <w:widowControl w:val="0"/>
              <w:adjustRightInd w:val="0"/>
              <w:snapToGrid w:val="0"/>
              <w:jc w:val="both"/>
              <w:rPr>
                <w:rFonts w:hint="eastAsia"/>
                <w:color w:val="000000"/>
                <w:sz w:val="21"/>
                <w:szCs w:val="21"/>
              </w:rPr>
            </w:pPr>
            <w:r>
              <w:rPr>
                <w:rFonts w:hint="eastAsia"/>
                <w:color w:val="000000"/>
                <w:sz w:val="21"/>
                <w:szCs w:val="21"/>
              </w:rPr>
              <w:t>陕西盈动矿业有限责任公司（“盈动矿业”）</w:t>
            </w:r>
          </w:p>
        </w:tc>
        <w:tc>
          <w:tcPr>
            <w:tcW w:w="475"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77.54%</w:t>
            </w:r>
          </w:p>
        </w:tc>
        <w:tc>
          <w:tcPr>
            <w:tcW w:w="823" w:type="pct"/>
            <w:shd w:val="clear" w:color="auto" w:fill="auto"/>
            <w:vAlign w:val="center"/>
          </w:tcPr>
          <w:p>
            <w:pPr>
              <w:widowControl w:val="0"/>
              <w:adjustRightInd w:val="0"/>
              <w:snapToGrid w:val="0"/>
              <w:jc w:val="right"/>
              <w:rPr>
                <w:rFonts w:hint="eastAsia"/>
                <w:color w:val="000000"/>
                <w:sz w:val="21"/>
                <w:szCs w:val="21"/>
              </w:rPr>
            </w:pPr>
            <w:r>
              <w:rPr>
                <w:color w:val="000000"/>
                <w:sz w:val="21"/>
                <w:szCs w:val="21"/>
              </w:rPr>
              <w:t xml:space="preserve">10,500.00 </w:t>
            </w:r>
          </w:p>
        </w:tc>
        <w:tc>
          <w:tcPr>
            <w:tcW w:w="1140" w:type="pct"/>
            <w:shd w:val="clear" w:color="auto" w:fill="auto"/>
            <w:vAlign w:val="center"/>
          </w:tcPr>
          <w:p>
            <w:pPr>
              <w:widowControl w:val="0"/>
              <w:adjustRightInd w:val="0"/>
              <w:snapToGrid w:val="0"/>
              <w:jc w:val="center"/>
              <w:rPr>
                <w:rFonts w:hint="eastAsia"/>
                <w:color w:val="000000"/>
                <w:sz w:val="21"/>
                <w:szCs w:val="21"/>
              </w:rPr>
            </w:pPr>
            <w:r>
              <w:rPr>
                <w:rFonts w:hint="eastAsia"/>
                <w:color w:val="000000"/>
                <w:sz w:val="21"/>
                <w:szCs w:val="21"/>
              </w:rPr>
              <w:t>煤炭批发经营</w:t>
            </w:r>
          </w:p>
        </w:tc>
      </w:tr>
    </w:tbl>
    <w:p>
      <w:pPr>
        <w:adjustRightInd w:val="0"/>
        <w:snapToGrid w:val="0"/>
        <w:spacing w:line="40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注1：持股比例为穿透至西北矿业层面对各下属公司的持股比例</w:t>
      </w:r>
      <w:bookmarkStart w:id="4" w:name="_Hlk132189304"/>
      <w:r>
        <w:rPr>
          <w:rFonts w:hint="eastAsia" w:ascii="楷体_GB2312" w:hAnsi="楷体_GB2312" w:eastAsia="楷体_GB2312" w:cs="楷体_GB2312"/>
        </w:rPr>
        <w:t>；</w:t>
      </w:r>
    </w:p>
    <w:p>
      <w:pPr>
        <w:adjustRightInd w:val="0"/>
        <w:snapToGrid w:val="0"/>
        <w:spacing w:line="40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注2：截至本公告日，西北矿业尚持有淄博矿业集团设计院有限责任公司1</w:t>
      </w:r>
      <w:r>
        <w:rPr>
          <w:rFonts w:ascii="楷体_GB2312" w:hAnsi="楷体_GB2312" w:eastAsia="楷体_GB2312" w:cs="楷体_GB2312"/>
        </w:rPr>
        <w:t>00%</w:t>
      </w:r>
      <w:r>
        <w:rPr>
          <w:rFonts w:hint="eastAsia" w:ascii="楷体_GB2312" w:hAnsi="楷体_GB2312" w:eastAsia="楷体_GB2312" w:cs="楷体_GB2312"/>
        </w:rPr>
        <w:t>股权，该等股权将按照本次交易协议约定于交割前完成工商变更登记。工商变更登记完成后，西北矿业将不再持有淄博矿业集团设计院有限责任公司股权，淄博矿业集团设计院有限责任公司股权亦未纳入本次交易的审计和资产评估范围。</w:t>
      </w:r>
    </w:p>
    <w:bookmarkEnd w:id="4"/>
    <w:p>
      <w:pPr>
        <w:adjustRightInd w:val="0"/>
        <w:snapToGrid w:val="0"/>
        <w:spacing w:line="520" w:lineRule="exact"/>
        <w:ind w:firstLine="562" w:firstLineChars="200"/>
        <w:rPr>
          <w:rFonts w:hint="eastAsia" w:cs="Times New Roman" w:asciiTheme="minorEastAsia" w:hAnsiTheme="minorEastAsia" w:eastAsiaTheme="minorEastAsia"/>
          <w:b/>
          <w:bCs/>
          <w:sz w:val="28"/>
          <w:szCs w:val="28"/>
        </w:rPr>
        <w:sectPr>
          <w:footerReference r:id="rId5" w:type="default"/>
          <w:pgSz w:w="11906" w:h="16838"/>
          <w:pgMar w:top="1440" w:right="1800" w:bottom="1440" w:left="1800" w:header="851" w:footer="992" w:gutter="0"/>
          <w:cols w:space="720" w:num="1"/>
          <w:docGrid w:type="lines" w:linePitch="312" w:charSpace="0"/>
        </w:sectPr>
      </w:pPr>
    </w:p>
    <w:p>
      <w:pPr>
        <w:adjustRightInd w:val="0"/>
        <w:snapToGrid w:val="0"/>
        <w:spacing w:line="520" w:lineRule="exact"/>
        <w:ind w:firstLine="562" w:firstLineChars="200"/>
        <w:rPr>
          <w:rFonts w:hint="eastAsia"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3.</w:t>
      </w:r>
      <w:r>
        <w:rPr>
          <w:rFonts w:cs="Times New Roman" w:asciiTheme="minorEastAsia" w:hAnsiTheme="minorEastAsia" w:eastAsiaTheme="minorEastAsia"/>
          <w:b/>
          <w:bCs/>
          <w:sz w:val="28"/>
          <w:szCs w:val="28"/>
        </w:rPr>
        <w:t>所持有矿业权情况</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截至本公告日，西北矿业本部及其控股子公司中，共有12</w:t>
      </w:r>
      <w:r>
        <w:rPr>
          <w:rFonts w:cs="Times New Roman" w:asciiTheme="minorEastAsia" w:hAnsiTheme="minorEastAsia" w:eastAsiaTheme="minorEastAsia"/>
          <w:sz w:val="28"/>
          <w:szCs w:val="28"/>
        </w:rPr>
        <w:t>家煤炭企业，</w:t>
      </w:r>
      <w:r>
        <w:rPr>
          <w:rFonts w:hint="eastAsia" w:cs="Times New Roman" w:asciiTheme="minorEastAsia" w:hAnsiTheme="minorEastAsia" w:eastAsiaTheme="minorEastAsia"/>
          <w:sz w:val="28"/>
          <w:szCs w:val="28"/>
        </w:rPr>
        <w:t>持有14</w:t>
      </w:r>
      <w:r>
        <w:rPr>
          <w:rFonts w:cs="Times New Roman" w:asciiTheme="minorEastAsia" w:hAnsiTheme="minorEastAsia" w:eastAsiaTheme="minorEastAsia"/>
          <w:sz w:val="28"/>
          <w:szCs w:val="28"/>
        </w:rPr>
        <w:t>宗</w:t>
      </w:r>
      <w:r>
        <w:rPr>
          <w:rFonts w:hint="eastAsia" w:cs="Times New Roman" w:asciiTheme="minorEastAsia" w:hAnsiTheme="minorEastAsia" w:eastAsiaTheme="minorEastAsia"/>
          <w:sz w:val="28"/>
          <w:szCs w:val="28"/>
        </w:rPr>
        <w:t>矿业</w:t>
      </w:r>
      <w:r>
        <w:rPr>
          <w:rFonts w:cs="Times New Roman" w:asciiTheme="minorEastAsia" w:hAnsiTheme="minorEastAsia" w:eastAsiaTheme="minorEastAsia"/>
          <w:sz w:val="28"/>
          <w:szCs w:val="28"/>
        </w:rPr>
        <w:t>权</w:t>
      </w:r>
      <w:r>
        <w:rPr>
          <w:rFonts w:hint="eastAsia" w:cs="Times New Roman" w:asciiTheme="minorEastAsia" w:hAnsiTheme="minorEastAsia" w:eastAsiaTheme="minorEastAsia"/>
          <w:sz w:val="28"/>
          <w:szCs w:val="28"/>
        </w:rPr>
        <w:t>（包含</w:t>
      </w:r>
      <w:r>
        <w:rPr>
          <w:rFonts w:cs="Times New Roman" w:asciiTheme="minorEastAsia" w:hAnsiTheme="minorEastAsia" w:eastAsiaTheme="minorEastAsia"/>
          <w:sz w:val="28"/>
          <w:szCs w:val="28"/>
        </w:rPr>
        <w:t>12宗采矿权、2宗探矿权）。</w:t>
      </w:r>
      <w:r>
        <w:rPr>
          <w:rFonts w:hint="eastAsia" w:cs="Times New Roman" w:asciiTheme="minorEastAsia" w:hAnsiTheme="minorEastAsia" w:eastAsiaTheme="minorEastAsia"/>
          <w:sz w:val="28"/>
          <w:szCs w:val="28"/>
        </w:rPr>
        <w:t>西北矿业2022年、2023年、2024年1-11月份，商品煤产量分别为2,950.29万吨、2,833.81万吨、2,861.82万吨。矿业权具体情况如下：</w:t>
      </w:r>
    </w:p>
    <w:tbl>
      <w:tblPr>
        <w:tblStyle w:val="20"/>
        <w:tblW w:w="4971"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641"/>
        <w:gridCol w:w="1325"/>
        <w:gridCol w:w="1417"/>
        <w:gridCol w:w="2269"/>
        <w:gridCol w:w="1417"/>
        <w:gridCol w:w="1417"/>
        <w:gridCol w:w="1559"/>
        <w:gridCol w:w="1567"/>
        <w:gridCol w:w="1297"/>
        <w:gridCol w:w="1011"/>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tblHeader/>
          <w:jc w:val="center"/>
        </w:trPr>
        <w:tc>
          <w:tcPr>
            <w:tcW w:w="230" w:type="pct"/>
            <w:vMerge w:val="restart"/>
            <w:tcMar>
              <w:top w:w="15" w:type="dxa"/>
              <w:left w:w="15" w:type="dxa"/>
              <w:bottom w:w="0" w:type="dxa"/>
              <w:right w:w="15" w:type="dxa"/>
            </w:tcMar>
            <w:vAlign w:val="center"/>
          </w:tcPr>
          <w:p>
            <w:pPr>
              <w:keepNext/>
              <w:adjustRightInd w:val="0"/>
              <w:snapToGrid w:val="0"/>
              <w:jc w:val="center"/>
              <w:textAlignment w:val="center"/>
              <w:rPr>
                <w:rFonts w:hint="eastAsia"/>
                <w:b/>
                <w:color w:val="000000"/>
                <w:sz w:val="21"/>
                <w:szCs w:val="21"/>
              </w:rPr>
            </w:pPr>
            <w:r>
              <w:rPr>
                <w:rFonts w:hint="eastAsia"/>
                <w:b/>
                <w:bCs/>
                <w:color w:val="000000"/>
                <w:kern w:val="24"/>
                <w:sz w:val="21"/>
                <w:szCs w:val="21"/>
              </w:rPr>
              <w:t>序号</w:t>
            </w:r>
          </w:p>
        </w:tc>
        <w:tc>
          <w:tcPr>
            <w:tcW w:w="476" w:type="pct"/>
            <w:vMerge w:val="restart"/>
            <w:tcMar>
              <w:top w:w="15" w:type="dxa"/>
              <w:left w:w="15" w:type="dxa"/>
              <w:bottom w:w="0" w:type="dxa"/>
              <w:right w:w="15" w:type="dxa"/>
            </w:tcMar>
            <w:vAlign w:val="center"/>
          </w:tcPr>
          <w:p>
            <w:pPr>
              <w:keepNext/>
              <w:adjustRightInd w:val="0"/>
              <w:snapToGrid w:val="0"/>
              <w:jc w:val="center"/>
              <w:rPr>
                <w:rFonts w:hint="eastAsia"/>
                <w:b/>
                <w:color w:val="000000"/>
                <w:sz w:val="21"/>
                <w:szCs w:val="21"/>
              </w:rPr>
            </w:pPr>
            <w:r>
              <w:rPr>
                <w:rFonts w:hint="eastAsia"/>
                <w:b/>
                <w:bCs/>
                <w:color w:val="000000"/>
                <w:kern w:val="24"/>
                <w:sz w:val="21"/>
                <w:szCs w:val="21"/>
              </w:rPr>
              <w:t>公司名称</w:t>
            </w:r>
          </w:p>
        </w:tc>
        <w:tc>
          <w:tcPr>
            <w:tcW w:w="509" w:type="pct"/>
            <w:vMerge w:val="restart"/>
            <w:tcMar>
              <w:top w:w="15" w:type="dxa"/>
              <w:left w:w="28" w:type="dxa"/>
              <w:bottom w:w="0" w:type="dxa"/>
              <w:right w:w="2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所属省份</w:t>
            </w:r>
          </w:p>
        </w:tc>
        <w:tc>
          <w:tcPr>
            <w:tcW w:w="815" w:type="pct"/>
            <w:vMerge w:val="restart"/>
            <w:tcMar>
              <w:top w:w="15" w:type="dxa"/>
              <w:left w:w="28" w:type="dxa"/>
              <w:bottom w:w="0" w:type="dxa"/>
              <w:right w:w="2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矿山名称</w:t>
            </w:r>
          </w:p>
        </w:tc>
        <w:tc>
          <w:tcPr>
            <w:tcW w:w="509" w:type="pct"/>
            <w:vMerge w:val="restart"/>
            <w:tcMar>
              <w:top w:w="15" w:type="dxa"/>
              <w:left w:w="15" w:type="dxa"/>
              <w:bottom w:w="0" w:type="dxa"/>
              <w:right w:w="15" w:type="dxa"/>
            </w:tcMar>
            <w:vAlign w:val="center"/>
          </w:tcPr>
          <w:p>
            <w:pPr>
              <w:keepNext/>
              <w:adjustRightInd w:val="0"/>
              <w:snapToGrid w:val="0"/>
              <w:jc w:val="center"/>
              <w:textAlignment w:val="center"/>
              <w:rPr>
                <w:rFonts w:hint="eastAsia"/>
                <w:b/>
                <w:color w:val="000000"/>
                <w:sz w:val="21"/>
                <w:szCs w:val="21"/>
              </w:rPr>
            </w:pPr>
            <w:r>
              <w:rPr>
                <w:rFonts w:hint="eastAsia"/>
                <w:b/>
                <w:bCs/>
                <w:color w:val="000000"/>
                <w:kern w:val="24"/>
                <w:sz w:val="21"/>
                <w:szCs w:val="21"/>
              </w:rPr>
              <w:t>矿业权类型</w:t>
            </w:r>
          </w:p>
        </w:tc>
        <w:tc>
          <w:tcPr>
            <w:tcW w:w="509" w:type="pct"/>
            <w:vMerge w:val="restart"/>
            <w:tcMar>
              <w:top w:w="15" w:type="dxa"/>
              <w:left w:w="28" w:type="dxa"/>
              <w:bottom w:w="0" w:type="dxa"/>
              <w:right w:w="28" w:type="dxa"/>
            </w:tcMar>
            <w:vAlign w:val="center"/>
          </w:tcPr>
          <w:p>
            <w:pPr>
              <w:keepNext/>
              <w:adjustRightInd w:val="0"/>
              <w:snapToGrid w:val="0"/>
              <w:jc w:val="center"/>
              <w:textAlignment w:val="center"/>
              <w:rPr>
                <w:rFonts w:hint="eastAsia"/>
                <w:b/>
                <w:color w:val="000000"/>
                <w:sz w:val="21"/>
                <w:szCs w:val="21"/>
              </w:rPr>
            </w:pPr>
            <w:r>
              <w:rPr>
                <w:rFonts w:hint="eastAsia"/>
                <w:b/>
                <w:bCs/>
                <w:color w:val="000000"/>
                <w:kern w:val="24"/>
                <w:sz w:val="21"/>
                <w:szCs w:val="21"/>
              </w:rPr>
              <w:t>主要煤类</w:t>
            </w:r>
          </w:p>
        </w:tc>
        <w:tc>
          <w:tcPr>
            <w:tcW w:w="1123" w:type="pct"/>
            <w:gridSpan w:val="2"/>
            <w:tcMar>
              <w:top w:w="15" w:type="dxa"/>
              <w:left w:w="28" w:type="dxa"/>
              <w:bottom w:w="0" w:type="dxa"/>
              <w:right w:w="28" w:type="dxa"/>
            </w:tcMar>
            <w:vAlign w:val="center"/>
          </w:tcPr>
          <w:p>
            <w:pPr>
              <w:keepNext/>
              <w:adjustRightInd w:val="0"/>
              <w:snapToGrid w:val="0"/>
              <w:jc w:val="center"/>
              <w:rPr>
                <w:rFonts w:hint="eastAsia"/>
                <w:b/>
                <w:color w:val="000000"/>
                <w:sz w:val="21"/>
                <w:szCs w:val="21"/>
              </w:rPr>
            </w:pPr>
            <w:r>
              <w:rPr>
                <w:rFonts w:hint="eastAsia"/>
                <w:b/>
                <w:bCs/>
                <w:color w:val="000000"/>
                <w:kern w:val="24"/>
                <w:sz w:val="21"/>
                <w:szCs w:val="21"/>
              </w:rPr>
              <w:t>评估利用口径</w:t>
            </w:r>
            <w:r>
              <w:rPr>
                <w:rFonts w:hint="eastAsia"/>
                <w:b/>
                <w:bCs/>
                <w:color w:val="000000"/>
                <w:kern w:val="24"/>
                <w:position w:val="7"/>
                <w:sz w:val="21"/>
                <w:szCs w:val="21"/>
                <w:vertAlign w:val="superscript"/>
              </w:rPr>
              <w:t>1</w:t>
            </w:r>
          </w:p>
        </w:tc>
        <w:tc>
          <w:tcPr>
            <w:tcW w:w="466" w:type="pct"/>
            <w:vMerge w:val="restart"/>
            <w:tcMar>
              <w:top w:w="15" w:type="dxa"/>
              <w:left w:w="28" w:type="dxa"/>
              <w:bottom w:w="0" w:type="dxa"/>
              <w:right w:w="28" w:type="dxa"/>
            </w:tcMar>
            <w:vAlign w:val="center"/>
          </w:tcPr>
          <w:p>
            <w:pPr>
              <w:keepNext/>
              <w:adjustRightInd w:val="0"/>
              <w:snapToGrid w:val="0"/>
              <w:jc w:val="center"/>
              <w:rPr>
                <w:rFonts w:hint="eastAsia"/>
                <w:b/>
                <w:color w:val="000000"/>
                <w:sz w:val="21"/>
                <w:szCs w:val="21"/>
              </w:rPr>
            </w:pPr>
            <w:r>
              <w:rPr>
                <w:rFonts w:hint="eastAsia"/>
                <w:b/>
                <w:bCs/>
                <w:color w:val="000000"/>
                <w:sz w:val="21"/>
                <w:szCs w:val="21"/>
              </w:rPr>
              <w:t>核定产能</w:t>
            </w:r>
            <w:r>
              <w:rPr>
                <w:rFonts w:hint="eastAsia"/>
                <w:b/>
                <w:bCs/>
                <w:color w:val="000000"/>
                <w:kern w:val="24"/>
                <w:position w:val="7"/>
                <w:sz w:val="21"/>
                <w:szCs w:val="21"/>
                <w:vertAlign w:val="superscript"/>
              </w:rPr>
              <w:t>2</w:t>
            </w:r>
            <w:r>
              <w:rPr>
                <w:rFonts w:hint="eastAsia"/>
                <w:b/>
                <w:bCs/>
                <w:color w:val="000000"/>
                <w:sz w:val="21"/>
                <w:szCs w:val="21"/>
              </w:rPr>
              <w:t>(万吨/年)</w:t>
            </w:r>
          </w:p>
        </w:tc>
        <w:tc>
          <w:tcPr>
            <w:tcW w:w="363" w:type="pct"/>
            <w:vMerge w:val="restart"/>
            <w:tcMar>
              <w:top w:w="15" w:type="dxa"/>
              <w:left w:w="28" w:type="dxa"/>
              <w:bottom w:w="0" w:type="dxa"/>
              <w:right w:w="28" w:type="dxa"/>
            </w:tcMar>
            <w:vAlign w:val="center"/>
          </w:tcPr>
          <w:p>
            <w:pPr>
              <w:keepNext/>
              <w:adjustRightInd w:val="0"/>
              <w:snapToGrid w:val="0"/>
              <w:jc w:val="center"/>
              <w:rPr>
                <w:rFonts w:hint="eastAsia"/>
                <w:b/>
                <w:color w:val="000000"/>
                <w:sz w:val="21"/>
                <w:szCs w:val="21"/>
              </w:rPr>
            </w:pPr>
            <w:r>
              <w:rPr>
                <w:rFonts w:hint="eastAsia"/>
                <w:b/>
                <w:bCs/>
                <w:color w:val="000000"/>
                <w:kern w:val="24"/>
                <w:sz w:val="21"/>
                <w:szCs w:val="21"/>
              </w:rPr>
              <w:t>剩余服务年限(年)</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tblHeader/>
          <w:jc w:val="center"/>
        </w:trPr>
        <w:tc>
          <w:tcPr>
            <w:tcW w:w="230" w:type="pct"/>
            <w:vMerge w:val="continue"/>
            <w:vAlign w:val="center"/>
          </w:tcPr>
          <w:p>
            <w:pPr>
              <w:keepNext/>
              <w:adjustRightInd w:val="0"/>
              <w:snapToGrid w:val="0"/>
              <w:jc w:val="center"/>
              <w:rPr>
                <w:rFonts w:hint="eastAsia"/>
                <w:b/>
                <w:sz w:val="21"/>
                <w:szCs w:val="21"/>
              </w:rPr>
            </w:pPr>
          </w:p>
        </w:tc>
        <w:tc>
          <w:tcPr>
            <w:tcW w:w="476" w:type="pct"/>
            <w:vMerge w:val="continue"/>
            <w:vAlign w:val="center"/>
          </w:tcPr>
          <w:p>
            <w:pPr>
              <w:keepNext/>
              <w:adjustRightInd w:val="0"/>
              <w:snapToGrid w:val="0"/>
              <w:jc w:val="center"/>
              <w:rPr>
                <w:rFonts w:hint="eastAsia"/>
                <w:b/>
                <w:sz w:val="21"/>
                <w:szCs w:val="21"/>
              </w:rPr>
            </w:pPr>
          </w:p>
        </w:tc>
        <w:tc>
          <w:tcPr>
            <w:tcW w:w="509" w:type="pct"/>
            <w:vMerge w:val="continue"/>
            <w:vAlign w:val="center"/>
          </w:tcPr>
          <w:p>
            <w:pPr>
              <w:keepNext/>
              <w:adjustRightInd w:val="0"/>
              <w:snapToGrid w:val="0"/>
              <w:jc w:val="center"/>
              <w:rPr>
                <w:rFonts w:hint="eastAsia"/>
                <w:b/>
                <w:sz w:val="21"/>
                <w:szCs w:val="21"/>
              </w:rPr>
            </w:pPr>
          </w:p>
        </w:tc>
        <w:tc>
          <w:tcPr>
            <w:tcW w:w="815" w:type="pct"/>
            <w:vMerge w:val="continue"/>
            <w:vAlign w:val="center"/>
          </w:tcPr>
          <w:p>
            <w:pPr>
              <w:keepNext/>
              <w:adjustRightInd w:val="0"/>
              <w:snapToGrid w:val="0"/>
              <w:jc w:val="center"/>
              <w:rPr>
                <w:rFonts w:hint="eastAsia"/>
                <w:b/>
                <w:sz w:val="21"/>
                <w:szCs w:val="21"/>
              </w:rPr>
            </w:pPr>
          </w:p>
        </w:tc>
        <w:tc>
          <w:tcPr>
            <w:tcW w:w="509" w:type="pct"/>
            <w:vMerge w:val="continue"/>
            <w:vAlign w:val="center"/>
          </w:tcPr>
          <w:p>
            <w:pPr>
              <w:keepNext/>
              <w:adjustRightInd w:val="0"/>
              <w:snapToGrid w:val="0"/>
              <w:jc w:val="center"/>
              <w:rPr>
                <w:rFonts w:hint="eastAsia"/>
                <w:b/>
                <w:sz w:val="21"/>
                <w:szCs w:val="21"/>
              </w:rPr>
            </w:pPr>
          </w:p>
        </w:tc>
        <w:tc>
          <w:tcPr>
            <w:tcW w:w="509" w:type="pct"/>
            <w:vMerge w:val="continue"/>
            <w:vAlign w:val="center"/>
          </w:tcPr>
          <w:p>
            <w:pPr>
              <w:keepNext/>
              <w:adjustRightInd w:val="0"/>
              <w:snapToGrid w:val="0"/>
              <w:jc w:val="center"/>
              <w:rPr>
                <w:rFonts w:hint="eastAsia"/>
                <w:b/>
                <w:sz w:val="21"/>
                <w:szCs w:val="21"/>
              </w:rPr>
            </w:pPr>
          </w:p>
        </w:tc>
        <w:tc>
          <w:tcPr>
            <w:tcW w:w="560" w:type="pct"/>
            <w:tcMar>
              <w:top w:w="15" w:type="dxa"/>
              <w:left w:w="28" w:type="dxa"/>
              <w:bottom w:w="0" w:type="dxa"/>
              <w:right w:w="28" w:type="dxa"/>
            </w:tcMar>
            <w:vAlign w:val="center"/>
          </w:tcPr>
          <w:p>
            <w:pPr>
              <w:keepNext/>
              <w:adjustRightInd w:val="0"/>
              <w:snapToGrid w:val="0"/>
              <w:jc w:val="center"/>
              <w:textAlignment w:val="center"/>
              <w:rPr>
                <w:rFonts w:hint="eastAsia"/>
                <w:b/>
                <w:color w:val="000000"/>
                <w:sz w:val="21"/>
                <w:szCs w:val="21"/>
              </w:rPr>
            </w:pPr>
            <w:r>
              <w:rPr>
                <w:rFonts w:hint="eastAsia"/>
                <w:b/>
                <w:bCs/>
                <w:color w:val="000000"/>
                <w:kern w:val="24"/>
                <w:sz w:val="21"/>
                <w:szCs w:val="21"/>
              </w:rPr>
              <w:t>资源量(亿吨)</w:t>
            </w:r>
          </w:p>
        </w:tc>
        <w:tc>
          <w:tcPr>
            <w:tcW w:w="563" w:type="pct"/>
            <w:tcMar>
              <w:top w:w="15" w:type="dxa"/>
              <w:left w:w="28" w:type="dxa"/>
              <w:bottom w:w="0" w:type="dxa"/>
              <w:right w:w="28" w:type="dxa"/>
            </w:tcMar>
            <w:vAlign w:val="center"/>
          </w:tcPr>
          <w:p>
            <w:pPr>
              <w:keepNext/>
              <w:adjustRightInd w:val="0"/>
              <w:snapToGrid w:val="0"/>
              <w:jc w:val="center"/>
              <w:textAlignment w:val="center"/>
              <w:rPr>
                <w:rFonts w:hint="eastAsia"/>
                <w:b/>
                <w:color w:val="000000"/>
                <w:sz w:val="21"/>
                <w:szCs w:val="21"/>
              </w:rPr>
            </w:pPr>
            <w:r>
              <w:rPr>
                <w:rFonts w:hint="eastAsia"/>
                <w:b/>
                <w:bCs/>
                <w:color w:val="000000"/>
                <w:kern w:val="24"/>
                <w:sz w:val="21"/>
                <w:szCs w:val="21"/>
              </w:rPr>
              <w:t>可采储量(亿吨)</w:t>
            </w:r>
          </w:p>
        </w:tc>
        <w:tc>
          <w:tcPr>
            <w:tcW w:w="466" w:type="pct"/>
            <w:vMerge w:val="continue"/>
            <w:vAlign w:val="center"/>
          </w:tcPr>
          <w:p>
            <w:pPr>
              <w:keepNext/>
              <w:adjustRightInd w:val="0"/>
              <w:snapToGrid w:val="0"/>
              <w:jc w:val="center"/>
              <w:rPr>
                <w:rFonts w:hint="eastAsia"/>
                <w:b/>
                <w:sz w:val="21"/>
                <w:szCs w:val="21"/>
              </w:rPr>
            </w:pPr>
          </w:p>
        </w:tc>
        <w:tc>
          <w:tcPr>
            <w:tcW w:w="363" w:type="pct"/>
            <w:vMerge w:val="continue"/>
            <w:vAlign w:val="center"/>
          </w:tcPr>
          <w:p>
            <w:pPr>
              <w:keepNext/>
              <w:adjustRightInd w:val="0"/>
              <w:snapToGrid w:val="0"/>
              <w:jc w:val="center"/>
              <w:rPr>
                <w:rFonts w:hint="eastAsia"/>
                <w:b/>
                <w:sz w:val="21"/>
                <w:szCs w:val="21"/>
              </w:rPr>
            </w:pP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1</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正通煤业</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陕西</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高家堡煤矿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动力煤（不粘煤、弱粘煤）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7.77</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4.46</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450.00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66.08</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2</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邵寨煤业</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甘肃</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邵寨煤矿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动力煤（不粘煤）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1.66</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1.07</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240.00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32.95</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3</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五举煤业</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甘肃</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五举煤矿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动力煤（不粘煤、长焰煤）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2.26</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1.61</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300.00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38.45</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4</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亭南煤业</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陕西</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亭南煤矿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动力煤（不粘煤）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3.39</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0.89</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450.00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14.08</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5</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双欣矿业</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内蒙古</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杨家村煤矿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动力煤（不粘煤、长焰煤）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3.40</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2.33</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600.00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20.19</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6</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永明煤矿</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陕西</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永明煤矿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sz w:val="21"/>
                <w:szCs w:val="21"/>
              </w:rPr>
              <w:t>配焦煤</w:t>
            </w:r>
            <w:r>
              <w:rPr>
                <w:rFonts w:hint="eastAsia"/>
                <w:sz w:val="21"/>
                <w:szCs w:val="21"/>
              </w:rPr>
              <w:t>（气煤）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0.11</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0.07</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45.00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12.14</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7</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大恒煤业</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山西</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大恒煤矿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1.70</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0.50</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360.00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11.58</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8</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望田煤业</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山西</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望田煤矿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asciiTheme="majorEastAsia" w:hAnsiTheme="majorEastAsia" w:eastAsiaTheme="majorEastAsia"/>
                <w:sz w:val="21"/>
                <w:szCs w:val="21"/>
              </w:rPr>
            </w:pPr>
            <w:r>
              <w:rPr>
                <w:rFonts w:hint="eastAsia" w:cs="楷体_GB2312" w:asciiTheme="majorEastAsia" w:hAnsiTheme="majorEastAsia" w:eastAsiaTheme="majorEastAsia"/>
                <w:color w:val="000000"/>
                <w:sz w:val="21"/>
                <w:szCs w:val="21"/>
                <w:lang w:bidi="ar"/>
              </w:rPr>
              <w:t>配焦煤（气煤）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0.77</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0.33</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180.00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13.25</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9</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黄陶勒盖</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内蒙古</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巴彦高勒煤矿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w:t>
            </w:r>
            <w:r>
              <w:rPr>
                <w:rFonts w:hint="eastAsia"/>
                <w:color w:val="000000"/>
                <w:sz w:val="21"/>
                <w:szCs w:val="21"/>
              </w:rPr>
              <w:t>不粘煤、长焰煤）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8.37</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5.44</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800.00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85.24</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10</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平煤长安</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陕西</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杨家坪煤矿（在建）</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w:t>
            </w:r>
            <w:r>
              <w:rPr>
                <w:rFonts w:hint="eastAsia"/>
                <w:color w:val="000000"/>
                <w:sz w:val="21"/>
                <w:szCs w:val="21"/>
              </w:rPr>
              <w:t>不粘煤、弱粘煤、长焰煤）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10.30</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4.82</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500.00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68.85</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11</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聚能能源</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内蒙古</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油房壕煤矿（在建）</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w:t>
            </w:r>
            <w:r>
              <w:rPr>
                <w:rFonts w:hint="eastAsia"/>
                <w:color w:val="000000"/>
                <w:sz w:val="21"/>
                <w:szCs w:val="21"/>
              </w:rPr>
              <w:t>不粘煤、长焰煤）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8.05</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4.70</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500.00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67.13</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12</w:t>
            </w:r>
          </w:p>
        </w:tc>
        <w:tc>
          <w:tcPr>
            <w:tcW w:w="476" w:type="pct"/>
            <w:tcMar>
              <w:top w:w="15" w:type="dxa"/>
              <w:left w:w="15" w:type="dxa"/>
              <w:bottom w:w="0" w:type="dxa"/>
              <w:right w:w="15" w:type="dxa"/>
            </w:tcMar>
            <w:vAlign w:val="center"/>
          </w:tcPr>
          <w:p>
            <w:pPr>
              <w:adjustRightInd w:val="0"/>
              <w:snapToGrid w:val="0"/>
              <w:jc w:val="center"/>
              <w:rPr>
                <w:rFonts w:hint="eastAsia"/>
                <w:sz w:val="21"/>
                <w:szCs w:val="21"/>
              </w:rPr>
            </w:pPr>
            <w:r>
              <w:rPr>
                <w:rFonts w:hint="eastAsia"/>
                <w:color w:val="000000"/>
                <w:kern w:val="24"/>
                <w:sz w:val="21"/>
                <w:szCs w:val="21"/>
              </w:rPr>
              <w:t>天竣能源</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甘肃</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刘园子煤矿</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采矿权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w:t>
            </w:r>
            <w:r>
              <w:rPr>
                <w:rFonts w:hint="eastAsia"/>
                <w:color w:val="000000"/>
                <w:sz w:val="21"/>
                <w:szCs w:val="21"/>
              </w:rPr>
              <w:t>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0.83</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0.64</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180.00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25.92</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3048" w:type="pct"/>
            <w:gridSpan w:val="6"/>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b/>
                <w:bCs/>
                <w:color w:val="000000"/>
                <w:kern w:val="24"/>
                <w:sz w:val="21"/>
                <w:szCs w:val="21"/>
              </w:rPr>
              <w:t>采矿权资产合计</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48.61</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26.86</w:t>
            </w:r>
          </w:p>
        </w:tc>
        <w:tc>
          <w:tcPr>
            <w:tcW w:w="466"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 xml:space="preserve">4,605.00 </w:t>
            </w:r>
          </w:p>
        </w:tc>
        <w:tc>
          <w:tcPr>
            <w:tcW w:w="363" w:type="pct"/>
            <w:tcMar>
              <w:top w:w="12" w:type="dxa"/>
              <w:left w:w="12" w:type="dxa"/>
              <w:bottom w:w="0" w:type="dxa"/>
              <w:right w:w="12" w:type="dxa"/>
            </w:tcMar>
            <w:vAlign w:val="center"/>
          </w:tcPr>
          <w:p>
            <w:pPr>
              <w:adjustRightInd w:val="0"/>
              <w:snapToGrid w:val="0"/>
              <w:jc w:val="right"/>
              <w:textAlignment w:val="bottom"/>
              <w:rPr>
                <w:rFonts w:hint="eastAsia"/>
                <w:sz w:val="21"/>
                <w:szCs w:val="21"/>
              </w:rPr>
            </w:pPr>
            <w:r>
              <w:rPr>
                <w:rFonts w:hint="eastAsia"/>
                <w:b/>
                <w:bCs/>
                <w:color w:val="000000"/>
                <w:kern w:val="24"/>
                <w:sz w:val="21"/>
                <w:szCs w:val="21"/>
              </w:rPr>
              <w:t>-</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1</w:t>
            </w:r>
          </w:p>
        </w:tc>
        <w:tc>
          <w:tcPr>
            <w:tcW w:w="476"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天竣能源</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甘肃</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甘肃省环县沙井子矿区马福川井田勘探（保留）</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探矿权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动力煤（长焰煤、不粘煤）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9.11</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5.58</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800.00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71.13</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230"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2</w:t>
            </w:r>
          </w:p>
        </w:tc>
        <w:tc>
          <w:tcPr>
            <w:tcW w:w="476"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天竣能源</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甘肃</w:t>
            </w:r>
          </w:p>
        </w:tc>
        <w:tc>
          <w:tcPr>
            <w:tcW w:w="815"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color w:val="000000"/>
                <w:sz w:val="21"/>
                <w:szCs w:val="21"/>
              </w:rPr>
              <w:t>甘肃省环县沙井子矿区毛家川井田勘探（保留）</w:t>
            </w:r>
          </w:p>
        </w:tc>
        <w:tc>
          <w:tcPr>
            <w:tcW w:w="509" w:type="pct"/>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color w:val="000000"/>
                <w:kern w:val="24"/>
                <w:sz w:val="21"/>
                <w:szCs w:val="21"/>
              </w:rPr>
              <w:t>探矿权</w:t>
            </w:r>
          </w:p>
        </w:tc>
        <w:tc>
          <w:tcPr>
            <w:tcW w:w="509" w:type="pct"/>
            <w:tcMar>
              <w:top w:w="15" w:type="dxa"/>
              <w:left w:w="28" w:type="dxa"/>
              <w:bottom w:w="0" w:type="dxa"/>
              <w:right w:w="28" w:type="dxa"/>
            </w:tcMar>
            <w:vAlign w:val="center"/>
          </w:tcPr>
          <w:p>
            <w:pPr>
              <w:adjustRightInd w:val="0"/>
              <w:snapToGrid w:val="0"/>
              <w:jc w:val="center"/>
              <w:rPr>
                <w:rFonts w:hint="eastAsia"/>
                <w:sz w:val="21"/>
                <w:szCs w:val="21"/>
              </w:rPr>
            </w:pPr>
            <w:r>
              <w:rPr>
                <w:rFonts w:hint="eastAsia"/>
                <w:sz w:val="21"/>
                <w:szCs w:val="21"/>
              </w:rPr>
              <w:t>动力煤（长焰煤）</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5.80</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4.08</w:t>
            </w:r>
          </w:p>
        </w:tc>
        <w:tc>
          <w:tcPr>
            <w:tcW w:w="466" w:type="pct"/>
            <w:tcMar>
              <w:top w:w="15" w:type="dxa"/>
              <w:left w:w="28" w:type="dxa"/>
              <w:bottom w:w="0" w:type="dxa"/>
              <w:right w:w="28" w:type="dxa"/>
            </w:tcMar>
            <w:vAlign w:val="center"/>
          </w:tcPr>
          <w:p>
            <w:pPr>
              <w:adjustRightInd w:val="0"/>
              <w:snapToGrid w:val="0"/>
              <w:jc w:val="right"/>
              <w:rPr>
                <w:rFonts w:hint="eastAsia"/>
                <w:sz w:val="21"/>
                <w:szCs w:val="21"/>
              </w:rPr>
            </w:pPr>
            <w:r>
              <w:rPr>
                <w:rFonts w:hint="eastAsia"/>
                <w:color w:val="000000"/>
                <w:sz w:val="21"/>
                <w:szCs w:val="21"/>
              </w:rPr>
              <w:t xml:space="preserve">700.00 </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color w:val="000000"/>
                <w:kern w:val="24"/>
                <w:sz w:val="21"/>
                <w:szCs w:val="21"/>
              </w:rPr>
              <w:t>59.53</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3048" w:type="pct"/>
            <w:gridSpan w:val="6"/>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b/>
                <w:bCs/>
                <w:color w:val="000000"/>
                <w:kern w:val="24"/>
                <w:sz w:val="21"/>
                <w:szCs w:val="21"/>
              </w:rPr>
              <w:t>探矿权资产合计</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14.91</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9.66</w:t>
            </w:r>
          </w:p>
        </w:tc>
        <w:tc>
          <w:tcPr>
            <w:tcW w:w="466"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 xml:space="preserve">1,500.00 </w:t>
            </w:r>
          </w:p>
        </w:tc>
        <w:tc>
          <w:tcPr>
            <w:tcW w:w="363" w:type="pct"/>
            <w:tcMar>
              <w:top w:w="12" w:type="dxa"/>
              <w:left w:w="12" w:type="dxa"/>
              <w:bottom w:w="0" w:type="dxa"/>
              <w:right w:w="12" w:type="dxa"/>
            </w:tcMar>
            <w:vAlign w:val="center"/>
          </w:tcPr>
          <w:p>
            <w:pPr>
              <w:adjustRightInd w:val="0"/>
              <w:snapToGrid w:val="0"/>
              <w:jc w:val="right"/>
              <w:textAlignment w:val="bottom"/>
              <w:rPr>
                <w:rFonts w:hint="eastAsia"/>
                <w:sz w:val="21"/>
                <w:szCs w:val="21"/>
              </w:rPr>
            </w:pPr>
            <w:r>
              <w:rPr>
                <w:rFonts w:hint="eastAsia"/>
                <w:b/>
                <w:bCs/>
                <w:color w:val="000000"/>
                <w:kern w:val="24"/>
                <w:sz w:val="21"/>
                <w:szCs w:val="21"/>
              </w:rPr>
              <w:t>-</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9" w:hRule="atLeast"/>
          <w:jc w:val="center"/>
        </w:trPr>
        <w:tc>
          <w:tcPr>
            <w:tcW w:w="3048" w:type="pct"/>
            <w:gridSpan w:val="6"/>
            <w:tcMar>
              <w:top w:w="15" w:type="dxa"/>
              <w:left w:w="15" w:type="dxa"/>
              <w:bottom w:w="0" w:type="dxa"/>
              <w:right w:w="15" w:type="dxa"/>
            </w:tcMar>
            <w:vAlign w:val="center"/>
          </w:tcPr>
          <w:p>
            <w:pPr>
              <w:adjustRightInd w:val="0"/>
              <w:snapToGrid w:val="0"/>
              <w:jc w:val="center"/>
              <w:textAlignment w:val="center"/>
              <w:rPr>
                <w:rFonts w:hint="eastAsia"/>
                <w:sz w:val="21"/>
                <w:szCs w:val="21"/>
              </w:rPr>
            </w:pPr>
            <w:r>
              <w:rPr>
                <w:rFonts w:hint="eastAsia"/>
                <w:b/>
                <w:bCs/>
                <w:color w:val="000000"/>
                <w:kern w:val="24"/>
                <w:sz w:val="21"/>
                <w:szCs w:val="21"/>
              </w:rPr>
              <w:t>采矿权和探矿权资产总计</w:t>
            </w:r>
            <w:r>
              <w:rPr>
                <w:rFonts w:hint="eastAsia"/>
                <w:b/>
                <w:bCs/>
                <w:color w:val="000000"/>
                <w:kern w:val="24"/>
                <w:sz w:val="21"/>
                <w:szCs w:val="21"/>
                <w:vertAlign w:val="superscript"/>
              </w:rPr>
              <w:t>3</w:t>
            </w:r>
          </w:p>
        </w:tc>
        <w:tc>
          <w:tcPr>
            <w:tcW w:w="560"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63.52</w:t>
            </w:r>
          </w:p>
        </w:tc>
        <w:tc>
          <w:tcPr>
            <w:tcW w:w="5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36.52</w:t>
            </w:r>
          </w:p>
        </w:tc>
        <w:tc>
          <w:tcPr>
            <w:tcW w:w="466"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6,105.00</w:t>
            </w:r>
          </w:p>
        </w:tc>
        <w:tc>
          <w:tcPr>
            <w:tcW w:w="363" w:type="pct"/>
            <w:tcMar>
              <w:top w:w="12" w:type="dxa"/>
              <w:left w:w="12" w:type="dxa"/>
              <w:bottom w:w="0" w:type="dxa"/>
              <w:right w:w="12" w:type="dxa"/>
            </w:tcMar>
            <w:vAlign w:val="center"/>
          </w:tcPr>
          <w:p>
            <w:pPr>
              <w:adjustRightInd w:val="0"/>
              <w:snapToGrid w:val="0"/>
              <w:jc w:val="right"/>
              <w:textAlignment w:val="center"/>
              <w:rPr>
                <w:rFonts w:hint="eastAsia"/>
                <w:sz w:val="21"/>
                <w:szCs w:val="21"/>
              </w:rPr>
            </w:pPr>
            <w:r>
              <w:rPr>
                <w:rFonts w:hint="eastAsia"/>
                <w:b/>
                <w:bCs/>
                <w:color w:val="000000"/>
                <w:kern w:val="24"/>
                <w:sz w:val="21"/>
                <w:szCs w:val="21"/>
              </w:rPr>
              <w:t>-</w:t>
            </w:r>
          </w:p>
        </w:tc>
      </w:tr>
    </w:tbl>
    <w:p>
      <w:pPr>
        <w:adjustRightInd w:val="0"/>
        <w:snapToGrid w:val="0"/>
        <w:spacing w:line="34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注1：评估利用口径数据</w:t>
      </w:r>
      <w:bookmarkStart w:id="5" w:name="_Hlk190779667"/>
      <w:r>
        <w:rPr>
          <w:rFonts w:hint="eastAsia" w:ascii="楷体_GB2312" w:hAnsi="楷体_GB2312" w:eastAsia="楷体_GB2312" w:cs="楷体_GB2312"/>
        </w:rPr>
        <w:t>取自北京中企华资产评估有限责任公司出具的矿权评估报告</w:t>
      </w:r>
      <w:bookmarkEnd w:id="5"/>
      <w:r>
        <w:rPr>
          <w:rFonts w:hint="eastAsia" w:ascii="楷体_GB2312" w:hAnsi="楷体_GB2312" w:eastAsia="楷体_GB2312" w:cs="楷体_GB2312"/>
        </w:rPr>
        <w:t>中所载的截至2024年11月30日的评估利用资源量及可采储量。评估利用资源量指上述合计资源量中，用于作为评估计算可采储量的基础数据，即参与评估计算的（探明的+控制的）资源量和按可信度系数折算后的推断的资源量合计数。评估利用可采储量是指评估利用资源量扣除各种损失后可采出的储量。</w:t>
      </w:r>
    </w:p>
    <w:p>
      <w:pPr>
        <w:adjustRightInd w:val="0"/>
        <w:snapToGrid w:val="0"/>
        <w:spacing w:line="34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根据《固体矿产资源储量分类》（中华人民共和国国家标准GB/T17766-2020），截至2023年底，西北矿业合计资源量72.45亿吨，储量（证实储量+可信储量）33.16亿吨（数据来源于经评审备案的储量报告、勘探报告和储量年报等），其中，五举煤矿截至2023年末尚未投产，杨家坪煤矿、油房壕煤矿、马福川煤矿、毛家川煤矿截至本公告披露日尚未投产，无储量年报和证实+可信口径储量，储量系根据评估利用的可采储量。</w:t>
      </w:r>
    </w:p>
    <w:p>
      <w:pPr>
        <w:adjustRightInd w:val="0"/>
        <w:snapToGrid w:val="0"/>
        <w:spacing w:line="34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注2：除天竣能源外，矿业权核定产能数据为截至2024年11月30日的核定产能；天竣能源系根据甘肃省能源局《关于沙井子矿区总体规划修编情况的复函》（甘能函〔2025〕30号），马福川煤矿规划产能800万吨/年（常规产能560万吨/年，储备产能240万吨/年），毛家川煤矿规划产能700万吨/年（常规产能490万吨/年，储备产能210万吨/年），刘园子煤矿规划产能180万吨/年，方案修编稿尚待国家发改委批复。</w:t>
      </w:r>
    </w:p>
    <w:p>
      <w:pPr>
        <w:adjustRightInd w:val="0"/>
        <w:snapToGrid w:val="0"/>
        <w:spacing w:line="520" w:lineRule="exact"/>
        <w:ind w:firstLine="480" w:firstLineChars="200"/>
        <w:jc w:val="both"/>
        <w:rPr>
          <w:rFonts w:hint="eastAsia" w:ascii="楷体_GB2312" w:hAnsi="楷体_GB2312" w:eastAsia="楷体_GB2312" w:cs="楷体_GB2312"/>
        </w:rPr>
        <w:sectPr>
          <w:footerReference r:id="rId6" w:type="default"/>
          <w:pgSz w:w="16838" w:h="11906" w:orient="landscape"/>
          <w:pgMar w:top="1800" w:right="1440" w:bottom="1800" w:left="1440" w:header="851" w:footer="992" w:gutter="0"/>
          <w:cols w:space="720" w:num="1"/>
          <w:docGrid w:type="lines" w:linePitch="312" w:charSpace="0"/>
        </w:sectPr>
      </w:pPr>
      <w:r>
        <w:rPr>
          <w:rFonts w:hint="eastAsia" w:ascii="楷体_GB2312" w:hAnsi="楷体_GB2312" w:eastAsia="楷体_GB2312" w:cs="楷体_GB2312"/>
        </w:rPr>
        <w:t>注3：上表中部分合计数与各明细数相加之和在尾数上如有差异，系四舍五入所致。</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西北矿业下属各矿业权详细情况如下：</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（1）采矿权</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）陕西正通煤业有限责任公司长武县高家堡煤矿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陕西正通煤业有限责任公司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C6100002013101110133086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陕西正通煤业有限责任公司长武县高家堡煤矿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动力煤（不粘煤、弱粘煤）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450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219.1699平方公里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2018年9月28日至2026年9月28日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+370米至-30米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66.08年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2）甘肃灵台邵寨煤业有限公司邵寨煤矿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甘肃灵台邵寨煤业有限公司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C6200002021011110151277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甘肃灵台邵寨煤业有限公司邵寨煤矿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w:t>
            </w:r>
            <w:r>
              <w:rPr>
                <w:rFonts w:cs="Times New Roman"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240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20.1698平方公里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2024年6月24日至2051年1月15日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+520</w:t>
            </w:r>
            <w:r>
              <w:rPr>
                <w:rFonts w:hint="eastAsia" w:cs="Times New Roman" w:asciiTheme="minorEastAsia" w:hAnsiTheme="minorEastAsia" w:eastAsiaTheme="minorEastAsia"/>
                <w:sz w:val="21"/>
                <w:szCs w:val="21"/>
              </w:rPr>
              <w:t>米</w:t>
            </w:r>
            <w:r>
              <w:rPr>
                <w:rFonts w:cs="Times New Roman" w:asciiTheme="minorEastAsia" w:hAnsiTheme="minorEastAsia" w:eastAsiaTheme="minorEastAsia"/>
                <w:sz w:val="21"/>
                <w:szCs w:val="21"/>
              </w:rPr>
              <w:t>至+250</w:t>
            </w:r>
            <w:r>
              <w:rPr>
                <w:rFonts w:hint="eastAsia" w:cs="Times New Roman" w:asciiTheme="minorEastAsia" w:hAnsiTheme="minorEastAsia" w:eastAsiaTheme="minorEastAsia"/>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32.95</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3）平凉五举煤业有限公司五举煤矿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平凉五举煤业有限公司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C6200002022031120153241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平凉五举煤业有限公司五举煤矿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300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26.0589平方公里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2022年3月9日至2052年3月9日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+970</w:t>
            </w:r>
            <w:r>
              <w:rPr>
                <w:rFonts w:hint="eastAsia" w:cs="Times New Roman" w:asciiTheme="minorEastAsia" w:hAnsiTheme="minorEastAsia" w:eastAsiaTheme="minorEastAsia"/>
                <w:sz w:val="21"/>
                <w:szCs w:val="21"/>
              </w:rPr>
              <w:t>米</w:t>
            </w:r>
            <w:r>
              <w:rPr>
                <w:rFonts w:cs="Times New Roman" w:asciiTheme="minorEastAsia" w:hAnsiTheme="minorEastAsia" w:eastAsiaTheme="minorEastAsia"/>
                <w:sz w:val="21"/>
                <w:szCs w:val="21"/>
              </w:rPr>
              <w:t>至0</w:t>
            </w:r>
            <w:r>
              <w:rPr>
                <w:rFonts w:hint="eastAsia" w:cs="Times New Roman" w:asciiTheme="minorEastAsia" w:hAnsiTheme="minorEastAsia" w:eastAsiaTheme="minorEastAsia"/>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38.45</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4）陕西长武亭南煤业有限责任公司长武县亭南煤矿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陕西长武亭南煤业有限责任公司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C6100002011011120106797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陕西长武亭南煤业有限责任公司长武县亭南煤矿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450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35.5482平方公里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2022年12月30日至2030年12月30日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+530米至+350米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14.08</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5）内蒙古双欣矿业有限公司杨家村煤矿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内蒙古双欣矿业有限公司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C1000002011051110111946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内蒙古双欣矿业有限公司杨家村煤矿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600</w:t>
            </w:r>
            <w:r>
              <w:rPr>
                <w:rFonts w:hint="eastAsia" w:cs="Times New Roman" w:asciiTheme="minorEastAsia" w:hAnsiTheme="minorEastAsia" w:eastAsiaTheme="minorEastAsia"/>
                <w:sz w:val="21"/>
                <w:szCs w:val="21"/>
              </w:rPr>
              <w:t>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18.6697平方公里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2011年5月4日至2041年5月4日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+1,456至+1,228米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20.19年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6）陕西永明煤矿有限公司子长县永明煤矿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陕西永明煤矿有限公司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C6100002010061120067710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陕西永明煤矿有限公司子长县永明煤矿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配焦煤（气煤）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45</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9.1058平方公里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2023年5月22日至2026年5月22日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+1,090米至+1,020米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12.14</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7）山西朔州平鲁区龙矿大恒煤业有限公司</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山西朔州平鲁区龙矿大恒煤业有限公司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C1400002009101220038687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山西朔州平鲁区龙矿大恒煤业有限公司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360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6.9096平方公里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2014年8月25日至2044年8月25日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+1,300</w:t>
            </w:r>
            <w:r>
              <w:rPr>
                <w:rFonts w:hint="eastAsia" w:cs="Times New Roman" w:asciiTheme="minorEastAsia" w:hAnsiTheme="minorEastAsia" w:eastAsiaTheme="minorEastAsia"/>
                <w:sz w:val="21"/>
                <w:szCs w:val="21"/>
              </w:rPr>
              <w:t>米至</w:t>
            </w:r>
            <w:r>
              <w:rPr>
                <w:rFonts w:cs="Times New Roman" w:asciiTheme="minorEastAsia" w:hAnsiTheme="minorEastAsia" w:eastAsiaTheme="minorEastAsia"/>
                <w:sz w:val="21"/>
                <w:szCs w:val="21"/>
              </w:rPr>
              <w:t>+960</w:t>
            </w:r>
            <w:r>
              <w:rPr>
                <w:rFonts w:hint="eastAsia" w:cs="Times New Roman" w:asciiTheme="minorEastAsia" w:hAnsiTheme="minorEastAsia" w:eastAsiaTheme="minorEastAsia"/>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11.58</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8）山西忻州神达望田煤业有限公司</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山西忻州神达望田煤业有限公司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C1400002009111220045315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山西忻州神达望田煤业有限公司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配焦煤（气煤）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180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7.9584平方公里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2012年11月20日至2041年11月20日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+980</w:t>
            </w:r>
            <w:r>
              <w:rPr>
                <w:rFonts w:hint="eastAsia" w:cs="Times New Roman" w:asciiTheme="minorEastAsia" w:hAnsiTheme="minorEastAsia" w:eastAsiaTheme="minorEastAsia"/>
                <w:sz w:val="21"/>
                <w:szCs w:val="21"/>
              </w:rPr>
              <w:t>至</w:t>
            </w:r>
            <w:r>
              <w:rPr>
                <w:rFonts w:cs="Times New Roman" w:asciiTheme="minorEastAsia" w:hAnsiTheme="minorEastAsia" w:eastAsiaTheme="minorEastAsia"/>
                <w:sz w:val="21"/>
                <w:szCs w:val="21"/>
              </w:rPr>
              <w:t>+620</w:t>
            </w:r>
            <w:r>
              <w:rPr>
                <w:rFonts w:hint="eastAsia" w:cs="Times New Roman" w:asciiTheme="minorEastAsia" w:hAnsiTheme="minorEastAsia" w:eastAsiaTheme="minorEastAsia"/>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13.25</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9）内蒙古黄陶勒盖煤炭有限责任公司巴彦高勒煤矿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内蒙古黄陶勒盖煤炭有限责任公司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C1000002017051110145299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内蒙古黄陶勒盖煤炭有限责任公司巴彦高勒煤矿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800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64.7019平方公里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2017年5月4日至2047年5月4日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+759米至+470米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85.24</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10）平煤长安能源开发有限公司长武县杨家坪煤矿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平煤长安能源开发有限公司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C6100002024041110156653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平煤长安能源开发有限公司长武县杨家坪煤矿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动力煤（不粘煤、弱粘煤、长焰煤）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500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142.4688平方公里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2024年4月12日至2032年4月12日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600米至-10米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68.85年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11）杭锦旗聚能能源有限公司油房壕煤矿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杭锦旗聚能能源有限公司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C1500002023091110155590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杭锦旗聚能能源有限公司油房壕煤矿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500</w:t>
            </w:r>
            <w:r>
              <w:rPr>
                <w:rFonts w:hint="eastAsia" w:cs="Times New Roman" w:asciiTheme="minorEastAsia" w:hAnsiTheme="minorEastAsia" w:eastAsiaTheme="minorEastAsia"/>
                <w:sz w:val="21"/>
                <w:szCs w:val="21"/>
              </w:rPr>
              <w:t>万吨</w:t>
            </w:r>
            <w:r>
              <w:rPr>
                <w:rFonts w:cs="Times New Roman" w:asciiTheme="minorEastAsia" w:hAnsiTheme="minorEastAsia" w:eastAsiaTheme="minorEastAsia"/>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110.0749平方公里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2023年9月5日至2053年9月5日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+982</w:t>
            </w:r>
            <w:r>
              <w:rPr>
                <w:rFonts w:hint="eastAsia" w:cs="Times New Roman" w:asciiTheme="minorEastAsia" w:hAnsiTheme="minorEastAsia" w:eastAsiaTheme="minorEastAsia"/>
                <w:sz w:val="21"/>
                <w:szCs w:val="21"/>
              </w:rPr>
              <w:t>米至</w:t>
            </w:r>
            <w:r>
              <w:rPr>
                <w:rFonts w:cs="Times New Roman" w:asciiTheme="minorEastAsia" w:hAnsiTheme="minorEastAsia" w:eastAsiaTheme="minorEastAsia"/>
                <w:sz w:val="21"/>
                <w:szCs w:val="21"/>
              </w:rPr>
              <w:t>+653</w:t>
            </w:r>
            <w:r>
              <w:rPr>
                <w:rFonts w:hint="eastAsia" w:cs="Times New Roman" w:asciiTheme="minorEastAsia" w:hAnsiTheme="minorEastAsia" w:eastAsiaTheme="minorEastAsia"/>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67.13</w:t>
            </w:r>
            <w:r>
              <w:rPr>
                <w:rFonts w:hint="eastAsia" w:cs="Times New Roman" w:asciiTheme="minorEastAsia" w:hAnsiTheme="minorEastAsia" w:eastAsiaTheme="minorEastAsia"/>
                <w:sz w:val="21"/>
                <w:szCs w:val="21"/>
              </w:rPr>
              <w:t>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12）甘肃华能天竣能源有限公司刘园子煤矿</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矿业权类型</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矿业权人</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甘肃华能天竣能源有限公司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采矿许可证号</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C1000002010091110075170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甘肃华能天竣能源有限公司刘园子煤矿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开采矿种</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煤类</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动力煤（长焰煤）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开采方式</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核定生产能力</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180万吨/年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矿区面积</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15.651</w:t>
            </w:r>
            <w:r>
              <w:rPr>
                <w:rFonts w:hint="eastAsia" w:cs="Times New Roman" w:asciiTheme="minorEastAsia" w:hAnsiTheme="minorEastAsia" w:eastAsiaTheme="minorEastAsia"/>
                <w:sz w:val="21"/>
                <w:szCs w:val="21"/>
              </w:rPr>
              <w:t>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有效期限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2018年10月19日至2030年09月13日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开采标高</w:t>
            </w:r>
          </w:p>
        </w:tc>
        <w:tc>
          <w:tcPr>
            <w:tcW w:w="3801" w:type="pct"/>
            <w:vAlign w:val="center"/>
          </w:tcPr>
          <w:p>
            <w:pPr>
              <w:jc w:val="both"/>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由</w:t>
            </w:r>
            <w:r>
              <w:rPr>
                <w:rFonts w:cs="Times New Roman" w:asciiTheme="minorEastAsia" w:hAnsiTheme="minorEastAsia" w:eastAsiaTheme="minorEastAsia"/>
                <w:sz w:val="21"/>
                <w:szCs w:val="21"/>
              </w:rPr>
              <w:t>+1,520</w:t>
            </w:r>
            <w:r>
              <w:rPr>
                <w:rFonts w:hint="eastAsia" w:cs="Times New Roman" w:asciiTheme="minorEastAsia" w:hAnsiTheme="minorEastAsia" w:eastAsiaTheme="minorEastAsia"/>
                <w:sz w:val="21"/>
                <w:szCs w:val="21"/>
              </w:rPr>
              <w:t>至</w:t>
            </w:r>
            <w:r>
              <w:rPr>
                <w:rFonts w:cs="Times New Roman" w:asciiTheme="minorEastAsia" w:hAnsiTheme="minorEastAsia" w:eastAsiaTheme="minorEastAsia"/>
                <w:sz w:val="21"/>
                <w:szCs w:val="21"/>
              </w:rPr>
              <w:t>+996.74</w:t>
            </w:r>
            <w:r>
              <w:rPr>
                <w:rFonts w:hint="eastAsia" w:cs="Times New Roman" w:asciiTheme="minorEastAsia" w:hAnsiTheme="minorEastAsia" w:eastAsiaTheme="minorEastAsia"/>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矿山剩余服务年限</w:t>
            </w:r>
          </w:p>
        </w:tc>
        <w:tc>
          <w:tcPr>
            <w:tcW w:w="3801" w:type="pct"/>
            <w:vAlign w:val="center"/>
          </w:tcPr>
          <w:p>
            <w:pPr>
              <w:jc w:val="both"/>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25.92年</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（2）探矿权</w:t>
      </w:r>
    </w:p>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）甘肃省环县沙井子矿区马福川井田勘探（保留）</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矿业权类型</w:t>
            </w:r>
          </w:p>
        </w:tc>
        <w:tc>
          <w:tcPr>
            <w:tcW w:w="3704" w:type="pct"/>
            <w:vAlign w:val="center"/>
          </w:tcPr>
          <w:p>
            <w:pPr>
              <w:adjustRightInd w:val="0"/>
              <w:snapToGrid w:val="0"/>
              <w:jc w:val="both"/>
              <w:rPr>
                <w:rFonts w:hint="eastAsia"/>
                <w:sz w:val="21"/>
                <w:szCs w:val="21"/>
              </w:rPr>
            </w:pPr>
            <w:r>
              <w:rPr>
                <w:rFonts w:hint="eastAsia"/>
                <w:sz w:val="21"/>
                <w:szCs w:val="21"/>
              </w:rPr>
              <w:t>探矿权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矿业权人</w:t>
            </w:r>
          </w:p>
        </w:tc>
        <w:tc>
          <w:tcPr>
            <w:tcW w:w="3704" w:type="pct"/>
            <w:vAlign w:val="center"/>
          </w:tcPr>
          <w:p>
            <w:pPr>
              <w:adjustRightInd w:val="0"/>
              <w:snapToGrid w:val="0"/>
              <w:jc w:val="both"/>
              <w:rPr>
                <w:rFonts w:hint="eastAsia"/>
                <w:sz w:val="21"/>
                <w:szCs w:val="21"/>
              </w:rPr>
            </w:pPr>
            <w:r>
              <w:rPr>
                <w:rFonts w:hint="eastAsia"/>
                <w:sz w:val="21"/>
                <w:szCs w:val="21"/>
              </w:rPr>
              <w:t>甘肃华能天竣能源有限公司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sz w:val="21"/>
                <w:szCs w:val="21"/>
              </w:rPr>
              <w:t>勘查许可</w:t>
            </w:r>
            <w:r>
              <w:rPr>
                <w:rFonts w:hint="eastAsia"/>
                <w:b/>
                <w:bCs/>
                <w:sz w:val="21"/>
                <w:szCs w:val="21"/>
              </w:rPr>
              <w:t>证号</w:t>
            </w:r>
          </w:p>
        </w:tc>
        <w:tc>
          <w:tcPr>
            <w:tcW w:w="3704" w:type="pct"/>
            <w:vAlign w:val="center"/>
          </w:tcPr>
          <w:p>
            <w:pPr>
              <w:adjustRightInd w:val="0"/>
              <w:snapToGrid w:val="0"/>
              <w:jc w:val="both"/>
              <w:rPr>
                <w:rFonts w:hint="eastAsia"/>
                <w:sz w:val="21"/>
                <w:szCs w:val="21"/>
              </w:rPr>
            </w:pPr>
            <w:r>
              <w:rPr>
                <w:rFonts w:hint="eastAsia"/>
                <w:sz w:val="21"/>
                <w:szCs w:val="21"/>
              </w:rPr>
              <w:t>T6200002010101030042485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勘查项目名称</w:t>
            </w:r>
          </w:p>
        </w:tc>
        <w:tc>
          <w:tcPr>
            <w:tcW w:w="3704" w:type="pct"/>
            <w:vAlign w:val="center"/>
          </w:tcPr>
          <w:p>
            <w:pPr>
              <w:adjustRightInd w:val="0"/>
              <w:snapToGrid w:val="0"/>
              <w:jc w:val="both"/>
              <w:rPr>
                <w:rFonts w:hint="eastAsia"/>
                <w:sz w:val="21"/>
                <w:szCs w:val="21"/>
              </w:rPr>
            </w:pPr>
            <w:r>
              <w:rPr>
                <w:rFonts w:hint="eastAsia"/>
                <w:sz w:val="21"/>
                <w:szCs w:val="21"/>
              </w:rPr>
              <w:t>甘肃省环县沙井子矿区马福川井田勘探（保留）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有效期限</w:t>
            </w:r>
          </w:p>
        </w:tc>
        <w:tc>
          <w:tcPr>
            <w:tcW w:w="3704" w:type="pct"/>
            <w:vAlign w:val="center"/>
          </w:tcPr>
          <w:p>
            <w:pPr>
              <w:adjustRightInd w:val="0"/>
              <w:snapToGrid w:val="0"/>
              <w:jc w:val="both"/>
              <w:rPr>
                <w:rFonts w:hint="eastAsia"/>
                <w:sz w:val="21"/>
                <w:szCs w:val="21"/>
              </w:rPr>
            </w:pPr>
            <w:r>
              <w:rPr>
                <w:rFonts w:hint="eastAsia"/>
                <w:sz w:val="21"/>
                <w:szCs w:val="21"/>
              </w:rPr>
              <w:t>2020年11月20日至2025年11月19日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勘查面积</w:t>
            </w:r>
          </w:p>
        </w:tc>
        <w:tc>
          <w:tcPr>
            <w:tcW w:w="3704" w:type="pct"/>
            <w:vAlign w:val="center"/>
          </w:tcPr>
          <w:p>
            <w:pPr>
              <w:adjustRightInd w:val="0"/>
              <w:snapToGrid w:val="0"/>
              <w:jc w:val="both"/>
              <w:rPr>
                <w:rFonts w:hint="eastAsia"/>
                <w:sz w:val="21"/>
                <w:szCs w:val="21"/>
              </w:rPr>
            </w:pPr>
            <w:r>
              <w:rPr>
                <w:rFonts w:hint="eastAsia"/>
                <w:sz w:val="21"/>
                <w:szCs w:val="21"/>
              </w:rPr>
              <w:t>67.52平方公里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煤类</w:t>
            </w:r>
          </w:p>
        </w:tc>
        <w:tc>
          <w:tcPr>
            <w:tcW w:w="3704" w:type="pct"/>
            <w:vAlign w:val="center"/>
          </w:tcPr>
          <w:p>
            <w:pPr>
              <w:adjustRightInd w:val="0"/>
              <w:snapToGrid w:val="0"/>
              <w:jc w:val="both"/>
              <w:rPr>
                <w:rFonts w:hint="eastAsia"/>
                <w:sz w:val="21"/>
                <w:szCs w:val="21"/>
              </w:rPr>
            </w:pPr>
            <w:r>
              <w:rPr>
                <w:rFonts w:hint="eastAsia"/>
                <w:sz w:val="21"/>
                <w:szCs w:val="21"/>
              </w:rPr>
              <w:t>动力煤（长焰煤、不粘煤）</w:t>
            </w:r>
          </w:p>
        </w:tc>
      </w:tr>
    </w:tbl>
    <w:p>
      <w:pPr>
        <w:keepNext/>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2）甘肃省环县沙井子矿区毛家川井田勘探（保留）</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矿业权类型</w:t>
            </w:r>
          </w:p>
        </w:tc>
        <w:tc>
          <w:tcPr>
            <w:tcW w:w="3704" w:type="pct"/>
            <w:vAlign w:val="center"/>
          </w:tcPr>
          <w:p>
            <w:pPr>
              <w:adjustRightInd w:val="0"/>
              <w:snapToGrid w:val="0"/>
              <w:jc w:val="both"/>
              <w:rPr>
                <w:rFonts w:hint="eastAsia"/>
                <w:sz w:val="21"/>
                <w:szCs w:val="21"/>
              </w:rPr>
            </w:pPr>
            <w:r>
              <w:rPr>
                <w:rFonts w:hint="eastAsia"/>
                <w:sz w:val="21"/>
                <w:szCs w:val="21"/>
              </w:rPr>
              <w:t>探矿权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矿业权人</w:t>
            </w:r>
          </w:p>
        </w:tc>
        <w:tc>
          <w:tcPr>
            <w:tcW w:w="3704" w:type="pct"/>
            <w:vAlign w:val="center"/>
          </w:tcPr>
          <w:p>
            <w:pPr>
              <w:adjustRightInd w:val="0"/>
              <w:snapToGrid w:val="0"/>
              <w:jc w:val="both"/>
              <w:rPr>
                <w:rFonts w:hint="eastAsia"/>
                <w:sz w:val="21"/>
                <w:szCs w:val="21"/>
              </w:rPr>
            </w:pPr>
            <w:r>
              <w:rPr>
                <w:rFonts w:hint="eastAsia"/>
                <w:sz w:val="21"/>
                <w:szCs w:val="21"/>
              </w:rPr>
              <w:t>甘肃华能天竣能源有限公司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sz w:val="21"/>
                <w:szCs w:val="21"/>
              </w:rPr>
              <w:t>勘查许可</w:t>
            </w:r>
            <w:r>
              <w:rPr>
                <w:rFonts w:hint="eastAsia"/>
                <w:b/>
                <w:bCs/>
                <w:sz w:val="21"/>
                <w:szCs w:val="21"/>
              </w:rPr>
              <w:t>证号</w:t>
            </w:r>
          </w:p>
        </w:tc>
        <w:tc>
          <w:tcPr>
            <w:tcW w:w="3704" w:type="pct"/>
            <w:vAlign w:val="center"/>
          </w:tcPr>
          <w:p>
            <w:pPr>
              <w:adjustRightInd w:val="0"/>
              <w:snapToGrid w:val="0"/>
              <w:jc w:val="both"/>
              <w:rPr>
                <w:rFonts w:hint="eastAsia"/>
                <w:sz w:val="21"/>
                <w:szCs w:val="21"/>
              </w:rPr>
            </w:pPr>
            <w:r>
              <w:rPr>
                <w:rFonts w:hint="eastAsia"/>
                <w:sz w:val="21"/>
                <w:szCs w:val="21"/>
              </w:rPr>
              <w:t>T6200002010041030040290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勘查项目名称</w:t>
            </w:r>
          </w:p>
        </w:tc>
        <w:tc>
          <w:tcPr>
            <w:tcW w:w="3704" w:type="pct"/>
            <w:vAlign w:val="center"/>
          </w:tcPr>
          <w:p>
            <w:pPr>
              <w:adjustRightInd w:val="0"/>
              <w:snapToGrid w:val="0"/>
              <w:jc w:val="both"/>
              <w:rPr>
                <w:rFonts w:hint="eastAsia"/>
                <w:sz w:val="21"/>
                <w:szCs w:val="21"/>
              </w:rPr>
            </w:pPr>
            <w:r>
              <w:rPr>
                <w:rFonts w:hint="eastAsia"/>
                <w:sz w:val="21"/>
                <w:szCs w:val="21"/>
              </w:rPr>
              <w:t>甘肃省环县沙井子矿区毛家川井田勘探（保留）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有效期限</w:t>
            </w:r>
          </w:p>
        </w:tc>
        <w:tc>
          <w:tcPr>
            <w:tcW w:w="3704" w:type="pct"/>
            <w:vAlign w:val="center"/>
          </w:tcPr>
          <w:p>
            <w:pPr>
              <w:adjustRightInd w:val="0"/>
              <w:snapToGrid w:val="0"/>
              <w:jc w:val="both"/>
              <w:rPr>
                <w:rFonts w:hint="eastAsia"/>
                <w:sz w:val="21"/>
                <w:szCs w:val="21"/>
              </w:rPr>
            </w:pPr>
            <w:r>
              <w:rPr>
                <w:rFonts w:hint="eastAsia"/>
                <w:sz w:val="21"/>
                <w:szCs w:val="21"/>
              </w:rPr>
              <w:t>2021年9月17日至2026年9月17日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勘查面积</w:t>
            </w:r>
          </w:p>
        </w:tc>
        <w:tc>
          <w:tcPr>
            <w:tcW w:w="3704" w:type="pct"/>
            <w:vAlign w:val="center"/>
          </w:tcPr>
          <w:p>
            <w:pPr>
              <w:adjustRightInd w:val="0"/>
              <w:snapToGrid w:val="0"/>
              <w:jc w:val="both"/>
              <w:rPr>
                <w:rFonts w:hint="eastAsia"/>
                <w:sz w:val="21"/>
                <w:szCs w:val="21"/>
              </w:rPr>
            </w:pPr>
            <w:r>
              <w:rPr>
                <w:rFonts w:hint="eastAsia"/>
                <w:sz w:val="21"/>
                <w:szCs w:val="21"/>
              </w:rPr>
              <w:t>52.0127平方公里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hint="eastAsia"/>
                <w:b/>
                <w:bCs/>
                <w:sz w:val="21"/>
                <w:szCs w:val="21"/>
              </w:rPr>
            </w:pPr>
            <w:r>
              <w:rPr>
                <w:rFonts w:hint="eastAsia"/>
                <w:b/>
                <w:bCs/>
                <w:sz w:val="21"/>
                <w:szCs w:val="21"/>
              </w:rPr>
              <w:t>煤类</w:t>
            </w:r>
          </w:p>
        </w:tc>
        <w:tc>
          <w:tcPr>
            <w:tcW w:w="3704" w:type="pct"/>
            <w:vAlign w:val="center"/>
          </w:tcPr>
          <w:p>
            <w:pPr>
              <w:adjustRightInd w:val="0"/>
              <w:snapToGrid w:val="0"/>
              <w:jc w:val="both"/>
              <w:rPr>
                <w:rFonts w:hint="eastAsia"/>
                <w:sz w:val="21"/>
                <w:szCs w:val="21"/>
              </w:rPr>
            </w:pPr>
            <w:r>
              <w:rPr>
                <w:rFonts w:hint="eastAsia"/>
                <w:sz w:val="21"/>
                <w:szCs w:val="21"/>
              </w:rPr>
              <w:t>动力煤（长焰煤）</w:t>
            </w:r>
          </w:p>
        </w:tc>
      </w:tr>
    </w:tbl>
    <w:p>
      <w:pPr>
        <w:pStyle w:val="39"/>
        <w:keepNext/>
        <w:spacing w:line="520" w:lineRule="exact"/>
        <w:ind w:firstLine="562"/>
        <w:jc w:val="both"/>
        <w:rPr>
          <w:rFonts w:hint="eastAsia" w:cs="Times New Roman" w:asciiTheme="minorEastAsia" w:hAnsiTheme="minorEastAsia" w:eastAsiaTheme="minorEastAsia"/>
          <w:b/>
          <w:bCs/>
        </w:rPr>
      </w:pPr>
      <w:bookmarkStart w:id="6" w:name="_Hlk123174548"/>
      <w:r>
        <w:rPr>
          <w:rFonts w:cs="Times New Roman" w:asciiTheme="minorEastAsia" w:hAnsiTheme="minorEastAsia" w:eastAsiaTheme="minorEastAsia"/>
          <w:b/>
          <w:bCs/>
        </w:rPr>
        <w:t>4</w:t>
      </w:r>
      <w:r>
        <w:rPr>
          <w:rFonts w:hint="eastAsia" w:cs="Times New Roman" w:asciiTheme="minorEastAsia" w:hAnsiTheme="minorEastAsia" w:eastAsiaTheme="minorEastAsia"/>
          <w:b/>
          <w:bCs/>
        </w:rPr>
        <w:t>.</w:t>
      </w:r>
      <w:r>
        <w:rPr>
          <w:rFonts w:cs="Times New Roman" w:asciiTheme="minorEastAsia" w:hAnsiTheme="minorEastAsia" w:eastAsiaTheme="minorEastAsia"/>
          <w:b/>
          <w:bCs/>
        </w:rPr>
        <w:t>标的</w:t>
      </w:r>
      <w:r>
        <w:rPr>
          <w:rFonts w:hint="eastAsia" w:cs="Times New Roman" w:asciiTheme="minorEastAsia" w:hAnsiTheme="minorEastAsia" w:eastAsiaTheme="minorEastAsia"/>
          <w:b/>
          <w:bCs/>
        </w:rPr>
        <w:t>股权</w:t>
      </w:r>
      <w:r>
        <w:rPr>
          <w:rFonts w:cs="Times New Roman" w:asciiTheme="minorEastAsia" w:hAnsiTheme="minorEastAsia" w:eastAsiaTheme="minorEastAsia"/>
          <w:b/>
          <w:bCs/>
        </w:rPr>
        <w:t>的优先购买权</w:t>
      </w:r>
      <w:r>
        <w:rPr>
          <w:rFonts w:hint="eastAsia" w:cs="Times New Roman" w:asciiTheme="minorEastAsia" w:hAnsiTheme="minorEastAsia" w:eastAsiaTheme="minorEastAsia"/>
          <w:b/>
          <w:bCs/>
        </w:rPr>
        <w:t>/优先认缴权</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截至本公告日，西</w:t>
      </w:r>
      <w:r>
        <w:rPr>
          <w:rFonts w:hint="eastAsia" w:cs="Times New Roman" w:asciiTheme="minorEastAsia" w:hAnsiTheme="minorEastAsia" w:eastAsiaTheme="minorEastAsia"/>
          <w:sz w:val="28"/>
          <w:szCs w:val="28"/>
        </w:rPr>
        <w:t>北</w:t>
      </w:r>
      <w:r>
        <w:rPr>
          <w:rFonts w:cs="Times New Roman" w:asciiTheme="minorEastAsia" w:hAnsiTheme="minorEastAsia" w:eastAsiaTheme="minorEastAsia"/>
          <w:sz w:val="28"/>
          <w:szCs w:val="28"/>
        </w:rPr>
        <w:t>矿业各股东已</w:t>
      </w:r>
      <w:r>
        <w:rPr>
          <w:rFonts w:hint="eastAsia" w:cs="Times New Roman" w:asciiTheme="minorEastAsia" w:hAnsiTheme="minorEastAsia" w:eastAsiaTheme="minorEastAsia"/>
          <w:sz w:val="28"/>
          <w:szCs w:val="28"/>
        </w:rPr>
        <w:t>书面确认</w:t>
      </w:r>
      <w:r>
        <w:rPr>
          <w:rFonts w:cs="Times New Roman" w:asciiTheme="minorEastAsia" w:hAnsiTheme="minorEastAsia" w:eastAsiaTheme="minorEastAsia"/>
          <w:sz w:val="28"/>
          <w:szCs w:val="28"/>
        </w:rPr>
        <w:t>放弃</w:t>
      </w:r>
      <w:r>
        <w:rPr>
          <w:rFonts w:hint="eastAsia" w:cs="Times New Roman" w:asciiTheme="minorEastAsia" w:hAnsiTheme="minorEastAsia" w:eastAsiaTheme="minorEastAsia"/>
          <w:sz w:val="28"/>
          <w:szCs w:val="28"/>
        </w:rPr>
        <w:t>行使</w:t>
      </w:r>
      <w:r>
        <w:rPr>
          <w:rFonts w:cs="Times New Roman" w:asciiTheme="minorEastAsia" w:hAnsiTheme="minorEastAsia" w:eastAsiaTheme="minorEastAsia"/>
          <w:sz w:val="28"/>
          <w:szCs w:val="28"/>
        </w:rPr>
        <w:t>优先购买权</w:t>
      </w:r>
      <w:r>
        <w:rPr>
          <w:rFonts w:hint="eastAsia" w:cs="Times New Roman" w:asciiTheme="minorEastAsia" w:hAnsiTheme="minorEastAsia" w:eastAsiaTheme="minorEastAsia"/>
          <w:sz w:val="28"/>
          <w:szCs w:val="28"/>
        </w:rPr>
        <w:t>及优先认缴权。</w:t>
      </w:r>
      <w:bookmarkEnd w:id="6"/>
    </w:p>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5</w:t>
      </w:r>
      <w:r>
        <w:rPr>
          <w:rFonts w:hint="eastAsia" w:cs="Times New Roman" w:asciiTheme="minorEastAsia" w:hAnsiTheme="minorEastAsia" w:eastAsiaTheme="minorEastAsia"/>
          <w:b/>
          <w:bCs/>
        </w:rPr>
        <w:t>.资信情况</w:t>
      </w:r>
    </w:p>
    <w:p>
      <w:pPr>
        <w:adjustRightInd w:val="0"/>
        <w:snapToGrid w:val="0"/>
        <w:spacing w:line="520" w:lineRule="exact"/>
        <w:ind w:firstLine="536" w:firstLineChars="200"/>
        <w:jc w:val="both"/>
        <w:rPr>
          <w:rFonts w:hint="eastAsia" w:cs="Times New Roman" w:asciiTheme="minorEastAsia" w:hAnsiTheme="minorEastAsia" w:eastAsiaTheme="minorEastAsia"/>
          <w:spacing w:val="-6"/>
          <w:sz w:val="28"/>
          <w:szCs w:val="28"/>
        </w:rPr>
      </w:pPr>
      <w:r>
        <w:rPr>
          <w:rFonts w:hint="eastAsia" w:cs="Times New Roman" w:asciiTheme="minorEastAsia" w:hAnsiTheme="minorEastAsia" w:eastAsiaTheme="minorEastAsia"/>
          <w:spacing w:val="-6"/>
          <w:sz w:val="28"/>
          <w:szCs w:val="28"/>
        </w:rPr>
        <w:t>截至本公告日，西北矿业资信状况良好，未被列为失信被执行人。</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（四）交易标的主要财务信息</w:t>
      </w:r>
    </w:p>
    <w:p>
      <w:pPr>
        <w:adjustRightInd w:val="0"/>
        <w:snapToGrid w:val="0"/>
        <w:spacing w:line="520" w:lineRule="exact"/>
        <w:ind w:firstLine="536" w:firstLineChars="200"/>
        <w:jc w:val="both"/>
        <w:rPr>
          <w:rFonts w:hint="eastAsia" w:cs="Times New Roman" w:asciiTheme="minorEastAsia" w:hAnsiTheme="minorEastAsia" w:eastAsiaTheme="minorEastAsia"/>
          <w:spacing w:val="-6"/>
          <w:sz w:val="28"/>
          <w:szCs w:val="28"/>
        </w:rPr>
      </w:pPr>
      <w:r>
        <w:rPr>
          <w:rFonts w:hint="eastAsia" w:cs="Times New Roman" w:asciiTheme="minorEastAsia" w:hAnsiTheme="minorEastAsia" w:eastAsiaTheme="minorEastAsia"/>
          <w:spacing w:val="-6"/>
          <w:sz w:val="28"/>
          <w:szCs w:val="28"/>
        </w:rPr>
        <w:t>西北矿业最近两年及一期经审计模拟合并报表主要财务信息如下：</w:t>
      </w:r>
    </w:p>
    <w:p>
      <w:pPr>
        <w:keepNext/>
        <w:adjustRightInd w:val="0"/>
        <w:snapToGrid w:val="0"/>
        <w:ind w:firstLine="480" w:firstLineChars="200"/>
        <w:jc w:val="right"/>
        <w:rPr>
          <w:rFonts w:hint="eastAsia" w:cs="Times New Roman" w:asciiTheme="minorEastAsia" w:hAnsiTheme="minorEastAsia" w:eastAsiaTheme="minorEastAsia"/>
        </w:rPr>
      </w:pPr>
      <w:r>
        <w:rPr>
          <w:rFonts w:hint="eastAsia" w:cs="Times New Roman" w:asciiTheme="minorEastAsia" w:hAnsiTheme="minorEastAsia" w:eastAsiaTheme="minorEastAsia"/>
        </w:rPr>
        <w:t>单位：万元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806"/>
        <w:gridCol w:w="2238"/>
        <w:gridCol w:w="2238"/>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tblHeader/>
          <w:jc w:val="center"/>
        </w:trPr>
        <w:tc>
          <w:tcPr>
            <w:tcW w:w="1060" w:type="pct"/>
            <w:vMerge w:val="restart"/>
            <w:shd w:val="clear" w:color="auto" w:fill="auto"/>
            <w:vAlign w:val="center"/>
          </w:tcPr>
          <w:p>
            <w:pPr>
              <w:keepNext/>
              <w:jc w:val="center"/>
              <w:rPr>
                <w:rFonts w:hint="eastAsia"/>
                <w:b/>
                <w:sz w:val="21"/>
                <w:szCs w:val="21"/>
              </w:rPr>
            </w:pPr>
            <w:r>
              <w:rPr>
                <w:rFonts w:hint="eastAsia"/>
                <w:b/>
                <w:sz w:val="21"/>
                <w:szCs w:val="21"/>
              </w:rPr>
              <w:t>项目</w:t>
            </w:r>
          </w:p>
        </w:tc>
        <w:tc>
          <w:tcPr>
            <w:tcW w:w="3940" w:type="pct"/>
            <w:gridSpan w:val="3"/>
            <w:shd w:val="clear" w:color="auto" w:fill="auto"/>
            <w:vAlign w:val="center"/>
          </w:tcPr>
          <w:p>
            <w:pPr>
              <w:keepNext/>
              <w:jc w:val="center"/>
              <w:rPr>
                <w:rFonts w:hint="eastAsia"/>
                <w:b/>
                <w:sz w:val="21"/>
                <w:szCs w:val="21"/>
              </w:rPr>
            </w:pPr>
            <w:r>
              <w:rPr>
                <w:rFonts w:hint="eastAsia"/>
                <w:b/>
                <w:sz w:val="21"/>
                <w:szCs w:val="21"/>
              </w:rPr>
              <w:t>合并口径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tblHeader/>
          <w:jc w:val="center"/>
        </w:trPr>
        <w:tc>
          <w:tcPr>
            <w:tcW w:w="1060" w:type="pct"/>
            <w:vMerge w:val="continue"/>
            <w:shd w:val="solid" w:color="FFFFFF" w:fill="FFFFFF"/>
            <w:vAlign w:val="center"/>
          </w:tcPr>
          <w:p>
            <w:pPr>
              <w:rPr>
                <w:rFonts w:hint="eastAsia"/>
                <w:color w:val="000000"/>
                <w:sz w:val="21"/>
                <w:szCs w:val="21"/>
              </w:rPr>
            </w:pPr>
          </w:p>
        </w:tc>
        <w:tc>
          <w:tcPr>
            <w:tcW w:w="1313" w:type="pct"/>
            <w:shd w:val="solid" w:color="FFFFFF" w:fill="FFFFFF"/>
            <w:vAlign w:val="center"/>
          </w:tcPr>
          <w:p>
            <w:pPr>
              <w:keepNext/>
              <w:jc w:val="center"/>
              <w:rPr>
                <w:rFonts w:hint="eastAsia"/>
                <w:b/>
                <w:sz w:val="21"/>
                <w:szCs w:val="21"/>
              </w:rPr>
            </w:pPr>
            <w:r>
              <w:rPr>
                <w:rFonts w:hint="eastAsia"/>
                <w:b/>
                <w:sz w:val="21"/>
                <w:szCs w:val="21"/>
              </w:rPr>
              <w:t>2024年11月30日</w:t>
            </w:r>
          </w:p>
        </w:tc>
        <w:tc>
          <w:tcPr>
            <w:tcW w:w="1313" w:type="pct"/>
            <w:shd w:val="solid" w:color="FFFFFF" w:fill="FFFFFF"/>
            <w:vAlign w:val="center"/>
          </w:tcPr>
          <w:p>
            <w:pPr>
              <w:keepNext/>
              <w:jc w:val="center"/>
              <w:rPr>
                <w:rFonts w:hint="eastAsia"/>
                <w:b/>
                <w:sz w:val="21"/>
                <w:szCs w:val="21"/>
              </w:rPr>
            </w:pPr>
            <w:r>
              <w:rPr>
                <w:rFonts w:hint="eastAsia"/>
                <w:b/>
                <w:sz w:val="21"/>
                <w:szCs w:val="21"/>
              </w:rPr>
              <w:t>2023年12月31日</w:t>
            </w:r>
          </w:p>
        </w:tc>
        <w:tc>
          <w:tcPr>
            <w:tcW w:w="1314" w:type="pct"/>
            <w:shd w:val="solid" w:color="FFFFFF" w:fill="FFFFFF"/>
            <w:vAlign w:val="center"/>
          </w:tcPr>
          <w:p>
            <w:pPr>
              <w:keepNext/>
              <w:jc w:val="center"/>
              <w:rPr>
                <w:rFonts w:hint="eastAsia"/>
                <w:b/>
                <w:sz w:val="21"/>
                <w:szCs w:val="21"/>
              </w:rPr>
            </w:pPr>
            <w:r>
              <w:rPr>
                <w:rFonts w:hint="eastAsia"/>
                <w:b/>
                <w:sz w:val="21"/>
                <w:szCs w:val="21"/>
              </w:rPr>
              <w:t>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hint="eastAsia"/>
                <w:color w:val="000000"/>
                <w:sz w:val="21"/>
                <w:szCs w:val="21"/>
              </w:rPr>
            </w:pPr>
            <w:r>
              <w:rPr>
                <w:rFonts w:hint="eastAsia"/>
                <w:color w:val="000000"/>
                <w:sz w:val="21"/>
                <w:szCs w:val="21"/>
              </w:rPr>
              <w:t>资产总额</w:t>
            </w:r>
          </w:p>
        </w:tc>
        <w:tc>
          <w:tcPr>
            <w:tcW w:w="1313" w:type="pct"/>
            <w:shd w:val="solid" w:color="FFFFFF" w:fill="FFFFFF"/>
            <w:vAlign w:val="center"/>
          </w:tcPr>
          <w:p>
            <w:pPr>
              <w:adjustRightInd w:val="0"/>
              <w:snapToGrid w:val="0"/>
              <w:jc w:val="right"/>
              <w:rPr>
                <w:rFonts w:hint="eastAsia"/>
                <w:sz w:val="21"/>
                <w:szCs w:val="21"/>
              </w:rPr>
            </w:pPr>
            <w:r>
              <w:rPr>
                <w:color w:val="000000"/>
                <w:sz w:val="21"/>
                <w:szCs w:val="21"/>
              </w:rPr>
              <w:t>5,342,714.55</w:t>
            </w:r>
          </w:p>
        </w:tc>
        <w:tc>
          <w:tcPr>
            <w:tcW w:w="1313" w:type="pct"/>
            <w:shd w:val="solid" w:color="FFFFFF" w:fill="FFFFFF"/>
            <w:vAlign w:val="center"/>
          </w:tcPr>
          <w:p>
            <w:pPr>
              <w:adjustRightInd w:val="0"/>
              <w:snapToGrid w:val="0"/>
              <w:jc w:val="right"/>
              <w:rPr>
                <w:rFonts w:hint="eastAsia"/>
                <w:sz w:val="21"/>
                <w:szCs w:val="21"/>
              </w:rPr>
            </w:pPr>
            <w:r>
              <w:rPr>
                <w:color w:val="000000"/>
                <w:sz w:val="21"/>
                <w:szCs w:val="21"/>
              </w:rPr>
              <w:t>4,327,858.26</w:t>
            </w:r>
          </w:p>
        </w:tc>
        <w:tc>
          <w:tcPr>
            <w:tcW w:w="1314" w:type="pct"/>
            <w:shd w:val="solid" w:color="FFFFFF" w:fill="FFFFFF"/>
            <w:vAlign w:val="center"/>
          </w:tcPr>
          <w:p>
            <w:pPr>
              <w:adjustRightInd w:val="0"/>
              <w:snapToGrid w:val="0"/>
              <w:jc w:val="right"/>
              <w:rPr>
                <w:rFonts w:hint="eastAsia"/>
                <w:sz w:val="21"/>
                <w:szCs w:val="21"/>
              </w:rPr>
            </w:pPr>
            <w:r>
              <w:rPr>
                <w:color w:val="000000"/>
                <w:sz w:val="21"/>
                <w:szCs w:val="21"/>
              </w:rPr>
              <w:t>4,387,377.12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adjustRightInd w:val="0"/>
              <w:snapToGrid w:val="0"/>
              <w:rPr>
                <w:rFonts w:hint="eastAsia"/>
                <w:color w:val="000000"/>
                <w:sz w:val="21"/>
                <w:szCs w:val="21"/>
              </w:rPr>
            </w:pPr>
            <w:r>
              <w:rPr>
                <w:rFonts w:hint="eastAsia"/>
                <w:color w:val="000000"/>
                <w:sz w:val="21"/>
                <w:szCs w:val="21"/>
              </w:rPr>
              <w:t>负债总额</w:t>
            </w:r>
          </w:p>
        </w:tc>
        <w:tc>
          <w:tcPr>
            <w:tcW w:w="1313" w:type="pct"/>
            <w:shd w:val="solid" w:color="FFFFFF" w:fill="FFFFFF"/>
            <w:noWrap/>
            <w:vAlign w:val="center"/>
          </w:tcPr>
          <w:p>
            <w:pPr>
              <w:adjustRightInd w:val="0"/>
              <w:snapToGrid w:val="0"/>
              <w:jc w:val="right"/>
              <w:rPr>
                <w:rFonts w:hint="eastAsia"/>
                <w:sz w:val="21"/>
                <w:szCs w:val="21"/>
              </w:rPr>
            </w:pPr>
            <w:r>
              <w:rPr>
                <w:color w:val="000000"/>
                <w:sz w:val="21"/>
                <w:szCs w:val="21"/>
              </w:rPr>
              <w:t>3,686,753.95</w:t>
            </w:r>
          </w:p>
        </w:tc>
        <w:tc>
          <w:tcPr>
            <w:tcW w:w="1313" w:type="pct"/>
            <w:shd w:val="solid" w:color="FFFFFF" w:fill="FFFFFF"/>
            <w:noWrap/>
            <w:vAlign w:val="center"/>
          </w:tcPr>
          <w:p>
            <w:pPr>
              <w:adjustRightInd w:val="0"/>
              <w:snapToGrid w:val="0"/>
              <w:jc w:val="right"/>
              <w:rPr>
                <w:rFonts w:hint="eastAsia"/>
                <w:sz w:val="21"/>
                <w:szCs w:val="21"/>
              </w:rPr>
            </w:pPr>
            <w:r>
              <w:rPr>
                <w:color w:val="000000"/>
                <w:sz w:val="21"/>
                <w:szCs w:val="21"/>
              </w:rPr>
              <w:t>3,064,271.33</w:t>
            </w:r>
          </w:p>
        </w:tc>
        <w:tc>
          <w:tcPr>
            <w:tcW w:w="1314" w:type="pct"/>
            <w:shd w:val="solid" w:color="FFFFFF" w:fill="FFFFFF"/>
            <w:vAlign w:val="center"/>
          </w:tcPr>
          <w:p>
            <w:pPr>
              <w:adjustRightInd w:val="0"/>
              <w:snapToGrid w:val="0"/>
              <w:jc w:val="right"/>
              <w:rPr>
                <w:rFonts w:hint="eastAsia"/>
                <w:sz w:val="21"/>
                <w:szCs w:val="21"/>
              </w:rPr>
            </w:pPr>
            <w:r>
              <w:rPr>
                <w:color w:val="000000"/>
                <w:sz w:val="21"/>
                <w:szCs w:val="21"/>
              </w:rPr>
              <w:t>3,279,351.79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hint="eastAsia"/>
                <w:color w:val="000000"/>
                <w:sz w:val="21"/>
                <w:szCs w:val="21"/>
              </w:rPr>
            </w:pPr>
            <w:r>
              <w:rPr>
                <w:rFonts w:hint="eastAsia"/>
                <w:color w:val="000000"/>
                <w:sz w:val="21"/>
                <w:szCs w:val="21"/>
              </w:rPr>
              <w:t>所有者权益</w:t>
            </w:r>
          </w:p>
        </w:tc>
        <w:tc>
          <w:tcPr>
            <w:tcW w:w="1313" w:type="pct"/>
            <w:shd w:val="solid" w:color="FFFFFF" w:fill="FFFFFF"/>
            <w:vAlign w:val="center"/>
          </w:tcPr>
          <w:p>
            <w:pPr>
              <w:adjustRightInd w:val="0"/>
              <w:snapToGrid w:val="0"/>
              <w:jc w:val="right"/>
              <w:rPr>
                <w:rFonts w:hint="eastAsia"/>
                <w:sz w:val="21"/>
                <w:szCs w:val="21"/>
              </w:rPr>
            </w:pPr>
            <w:r>
              <w:rPr>
                <w:color w:val="000000"/>
                <w:sz w:val="21"/>
                <w:szCs w:val="21"/>
              </w:rPr>
              <w:t>1,655,960.60</w:t>
            </w:r>
          </w:p>
        </w:tc>
        <w:tc>
          <w:tcPr>
            <w:tcW w:w="1313" w:type="pct"/>
            <w:shd w:val="solid" w:color="FFFFFF" w:fill="FFFFFF"/>
            <w:vAlign w:val="center"/>
          </w:tcPr>
          <w:p>
            <w:pPr>
              <w:adjustRightInd w:val="0"/>
              <w:snapToGrid w:val="0"/>
              <w:jc w:val="right"/>
              <w:rPr>
                <w:rFonts w:hint="eastAsia"/>
                <w:sz w:val="21"/>
                <w:szCs w:val="21"/>
              </w:rPr>
            </w:pPr>
            <w:r>
              <w:rPr>
                <w:color w:val="000000"/>
                <w:sz w:val="21"/>
                <w:szCs w:val="21"/>
              </w:rPr>
              <w:t>1,263,586.94</w:t>
            </w:r>
          </w:p>
        </w:tc>
        <w:tc>
          <w:tcPr>
            <w:tcW w:w="1314" w:type="pct"/>
            <w:shd w:val="solid" w:color="FFFFFF" w:fill="FFFFFF"/>
            <w:vAlign w:val="center"/>
          </w:tcPr>
          <w:p>
            <w:pPr>
              <w:adjustRightInd w:val="0"/>
              <w:snapToGrid w:val="0"/>
              <w:jc w:val="right"/>
              <w:rPr>
                <w:rFonts w:hint="eastAsia"/>
                <w:sz w:val="21"/>
                <w:szCs w:val="21"/>
              </w:rPr>
            </w:pPr>
            <w:r>
              <w:rPr>
                <w:color w:val="000000"/>
                <w:sz w:val="21"/>
                <w:szCs w:val="21"/>
              </w:rPr>
              <w:t>1,108,025.33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hint="eastAsia"/>
                <w:color w:val="000000"/>
                <w:sz w:val="21"/>
                <w:szCs w:val="21"/>
              </w:rPr>
            </w:pPr>
            <w:r>
              <w:rPr>
                <w:rFonts w:hint="eastAsia"/>
                <w:color w:val="000000"/>
                <w:sz w:val="21"/>
                <w:szCs w:val="21"/>
              </w:rPr>
              <w:t>归属于母公司股东的所有者权益</w:t>
            </w:r>
          </w:p>
        </w:tc>
        <w:tc>
          <w:tcPr>
            <w:tcW w:w="1313" w:type="pct"/>
            <w:shd w:val="solid" w:color="FFFFFF" w:fill="FFFFFF"/>
            <w:vAlign w:val="center"/>
          </w:tcPr>
          <w:p>
            <w:pPr>
              <w:adjustRightInd w:val="0"/>
              <w:snapToGrid w:val="0"/>
              <w:jc w:val="right"/>
              <w:rPr>
                <w:rFonts w:hint="eastAsia"/>
                <w:color w:val="000000"/>
                <w:sz w:val="21"/>
                <w:szCs w:val="21"/>
              </w:rPr>
            </w:pPr>
            <w:r>
              <w:rPr>
                <w:rFonts w:hint="eastAsia"/>
                <w:color w:val="000000"/>
                <w:sz w:val="21"/>
                <w:szCs w:val="21"/>
              </w:rPr>
              <w:t>1,002,839.14</w:t>
            </w:r>
          </w:p>
        </w:tc>
        <w:tc>
          <w:tcPr>
            <w:tcW w:w="1313" w:type="pct"/>
            <w:shd w:val="solid" w:color="FFFFFF" w:fill="FFFFFF"/>
            <w:vAlign w:val="center"/>
          </w:tcPr>
          <w:p>
            <w:pPr>
              <w:jc w:val="right"/>
              <w:textAlignment w:val="center"/>
              <w:rPr>
                <w:rFonts w:hint="eastAsia"/>
                <w:color w:val="000000"/>
                <w:sz w:val="21"/>
                <w:szCs w:val="21"/>
              </w:rPr>
            </w:pPr>
            <w:r>
              <w:rPr>
                <w:rFonts w:hint="eastAsia"/>
                <w:color w:val="000000"/>
                <w:sz w:val="21"/>
                <w:szCs w:val="21"/>
              </w:rPr>
              <w:t>881,992.86</w:t>
            </w:r>
          </w:p>
        </w:tc>
        <w:tc>
          <w:tcPr>
            <w:tcW w:w="1314" w:type="pct"/>
            <w:shd w:val="solid" w:color="FFFFFF" w:fill="FFFFFF"/>
            <w:vAlign w:val="center"/>
          </w:tcPr>
          <w:p>
            <w:pPr>
              <w:jc w:val="right"/>
              <w:textAlignment w:val="center"/>
              <w:rPr>
                <w:rFonts w:hint="eastAsia"/>
                <w:color w:val="000000"/>
                <w:sz w:val="21"/>
                <w:szCs w:val="21"/>
              </w:rPr>
            </w:pPr>
            <w:r>
              <w:rPr>
                <w:rFonts w:hint="eastAsia"/>
                <w:color w:val="000000"/>
                <w:sz w:val="21"/>
                <w:szCs w:val="21"/>
              </w:rPr>
              <w:t>620,172.43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keepNext/>
              <w:jc w:val="center"/>
              <w:rPr>
                <w:rFonts w:hint="eastAsia"/>
                <w:b/>
                <w:sz w:val="21"/>
                <w:szCs w:val="21"/>
              </w:rPr>
            </w:pPr>
            <w:r>
              <w:rPr>
                <w:rFonts w:hint="eastAsia"/>
                <w:b/>
                <w:sz w:val="21"/>
                <w:szCs w:val="21"/>
              </w:rPr>
              <w:t>项目</w:t>
            </w:r>
          </w:p>
        </w:tc>
        <w:tc>
          <w:tcPr>
            <w:tcW w:w="1313" w:type="pct"/>
            <w:shd w:val="solid" w:color="FFFFFF" w:fill="FFFFFF"/>
            <w:vAlign w:val="center"/>
          </w:tcPr>
          <w:p>
            <w:pPr>
              <w:keepNext/>
              <w:jc w:val="center"/>
              <w:rPr>
                <w:rFonts w:hint="eastAsia"/>
                <w:b/>
                <w:sz w:val="21"/>
                <w:szCs w:val="21"/>
              </w:rPr>
            </w:pPr>
            <w:r>
              <w:rPr>
                <w:rFonts w:hint="eastAsia"/>
                <w:b/>
                <w:sz w:val="21"/>
                <w:szCs w:val="21"/>
              </w:rPr>
              <w:t>2024年1-11月</w:t>
            </w:r>
          </w:p>
        </w:tc>
        <w:tc>
          <w:tcPr>
            <w:tcW w:w="1313" w:type="pct"/>
            <w:shd w:val="solid" w:color="FFFFFF" w:fill="FFFFFF"/>
            <w:vAlign w:val="center"/>
          </w:tcPr>
          <w:p>
            <w:pPr>
              <w:keepNext/>
              <w:jc w:val="center"/>
              <w:rPr>
                <w:rFonts w:hint="eastAsia"/>
                <w:b/>
                <w:sz w:val="21"/>
                <w:szCs w:val="21"/>
              </w:rPr>
            </w:pPr>
            <w:r>
              <w:rPr>
                <w:rFonts w:hint="eastAsia"/>
                <w:b/>
                <w:sz w:val="21"/>
                <w:szCs w:val="21"/>
              </w:rPr>
              <w:t>2023年度</w:t>
            </w:r>
          </w:p>
        </w:tc>
        <w:tc>
          <w:tcPr>
            <w:tcW w:w="1314" w:type="pct"/>
            <w:shd w:val="solid" w:color="FFFFFF" w:fill="FFFFFF"/>
            <w:vAlign w:val="center"/>
          </w:tcPr>
          <w:p>
            <w:pPr>
              <w:keepNext/>
              <w:jc w:val="center"/>
              <w:rPr>
                <w:rFonts w:hint="eastAsia"/>
                <w:b/>
                <w:sz w:val="21"/>
                <w:szCs w:val="21"/>
              </w:rPr>
            </w:pPr>
            <w:r>
              <w:rPr>
                <w:rFonts w:hint="eastAsia"/>
                <w:b/>
                <w:sz w:val="21"/>
                <w:szCs w:val="21"/>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hint="eastAsia"/>
                <w:color w:val="000000"/>
                <w:sz w:val="21"/>
                <w:szCs w:val="21"/>
              </w:rPr>
            </w:pPr>
            <w:r>
              <w:rPr>
                <w:rFonts w:hint="eastAsia"/>
                <w:color w:val="000000"/>
                <w:sz w:val="21"/>
                <w:szCs w:val="21"/>
              </w:rPr>
              <w:t>营业收入</w:t>
            </w:r>
          </w:p>
        </w:tc>
        <w:tc>
          <w:tcPr>
            <w:tcW w:w="1313" w:type="pct"/>
            <w:shd w:val="solid" w:color="FFFFFF" w:fill="FFFFFF"/>
            <w:vAlign w:val="center"/>
          </w:tcPr>
          <w:p>
            <w:pPr>
              <w:jc w:val="right"/>
              <w:rPr>
                <w:rFonts w:hint="eastAsia"/>
                <w:sz w:val="21"/>
                <w:szCs w:val="21"/>
              </w:rPr>
            </w:pPr>
            <w:r>
              <w:rPr>
                <w:color w:val="000000"/>
                <w:sz w:val="21"/>
                <w:szCs w:val="21"/>
              </w:rPr>
              <w:t>1,578,053.23</w:t>
            </w:r>
          </w:p>
        </w:tc>
        <w:tc>
          <w:tcPr>
            <w:tcW w:w="1313" w:type="pct"/>
            <w:shd w:val="solid" w:color="FFFFFF" w:fill="FFFFFF"/>
            <w:vAlign w:val="center"/>
          </w:tcPr>
          <w:p>
            <w:pPr>
              <w:jc w:val="right"/>
              <w:rPr>
                <w:rFonts w:hint="eastAsia"/>
                <w:sz w:val="21"/>
                <w:szCs w:val="21"/>
              </w:rPr>
            </w:pPr>
            <w:r>
              <w:rPr>
                <w:color w:val="000000"/>
                <w:sz w:val="21"/>
                <w:szCs w:val="21"/>
              </w:rPr>
              <w:t>1,591,818.87</w:t>
            </w:r>
          </w:p>
        </w:tc>
        <w:tc>
          <w:tcPr>
            <w:tcW w:w="1314" w:type="pct"/>
            <w:shd w:val="solid" w:color="FFFFFF" w:fill="FFFFFF"/>
            <w:vAlign w:val="center"/>
          </w:tcPr>
          <w:p>
            <w:pPr>
              <w:jc w:val="right"/>
              <w:rPr>
                <w:rFonts w:hint="eastAsia"/>
                <w:sz w:val="21"/>
                <w:szCs w:val="21"/>
              </w:rPr>
            </w:pPr>
            <w:r>
              <w:rPr>
                <w:color w:val="000000"/>
                <w:sz w:val="21"/>
                <w:szCs w:val="21"/>
              </w:rPr>
              <w:t>1,955,175.89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hint="eastAsia"/>
                <w:color w:val="000000"/>
                <w:sz w:val="21"/>
                <w:szCs w:val="21"/>
              </w:rPr>
            </w:pPr>
            <w:r>
              <w:rPr>
                <w:rFonts w:hint="eastAsia"/>
                <w:color w:val="000000"/>
                <w:sz w:val="21"/>
                <w:szCs w:val="21"/>
              </w:rPr>
              <w:t>营业利润</w:t>
            </w:r>
          </w:p>
        </w:tc>
        <w:tc>
          <w:tcPr>
            <w:tcW w:w="1313" w:type="pct"/>
            <w:shd w:val="solid" w:color="FFFFFF" w:fill="FFFFFF"/>
            <w:noWrap/>
            <w:vAlign w:val="center"/>
          </w:tcPr>
          <w:p>
            <w:pPr>
              <w:jc w:val="right"/>
              <w:rPr>
                <w:rFonts w:hint="eastAsia"/>
                <w:sz w:val="21"/>
                <w:szCs w:val="21"/>
              </w:rPr>
            </w:pPr>
            <w:r>
              <w:rPr>
                <w:color w:val="000000"/>
                <w:sz w:val="21"/>
                <w:szCs w:val="21"/>
              </w:rPr>
              <w:t>184,919.14</w:t>
            </w:r>
          </w:p>
        </w:tc>
        <w:tc>
          <w:tcPr>
            <w:tcW w:w="1313" w:type="pct"/>
            <w:shd w:val="solid" w:color="FFFFFF" w:fill="FFFFFF"/>
            <w:noWrap/>
            <w:vAlign w:val="center"/>
          </w:tcPr>
          <w:p>
            <w:pPr>
              <w:adjustRightInd w:val="0"/>
              <w:snapToGrid w:val="0"/>
              <w:jc w:val="right"/>
              <w:rPr>
                <w:rFonts w:hint="eastAsia"/>
                <w:sz w:val="21"/>
                <w:szCs w:val="21"/>
              </w:rPr>
            </w:pPr>
            <w:r>
              <w:rPr>
                <w:color w:val="000000"/>
                <w:sz w:val="21"/>
                <w:szCs w:val="21"/>
              </w:rPr>
              <w:t>333,006.64</w:t>
            </w:r>
          </w:p>
        </w:tc>
        <w:tc>
          <w:tcPr>
            <w:tcW w:w="1314" w:type="pct"/>
            <w:shd w:val="solid" w:color="FFFFFF" w:fill="FFFFFF"/>
            <w:vAlign w:val="center"/>
          </w:tcPr>
          <w:p>
            <w:pPr>
              <w:adjustRightInd w:val="0"/>
              <w:snapToGrid w:val="0"/>
              <w:jc w:val="right"/>
              <w:rPr>
                <w:rFonts w:hint="eastAsia"/>
                <w:sz w:val="21"/>
                <w:szCs w:val="21"/>
              </w:rPr>
            </w:pPr>
            <w:r>
              <w:rPr>
                <w:color w:val="000000"/>
                <w:sz w:val="21"/>
                <w:szCs w:val="21"/>
              </w:rPr>
              <w:t>559,956.03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hint="eastAsia"/>
                <w:color w:val="000000"/>
                <w:sz w:val="21"/>
                <w:szCs w:val="21"/>
              </w:rPr>
            </w:pPr>
            <w:r>
              <w:rPr>
                <w:rFonts w:hint="eastAsia"/>
                <w:color w:val="000000"/>
                <w:sz w:val="21"/>
                <w:szCs w:val="21"/>
              </w:rPr>
              <w:t>净利润</w:t>
            </w:r>
          </w:p>
        </w:tc>
        <w:tc>
          <w:tcPr>
            <w:tcW w:w="1313" w:type="pct"/>
            <w:shd w:val="solid" w:color="FFFFFF" w:fill="FFFFFF"/>
            <w:vAlign w:val="center"/>
          </w:tcPr>
          <w:p>
            <w:pPr>
              <w:jc w:val="right"/>
              <w:rPr>
                <w:rFonts w:hint="eastAsia"/>
                <w:sz w:val="21"/>
                <w:szCs w:val="21"/>
              </w:rPr>
            </w:pPr>
            <w:r>
              <w:rPr>
                <w:color w:val="000000"/>
                <w:sz w:val="21"/>
                <w:szCs w:val="21"/>
              </w:rPr>
              <w:t>147,408.88</w:t>
            </w:r>
          </w:p>
        </w:tc>
        <w:tc>
          <w:tcPr>
            <w:tcW w:w="1313" w:type="pct"/>
            <w:shd w:val="solid" w:color="FFFFFF" w:fill="FFFFFF"/>
            <w:vAlign w:val="center"/>
          </w:tcPr>
          <w:p>
            <w:pPr>
              <w:adjustRightInd w:val="0"/>
              <w:snapToGrid w:val="0"/>
              <w:jc w:val="right"/>
              <w:rPr>
                <w:rFonts w:hint="eastAsia"/>
                <w:sz w:val="21"/>
                <w:szCs w:val="21"/>
              </w:rPr>
            </w:pPr>
            <w:r>
              <w:rPr>
                <w:color w:val="000000"/>
                <w:sz w:val="21"/>
                <w:szCs w:val="21"/>
              </w:rPr>
              <w:t>226,575.60</w:t>
            </w:r>
          </w:p>
        </w:tc>
        <w:tc>
          <w:tcPr>
            <w:tcW w:w="1314" w:type="pct"/>
            <w:shd w:val="solid" w:color="FFFFFF" w:fill="FFFFFF"/>
            <w:vAlign w:val="center"/>
          </w:tcPr>
          <w:p>
            <w:pPr>
              <w:adjustRightInd w:val="0"/>
              <w:snapToGrid w:val="0"/>
              <w:jc w:val="right"/>
              <w:rPr>
                <w:rFonts w:hint="eastAsia"/>
                <w:sz w:val="21"/>
                <w:szCs w:val="21"/>
              </w:rPr>
            </w:pPr>
            <w:r>
              <w:rPr>
                <w:color w:val="000000"/>
                <w:sz w:val="21"/>
                <w:szCs w:val="21"/>
              </w:rPr>
              <w:t>466,128.31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hint="eastAsia"/>
                <w:color w:val="000000"/>
                <w:sz w:val="21"/>
                <w:szCs w:val="21"/>
              </w:rPr>
            </w:pPr>
            <w:r>
              <w:rPr>
                <w:rFonts w:hint="eastAsia"/>
                <w:color w:val="000000"/>
                <w:sz w:val="21"/>
                <w:szCs w:val="21"/>
              </w:rPr>
              <w:t>归属于母公司股东的净利润</w:t>
            </w:r>
          </w:p>
        </w:tc>
        <w:tc>
          <w:tcPr>
            <w:tcW w:w="1313" w:type="pct"/>
            <w:shd w:val="solid" w:color="FFFFFF" w:fill="FFFFFF"/>
            <w:vAlign w:val="center"/>
          </w:tcPr>
          <w:p>
            <w:pPr>
              <w:jc w:val="right"/>
              <w:rPr>
                <w:rFonts w:hint="eastAsia"/>
                <w:sz w:val="21"/>
                <w:szCs w:val="21"/>
              </w:rPr>
            </w:pPr>
            <w:r>
              <w:rPr>
                <w:color w:val="000000"/>
                <w:sz w:val="21"/>
                <w:szCs w:val="21"/>
              </w:rPr>
              <w:t>122,905.94</w:t>
            </w:r>
          </w:p>
        </w:tc>
        <w:tc>
          <w:tcPr>
            <w:tcW w:w="1313" w:type="pct"/>
            <w:shd w:val="solid" w:color="FFFFFF" w:fill="FFFFFF"/>
            <w:vAlign w:val="center"/>
          </w:tcPr>
          <w:p>
            <w:pPr>
              <w:jc w:val="right"/>
              <w:textAlignment w:val="center"/>
              <w:rPr>
                <w:rFonts w:hint="eastAsia"/>
                <w:sz w:val="21"/>
                <w:szCs w:val="21"/>
              </w:rPr>
            </w:pPr>
            <w:r>
              <w:rPr>
                <w:color w:val="000000"/>
                <w:sz w:val="21"/>
                <w:szCs w:val="21"/>
              </w:rPr>
              <w:t>142,005.89</w:t>
            </w:r>
          </w:p>
        </w:tc>
        <w:tc>
          <w:tcPr>
            <w:tcW w:w="1314" w:type="pct"/>
            <w:shd w:val="solid" w:color="FFFFFF" w:fill="FFFFFF"/>
            <w:vAlign w:val="center"/>
          </w:tcPr>
          <w:p>
            <w:pPr>
              <w:jc w:val="right"/>
              <w:textAlignment w:val="center"/>
              <w:rPr>
                <w:rFonts w:hint="eastAsia"/>
                <w:sz w:val="21"/>
                <w:szCs w:val="21"/>
              </w:rPr>
            </w:pPr>
            <w:r>
              <w:rPr>
                <w:color w:val="000000"/>
                <w:sz w:val="21"/>
                <w:szCs w:val="21"/>
              </w:rPr>
              <w:t>339,265.31</w:t>
            </w:r>
          </w:p>
        </w:tc>
      </w:tr>
    </w:tbl>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截至2</w:t>
      </w:r>
      <w:r>
        <w:rPr>
          <w:rFonts w:cs="Times New Roman" w:asciiTheme="minorEastAsia" w:hAnsiTheme="minorEastAsia" w:eastAsiaTheme="minorEastAsia"/>
          <w:color w:val="000000"/>
          <w:sz w:val="28"/>
          <w:szCs w:val="28"/>
        </w:rPr>
        <w:t>02</w:t>
      </w:r>
      <w:r>
        <w:rPr>
          <w:rFonts w:hint="eastAsia" w:cs="Times New Roman" w:asciiTheme="minorEastAsia" w:hAnsiTheme="minorEastAsia" w:eastAsiaTheme="minorEastAsia"/>
          <w:color w:val="000000"/>
          <w:sz w:val="28"/>
          <w:szCs w:val="28"/>
        </w:rPr>
        <w:t>4年11月30日，西北矿业及其控股子公司对山能集团关联方（西北矿业合并范围外）的非金融机构借款余额合计约48.48亿元，西北矿业及其控股子公司之间的非金融机构借款余额合计约41.78亿元；西北矿业及其控股子公司接受山能集团关联方担保余额合计约31.80亿元。本次交易交割日后存续情况预计如下：</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1</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淄矿集团与西北矿业正在履行的借款合同约定淄矿集团向西北矿业提供1</w:t>
      </w:r>
      <w:r>
        <w:rPr>
          <w:rFonts w:cs="Times New Roman" w:asciiTheme="minorEastAsia" w:hAnsiTheme="minorEastAsia" w:eastAsiaTheme="minorEastAsia"/>
          <w:color w:val="000000"/>
          <w:sz w:val="28"/>
          <w:szCs w:val="28"/>
        </w:rPr>
        <w:t>00</w:t>
      </w:r>
      <w:r>
        <w:rPr>
          <w:rFonts w:hint="eastAsia" w:cs="Times New Roman" w:asciiTheme="minorEastAsia" w:hAnsiTheme="minorEastAsia" w:eastAsiaTheme="minorEastAsia"/>
          <w:color w:val="000000"/>
          <w:sz w:val="28"/>
          <w:szCs w:val="28"/>
        </w:rPr>
        <w:t>亿元借款额度，西北矿业全资子公司龙矿投资接受淄矿集团借</w:t>
      </w:r>
      <w:bookmarkStart w:id="7" w:name="OLE_LINK15"/>
      <w:r>
        <w:rPr>
          <w:rFonts w:hint="eastAsia" w:cs="Times New Roman" w:asciiTheme="minorEastAsia" w:hAnsiTheme="minorEastAsia" w:eastAsiaTheme="minorEastAsia"/>
          <w:color w:val="000000"/>
          <w:sz w:val="28"/>
          <w:szCs w:val="28"/>
        </w:rPr>
        <w:t>款余额为1.05亿元</w:t>
      </w:r>
      <w:bookmarkEnd w:id="7"/>
      <w:r>
        <w:rPr>
          <w:rFonts w:hint="eastAsia" w:cs="Times New Roman" w:asciiTheme="minorEastAsia" w:hAnsiTheme="minorEastAsia" w:eastAsiaTheme="minorEastAsia"/>
          <w:color w:val="000000"/>
          <w:sz w:val="28"/>
          <w:szCs w:val="28"/>
        </w:rPr>
        <w:t>，前述借款利率不高于全国银行间同业拆借中心公布的</w:t>
      </w:r>
      <w:r>
        <w:rPr>
          <w:rFonts w:cs="Times New Roman" w:asciiTheme="minorEastAsia" w:hAnsiTheme="minorEastAsia" w:eastAsiaTheme="minorEastAsia"/>
          <w:color w:val="000000"/>
          <w:sz w:val="28"/>
          <w:szCs w:val="28"/>
        </w:rPr>
        <w:t>贷款市场报价利率</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2.</w:t>
      </w:r>
      <w:r>
        <w:rPr>
          <w:rFonts w:hint="eastAsia" w:cs="Times New Roman" w:asciiTheme="minorEastAsia" w:hAnsiTheme="minorEastAsia" w:eastAsiaTheme="minorEastAsia"/>
          <w:color w:val="000000"/>
          <w:sz w:val="28"/>
          <w:szCs w:val="28"/>
        </w:rPr>
        <w:t>西北矿业及其控股子公司之间存在32笔合计约41</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58亿元非金融机构借款。</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3</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山能集团及其下属公司为西北矿业下属公司的金融机构借款提供5笔金额合计约31</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80亿元的担保，被担保主体未提供反担保等增信措施。</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上述事项系本次交易完成前已发生并正在履行的借款和担保，本次交易完成后，公司将基于届时实际情况决定是否续展，如决定续展</w:t>
      </w:r>
      <w:r>
        <w:rPr>
          <w:rFonts w:cs="Times New Roman" w:asciiTheme="minorEastAsia" w:hAnsiTheme="minorEastAsia" w:eastAsiaTheme="minorEastAsia"/>
          <w:color w:val="000000"/>
          <w:sz w:val="28"/>
          <w:szCs w:val="28"/>
        </w:rPr>
        <w:t>,则公司将按照上市地监管规则履行审议和信息披露程序。</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（五）交易标的最近12个月内的资产评估、增资、减资或改制情况</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除本次交易对西北矿业进行评估外，西北矿业最近12个月内不存在其他资产评估、增资、减资或改制情况。</w:t>
      </w:r>
    </w:p>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四、交易标的的评估、定价情况</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（一）</w:t>
      </w:r>
      <w:r>
        <w:rPr>
          <w:rFonts w:ascii="楷体" w:hAnsi="楷体" w:eastAsia="楷体" w:cs="Times New Roman"/>
          <w:b/>
          <w:bCs/>
          <w:sz w:val="28"/>
          <w:szCs w:val="28"/>
        </w:rPr>
        <w:t>资产评估总体情况</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本次交易的资产评估机构北京中企华资产评估有限责任公司（“中企华”）以</w:t>
      </w:r>
      <w:r>
        <w:rPr>
          <w:rFonts w:cs="Times New Roman" w:asciiTheme="minorEastAsia" w:hAnsiTheme="minorEastAsia" w:eastAsiaTheme="minorEastAsia"/>
          <w:sz w:val="28"/>
          <w:szCs w:val="28"/>
        </w:rPr>
        <w:t>202</w:t>
      </w:r>
      <w:r>
        <w:rPr>
          <w:rFonts w:hint="eastAsia" w:cs="Times New Roman" w:asciiTheme="minorEastAsia" w:hAnsiTheme="minorEastAsia" w:eastAsiaTheme="minorEastAsia"/>
          <w:sz w:val="28"/>
          <w:szCs w:val="28"/>
        </w:rPr>
        <w:t>4</w:t>
      </w:r>
      <w:r>
        <w:rPr>
          <w:rFonts w:cs="Times New Roman" w:asciiTheme="minorEastAsia" w:hAnsiTheme="minorEastAsia" w:eastAsiaTheme="minorEastAsia"/>
          <w:sz w:val="28"/>
          <w:szCs w:val="28"/>
        </w:rPr>
        <w:t>年</w:t>
      </w:r>
      <w:r>
        <w:rPr>
          <w:rFonts w:hint="eastAsia" w:cs="Times New Roman" w:asciiTheme="minorEastAsia" w:hAnsiTheme="minorEastAsia" w:eastAsiaTheme="minorEastAsia"/>
          <w:sz w:val="28"/>
          <w:szCs w:val="28"/>
        </w:rPr>
        <w:t>11</w:t>
      </w:r>
      <w:r>
        <w:rPr>
          <w:rFonts w:cs="Times New Roman" w:asciiTheme="minorEastAsia" w:hAnsiTheme="minorEastAsia" w:eastAsiaTheme="minorEastAsia"/>
          <w:sz w:val="28"/>
          <w:szCs w:val="28"/>
        </w:rPr>
        <w:t>月</w:t>
      </w:r>
      <w:r>
        <w:rPr>
          <w:rFonts w:hint="eastAsia" w:cs="Times New Roman" w:asciiTheme="minorEastAsia" w:hAnsiTheme="minorEastAsia" w:eastAsiaTheme="minorEastAsia"/>
          <w:sz w:val="28"/>
          <w:szCs w:val="28"/>
        </w:rPr>
        <w:t>30</w:t>
      </w:r>
      <w:r>
        <w:rPr>
          <w:rFonts w:cs="Times New Roman" w:asciiTheme="minorEastAsia" w:hAnsiTheme="minorEastAsia" w:eastAsiaTheme="minorEastAsia"/>
          <w:sz w:val="28"/>
          <w:szCs w:val="28"/>
        </w:rPr>
        <w:t>日为基准日，采用资产基础法对</w:t>
      </w:r>
      <w:r>
        <w:rPr>
          <w:rFonts w:hint="eastAsia" w:cs="Times New Roman" w:asciiTheme="minorEastAsia" w:hAnsiTheme="minorEastAsia" w:eastAsiaTheme="minorEastAsia"/>
          <w:sz w:val="28"/>
          <w:szCs w:val="28"/>
        </w:rPr>
        <w:t>西北矿业</w:t>
      </w:r>
      <w:r>
        <w:rPr>
          <w:rFonts w:cs="Times New Roman" w:asciiTheme="minorEastAsia" w:hAnsiTheme="minorEastAsia" w:eastAsiaTheme="minorEastAsia"/>
          <w:sz w:val="28"/>
          <w:szCs w:val="28"/>
        </w:rPr>
        <w:t>股东全部权益进行评估，并出具了</w:t>
      </w:r>
      <w:r>
        <w:rPr>
          <w:rFonts w:hint="eastAsia" w:cs="Times New Roman" w:asciiTheme="minorEastAsia" w:hAnsiTheme="minorEastAsia" w:eastAsiaTheme="minorEastAsia"/>
          <w:sz w:val="28"/>
          <w:szCs w:val="28"/>
        </w:rPr>
        <w:t>《山东能源集团有限公司拟将山东能源集团西北矿业有限公司整体注入兖矿能源集团股份有限公司项目涉及的山东能源集团西北矿业有限公司股东全部权益价值》</w:t>
      </w:r>
      <w:bookmarkStart w:id="8" w:name="OLE_LINK10"/>
      <w:r>
        <w:rPr>
          <w:rFonts w:hint="eastAsia" w:cs="Times New Roman" w:asciiTheme="minorEastAsia" w:hAnsiTheme="minorEastAsia" w:eastAsiaTheme="minorEastAsia"/>
          <w:sz w:val="28"/>
          <w:szCs w:val="28"/>
        </w:rPr>
        <w:t>（中企华评报字（2025）第6138号）</w:t>
      </w:r>
      <w:bookmarkEnd w:id="8"/>
      <w:r>
        <w:rPr>
          <w:rFonts w:hint="eastAsia" w:cs="Times New Roman" w:asciiTheme="minorEastAsia" w:hAnsiTheme="minorEastAsia" w:eastAsiaTheme="minorEastAsia"/>
          <w:sz w:val="28"/>
          <w:szCs w:val="28"/>
        </w:rPr>
        <w:t>（“《资产评估报告》”）</w:t>
      </w:r>
      <w:r>
        <w:rPr>
          <w:rFonts w:cs="Times New Roman" w:asciiTheme="minorEastAsia" w:hAnsiTheme="minorEastAsia" w:eastAsiaTheme="minorEastAsia"/>
          <w:sz w:val="28"/>
          <w:szCs w:val="28"/>
        </w:rPr>
        <w:t>。</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评估结果，西北矿业评估基准日总资产账面价值为301.89亿元，评估价值为419.64亿元，增值额为117.74亿元，增值率为39.00%；总负债账面价值为167.02亿元，评估价值为167.01亿元，减值率为0.01%；净资产账面价值为134.87亿元，净资产评估价值为252.63亿元，增值额为117.76亿元，增值率为87.3</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%。评估汇总情况详见下表：</w:t>
      </w:r>
    </w:p>
    <w:p>
      <w:pPr>
        <w:adjustRightInd w:val="0"/>
        <w:snapToGrid w:val="0"/>
        <w:ind w:left="206" w:leftChars="86"/>
        <w:jc w:val="right"/>
        <w:textAlignment w:val="baseline"/>
        <w:rPr>
          <w:rFonts w:hint="eastAsia" w:cs="Times New Roman" w:asciiTheme="minorEastAsia" w:hAnsiTheme="minorEastAsia" w:eastAsiaTheme="minorEastAsia"/>
        </w:rPr>
      </w:pPr>
      <w:r>
        <w:rPr>
          <w:rFonts w:hint="eastAsia" w:cs="Times New Roman" w:asciiTheme="minorEastAsia" w:hAnsiTheme="minorEastAsia" w:eastAsiaTheme="minorEastAsia"/>
        </w:rPr>
        <w:t>单位：万元</w:t>
      </w:r>
    </w:p>
    <w:tbl>
      <w:tblPr>
        <w:tblStyle w:val="20"/>
        <w:tblW w:w="489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1543"/>
        <w:gridCol w:w="1553"/>
        <w:gridCol w:w="1622"/>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22" w:type="pct"/>
            <w:vMerge w:val="restart"/>
            <w:vAlign w:val="center"/>
          </w:tcPr>
          <w:p>
            <w:pPr>
              <w:adjustRightInd w:val="0"/>
              <w:snapToGrid w:val="0"/>
              <w:spacing w:before="60" w:after="60"/>
              <w:jc w:val="center"/>
              <w:textAlignment w:val="baseline"/>
              <w:rPr>
                <w:rFonts w:hint="eastAsia"/>
                <w:b/>
                <w:sz w:val="21"/>
                <w:szCs w:val="21"/>
              </w:rPr>
            </w:pPr>
            <w:r>
              <w:rPr>
                <w:rFonts w:hint="eastAsia"/>
                <w:b/>
                <w:sz w:val="21"/>
                <w:szCs w:val="21"/>
              </w:rPr>
              <w:t>项目</w:t>
            </w:r>
          </w:p>
        </w:tc>
        <w:tc>
          <w:tcPr>
            <w:tcW w:w="924" w:type="pct"/>
            <w:vAlign w:val="center"/>
          </w:tcPr>
          <w:p>
            <w:pPr>
              <w:adjustRightInd w:val="0"/>
              <w:snapToGrid w:val="0"/>
              <w:spacing w:before="60" w:after="60"/>
              <w:jc w:val="center"/>
              <w:textAlignment w:val="baseline"/>
              <w:rPr>
                <w:rFonts w:hint="eastAsia"/>
                <w:b/>
                <w:sz w:val="21"/>
                <w:szCs w:val="21"/>
              </w:rPr>
            </w:pPr>
            <w:r>
              <w:rPr>
                <w:rFonts w:hint="eastAsia"/>
                <w:b/>
                <w:sz w:val="21"/>
                <w:szCs w:val="21"/>
              </w:rPr>
              <w:t>账面价值</w:t>
            </w:r>
          </w:p>
        </w:tc>
        <w:tc>
          <w:tcPr>
            <w:tcW w:w="930" w:type="pct"/>
            <w:vAlign w:val="center"/>
          </w:tcPr>
          <w:p>
            <w:pPr>
              <w:adjustRightInd w:val="0"/>
              <w:snapToGrid w:val="0"/>
              <w:spacing w:before="60" w:after="60"/>
              <w:jc w:val="center"/>
              <w:textAlignment w:val="baseline"/>
              <w:rPr>
                <w:rFonts w:hint="eastAsia"/>
                <w:b/>
                <w:sz w:val="21"/>
                <w:szCs w:val="21"/>
              </w:rPr>
            </w:pPr>
            <w:r>
              <w:rPr>
                <w:rFonts w:hint="eastAsia"/>
                <w:b/>
                <w:sz w:val="21"/>
                <w:szCs w:val="21"/>
              </w:rPr>
              <w:t>评估价值</w:t>
            </w:r>
          </w:p>
        </w:tc>
        <w:tc>
          <w:tcPr>
            <w:tcW w:w="972" w:type="pct"/>
            <w:vAlign w:val="center"/>
          </w:tcPr>
          <w:p>
            <w:pPr>
              <w:adjustRightInd w:val="0"/>
              <w:snapToGrid w:val="0"/>
              <w:spacing w:before="60" w:after="60"/>
              <w:jc w:val="center"/>
              <w:textAlignment w:val="baseline"/>
              <w:rPr>
                <w:rFonts w:hint="eastAsia"/>
                <w:b/>
                <w:sz w:val="21"/>
                <w:szCs w:val="21"/>
              </w:rPr>
            </w:pPr>
            <w:r>
              <w:rPr>
                <w:rFonts w:hint="eastAsia"/>
                <w:b/>
                <w:sz w:val="21"/>
                <w:szCs w:val="21"/>
              </w:rPr>
              <w:t>增值额</w:t>
            </w:r>
          </w:p>
        </w:tc>
        <w:tc>
          <w:tcPr>
            <w:tcW w:w="850" w:type="pct"/>
            <w:vAlign w:val="center"/>
          </w:tcPr>
          <w:p>
            <w:pPr>
              <w:adjustRightInd w:val="0"/>
              <w:snapToGrid w:val="0"/>
              <w:spacing w:before="60" w:after="60"/>
              <w:jc w:val="center"/>
              <w:textAlignment w:val="baseline"/>
              <w:rPr>
                <w:rFonts w:hint="eastAsia"/>
                <w:b/>
                <w:sz w:val="21"/>
                <w:szCs w:val="21"/>
              </w:rPr>
            </w:pPr>
            <w:r>
              <w:rPr>
                <w:rFonts w:hint="eastAsia"/>
                <w:b/>
                <w:sz w:val="21"/>
                <w:szCs w:val="21"/>
              </w:rPr>
              <w:t>增值率</w:t>
            </w:r>
            <w:r>
              <w:rPr>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Merge w:val="continue"/>
            <w:vAlign w:val="center"/>
          </w:tcPr>
          <w:p>
            <w:pPr>
              <w:adjustRightInd w:val="0"/>
              <w:snapToGrid w:val="0"/>
              <w:spacing w:before="60" w:after="60"/>
              <w:textAlignment w:val="baseline"/>
              <w:rPr>
                <w:rFonts w:hint="eastAsia"/>
                <w:sz w:val="21"/>
                <w:szCs w:val="21"/>
              </w:rPr>
            </w:pPr>
          </w:p>
        </w:tc>
        <w:tc>
          <w:tcPr>
            <w:tcW w:w="9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textAlignment w:val="baseline"/>
              <w:rPr>
                <w:rFonts w:hint="eastAsia"/>
                <w:color w:val="000000"/>
                <w:sz w:val="21"/>
                <w:szCs w:val="21"/>
              </w:rPr>
            </w:pPr>
            <w:r>
              <w:rPr>
                <w:b/>
                <w:sz w:val="21"/>
                <w:szCs w:val="21"/>
              </w:rPr>
              <w:t>A</w:t>
            </w:r>
          </w:p>
        </w:tc>
        <w:tc>
          <w:tcPr>
            <w:tcW w:w="93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center"/>
              <w:textAlignment w:val="baseline"/>
              <w:rPr>
                <w:rFonts w:hint="eastAsia"/>
                <w:color w:val="000000"/>
                <w:sz w:val="21"/>
                <w:szCs w:val="21"/>
              </w:rPr>
            </w:pPr>
            <w:r>
              <w:rPr>
                <w:b/>
                <w:sz w:val="21"/>
                <w:szCs w:val="21"/>
              </w:rPr>
              <w:t>B</w:t>
            </w:r>
          </w:p>
        </w:tc>
        <w:tc>
          <w:tcPr>
            <w:tcW w:w="972"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center"/>
              <w:textAlignment w:val="baseline"/>
              <w:rPr>
                <w:rFonts w:hint="eastAsia"/>
                <w:color w:val="000000"/>
                <w:sz w:val="21"/>
                <w:szCs w:val="21"/>
              </w:rPr>
            </w:pPr>
            <w:r>
              <w:rPr>
                <w:b/>
                <w:sz w:val="21"/>
                <w:szCs w:val="21"/>
              </w:rPr>
              <w:t>C=B-A</w:t>
            </w: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center"/>
              <w:textAlignment w:val="baseline"/>
              <w:rPr>
                <w:rFonts w:hint="eastAsia"/>
                <w:color w:val="000000"/>
                <w:sz w:val="21"/>
                <w:szCs w:val="21"/>
              </w:rPr>
            </w:pPr>
            <w:r>
              <w:rPr>
                <w:b/>
                <w:sz w:val="21"/>
                <w:szCs w:val="21"/>
              </w:rPr>
              <w:t>D=C/A×100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sz w:val="21"/>
                <w:szCs w:val="21"/>
              </w:rPr>
            </w:pPr>
            <w:r>
              <w:rPr>
                <w:rFonts w:hint="eastAsia"/>
                <w:sz w:val="21"/>
                <w:szCs w:val="21"/>
              </w:rPr>
              <w:t>一、流动资产</w:t>
            </w:r>
          </w:p>
        </w:tc>
        <w:tc>
          <w:tcPr>
            <w:tcW w:w="9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632,516.40</w:t>
            </w:r>
          </w:p>
        </w:tc>
        <w:tc>
          <w:tcPr>
            <w:tcW w:w="93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632,516.40</w:t>
            </w:r>
          </w:p>
        </w:tc>
        <w:tc>
          <w:tcPr>
            <w:tcW w:w="972"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0.00</w:t>
            </w: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sz w:val="21"/>
                <w:szCs w:val="21"/>
              </w:rPr>
            </w:pPr>
            <w:r>
              <w:rPr>
                <w:rFonts w:hint="eastAsia"/>
                <w:sz w:val="21"/>
                <w:szCs w:val="21"/>
              </w:rPr>
              <w:t>二、非流动资产</w:t>
            </w:r>
          </w:p>
        </w:tc>
        <w:tc>
          <w:tcPr>
            <w:tcW w:w="924" w:type="pct"/>
            <w:tcBorders>
              <w:top w:val="nil"/>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2,386,418.73</w:t>
            </w:r>
          </w:p>
        </w:tc>
        <w:tc>
          <w:tcPr>
            <w:tcW w:w="93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3,563,856.11</w:t>
            </w:r>
          </w:p>
        </w:tc>
        <w:tc>
          <w:tcPr>
            <w:tcW w:w="972"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1,177,437.38</w:t>
            </w:r>
          </w:p>
        </w:tc>
        <w:tc>
          <w:tcPr>
            <w:tcW w:w="85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Cs/>
                <w:sz w:val="21"/>
                <w:szCs w:val="21"/>
              </w:rPr>
            </w:pPr>
            <w:r>
              <w:rPr>
                <w:rFonts w:hint="eastAsia"/>
                <w:sz w:val="21"/>
                <w:szCs w:val="21"/>
              </w:rPr>
              <w:t>其中：长期股权投资</w:t>
            </w:r>
          </w:p>
        </w:tc>
        <w:tc>
          <w:tcPr>
            <w:tcW w:w="924" w:type="pct"/>
            <w:tcBorders>
              <w:top w:val="nil"/>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2,193,849.18</w:t>
            </w:r>
          </w:p>
        </w:tc>
        <w:tc>
          <w:tcPr>
            <w:tcW w:w="93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3,372,514.10</w:t>
            </w:r>
          </w:p>
        </w:tc>
        <w:tc>
          <w:tcPr>
            <w:tcW w:w="972"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1,178,664.92</w:t>
            </w:r>
          </w:p>
        </w:tc>
        <w:tc>
          <w:tcPr>
            <w:tcW w:w="85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sz w:val="21"/>
                <w:szCs w:val="21"/>
              </w:rPr>
            </w:pPr>
            <w:r>
              <w:rPr>
                <w:rFonts w:hint="eastAsia"/>
                <w:sz w:val="21"/>
                <w:szCs w:val="21"/>
              </w:rPr>
              <w:t xml:space="preserve">     投资性房地产</w:t>
            </w:r>
          </w:p>
        </w:tc>
        <w:tc>
          <w:tcPr>
            <w:tcW w:w="924" w:type="pct"/>
            <w:tcBorders>
              <w:top w:val="nil"/>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3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72"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85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Cs/>
                <w:sz w:val="21"/>
                <w:szCs w:val="21"/>
              </w:rPr>
            </w:pPr>
            <w:r>
              <w:rPr>
                <w:rFonts w:hint="eastAsia"/>
                <w:sz w:val="21"/>
                <w:szCs w:val="21"/>
              </w:rPr>
              <w:t xml:space="preserve">     固定资产</w:t>
            </w:r>
          </w:p>
        </w:tc>
        <w:tc>
          <w:tcPr>
            <w:tcW w:w="924" w:type="pct"/>
            <w:tcBorders>
              <w:top w:val="nil"/>
              <w:left w:val="single" w:color="auto" w:sz="4" w:space="0"/>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4,822.94</w:t>
            </w:r>
          </w:p>
        </w:tc>
        <w:tc>
          <w:tcPr>
            <w:tcW w:w="93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3,545.51</w:t>
            </w:r>
          </w:p>
        </w:tc>
        <w:tc>
          <w:tcPr>
            <w:tcW w:w="972"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-1,277.43</w:t>
            </w:r>
          </w:p>
        </w:tc>
        <w:tc>
          <w:tcPr>
            <w:tcW w:w="85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-26.49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sz w:val="21"/>
                <w:szCs w:val="21"/>
              </w:rPr>
            </w:pPr>
            <w:r>
              <w:rPr>
                <w:rFonts w:hint="eastAsia"/>
                <w:sz w:val="21"/>
                <w:szCs w:val="21"/>
              </w:rPr>
              <w:t xml:space="preserve">     在建工程</w:t>
            </w:r>
          </w:p>
        </w:tc>
        <w:tc>
          <w:tcPr>
            <w:tcW w:w="924" w:type="pct"/>
            <w:tcBorders>
              <w:top w:val="nil"/>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3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72"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85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Cs/>
                <w:sz w:val="21"/>
                <w:szCs w:val="21"/>
              </w:rPr>
            </w:pPr>
            <w:r>
              <w:rPr>
                <w:rFonts w:hint="eastAsia"/>
                <w:sz w:val="21"/>
                <w:szCs w:val="21"/>
              </w:rPr>
              <w:t xml:space="preserve">     油气资产</w:t>
            </w:r>
          </w:p>
        </w:tc>
        <w:tc>
          <w:tcPr>
            <w:tcW w:w="924" w:type="pct"/>
            <w:tcBorders>
              <w:top w:val="nil"/>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3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72"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85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sz w:val="21"/>
                <w:szCs w:val="21"/>
              </w:rPr>
            </w:pPr>
            <w:r>
              <w:rPr>
                <w:rFonts w:hint="eastAsia"/>
                <w:sz w:val="21"/>
                <w:szCs w:val="21"/>
              </w:rPr>
              <w:t xml:space="preserve">     无形资产</w:t>
            </w:r>
          </w:p>
        </w:tc>
        <w:tc>
          <w:tcPr>
            <w:tcW w:w="924" w:type="pct"/>
            <w:tcBorders>
              <w:top w:val="nil"/>
              <w:left w:val="single" w:color="auto" w:sz="4" w:space="0"/>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55.76</w:t>
            </w:r>
          </w:p>
        </w:tc>
        <w:tc>
          <w:tcPr>
            <w:tcW w:w="93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105.65</w:t>
            </w:r>
          </w:p>
        </w:tc>
        <w:tc>
          <w:tcPr>
            <w:tcW w:w="972"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49.89</w:t>
            </w:r>
          </w:p>
        </w:tc>
        <w:tc>
          <w:tcPr>
            <w:tcW w:w="85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sz w:val="21"/>
                <w:szCs w:val="21"/>
              </w:rPr>
            </w:pPr>
            <w:r>
              <w:rPr>
                <w:rFonts w:hint="eastAsia"/>
                <w:sz w:val="21"/>
                <w:szCs w:val="21"/>
              </w:rPr>
              <w:t xml:space="preserve">  其中：土地使用权</w:t>
            </w:r>
          </w:p>
        </w:tc>
        <w:tc>
          <w:tcPr>
            <w:tcW w:w="924" w:type="pct"/>
            <w:tcBorders>
              <w:top w:val="nil"/>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3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972"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c>
          <w:tcPr>
            <w:tcW w:w="85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
                <w:bCs/>
                <w:sz w:val="21"/>
                <w:szCs w:val="21"/>
              </w:rPr>
            </w:pPr>
            <w:r>
              <w:rPr>
                <w:rFonts w:hint="eastAsia"/>
                <w:sz w:val="21"/>
                <w:szCs w:val="21"/>
              </w:rPr>
              <w:t xml:space="preserve">    其他非流动资产</w:t>
            </w:r>
          </w:p>
        </w:tc>
        <w:tc>
          <w:tcPr>
            <w:tcW w:w="924" w:type="pct"/>
            <w:tcBorders>
              <w:top w:val="nil"/>
              <w:left w:val="single" w:color="auto" w:sz="4" w:space="0"/>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187,690.85</w:t>
            </w:r>
          </w:p>
        </w:tc>
        <w:tc>
          <w:tcPr>
            <w:tcW w:w="93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187,690.85</w:t>
            </w:r>
          </w:p>
        </w:tc>
        <w:tc>
          <w:tcPr>
            <w:tcW w:w="972"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0.00</w:t>
            </w:r>
          </w:p>
        </w:tc>
        <w:tc>
          <w:tcPr>
            <w:tcW w:w="85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
                <w:sz w:val="21"/>
                <w:szCs w:val="21"/>
              </w:rPr>
            </w:pPr>
            <w:r>
              <w:rPr>
                <w:rFonts w:hint="eastAsia"/>
                <w:b/>
                <w:sz w:val="21"/>
                <w:szCs w:val="21"/>
              </w:rPr>
              <w:t>资产总计</w:t>
            </w:r>
          </w:p>
        </w:tc>
        <w:tc>
          <w:tcPr>
            <w:tcW w:w="924" w:type="pct"/>
            <w:tcBorders>
              <w:top w:val="nil"/>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3,018,935.13</w:t>
            </w:r>
          </w:p>
        </w:tc>
        <w:tc>
          <w:tcPr>
            <w:tcW w:w="93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4,196,372.51</w:t>
            </w:r>
          </w:p>
        </w:tc>
        <w:tc>
          <w:tcPr>
            <w:tcW w:w="972"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1,177,437.38</w:t>
            </w:r>
          </w:p>
        </w:tc>
        <w:tc>
          <w:tcPr>
            <w:tcW w:w="850" w:type="pct"/>
            <w:tcBorders>
              <w:top w:val="nil"/>
              <w:left w:val="nil"/>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sz w:val="21"/>
                <w:szCs w:val="21"/>
              </w:rPr>
            </w:pPr>
            <w:r>
              <w:rPr>
                <w:rFonts w:hint="eastAsia"/>
                <w:sz w:val="21"/>
                <w:szCs w:val="21"/>
              </w:rPr>
              <w:t>三、流动负债</w:t>
            </w:r>
          </w:p>
        </w:tc>
        <w:tc>
          <w:tcPr>
            <w:tcW w:w="924" w:type="pct"/>
            <w:tcBorders>
              <w:top w:val="nil"/>
              <w:left w:val="single" w:color="auto" w:sz="4" w:space="0"/>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811,758.34</w:t>
            </w:r>
          </w:p>
        </w:tc>
        <w:tc>
          <w:tcPr>
            <w:tcW w:w="93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811,641.10</w:t>
            </w:r>
          </w:p>
        </w:tc>
        <w:tc>
          <w:tcPr>
            <w:tcW w:w="972"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-117.24</w:t>
            </w:r>
          </w:p>
        </w:tc>
        <w:tc>
          <w:tcPr>
            <w:tcW w:w="850" w:type="pct"/>
            <w:tcBorders>
              <w:top w:val="nil"/>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
                <w:sz w:val="21"/>
                <w:szCs w:val="21"/>
              </w:rPr>
            </w:pPr>
            <w:r>
              <w:rPr>
                <w:rFonts w:hint="eastAsia"/>
                <w:sz w:val="21"/>
                <w:szCs w:val="21"/>
              </w:rPr>
              <w:t>四、非流动负债</w:t>
            </w:r>
          </w:p>
        </w:tc>
        <w:tc>
          <w:tcPr>
            <w:tcW w:w="9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858,480.86</w:t>
            </w:r>
          </w:p>
        </w:tc>
        <w:tc>
          <w:tcPr>
            <w:tcW w:w="93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858,480.86</w:t>
            </w:r>
          </w:p>
        </w:tc>
        <w:tc>
          <w:tcPr>
            <w:tcW w:w="972"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0.00</w:t>
            </w: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color w:val="000000"/>
                <w:sz w:val="21"/>
                <w:szCs w:val="21"/>
              </w:rPr>
            </w:pPr>
            <w:r>
              <w:rPr>
                <w:rFonts w:hint="eastAsia"/>
                <w:color w:val="00000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
                <w:sz w:val="21"/>
                <w:szCs w:val="21"/>
              </w:rPr>
            </w:pPr>
            <w:r>
              <w:rPr>
                <w:rFonts w:hint="eastAsia"/>
                <w:b/>
                <w:sz w:val="21"/>
                <w:szCs w:val="21"/>
              </w:rPr>
              <w:t>负债总计</w:t>
            </w:r>
          </w:p>
        </w:tc>
        <w:tc>
          <w:tcPr>
            <w:tcW w:w="9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1,670,239.20</w:t>
            </w:r>
          </w:p>
        </w:tc>
        <w:tc>
          <w:tcPr>
            <w:tcW w:w="93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1,670,121.96</w:t>
            </w:r>
          </w:p>
        </w:tc>
        <w:tc>
          <w:tcPr>
            <w:tcW w:w="972"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-117.24</w:t>
            </w: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2" w:type="pct"/>
            <w:vAlign w:val="center"/>
          </w:tcPr>
          <w:p>
            <w:pPr>
              <w:adjustRightInd w:val="0"/>
              <w:snapToGrid w:val="0"/>
              <w:spacing w:before="60" w:after="60"/>
              <w:textAlignment w:val="baseline"/>
              <w:rPr>
                <w:rFonts w:hint="eastAsia"/>
                <w:b/>
                <w:sz w:val="21"/>
                <w:szCs w:val="21"/>
              </w:rPr>
            </w:pPr>
            <w:r>
              <w:rPr>
                <w:rFonts w:hint="eastAsia"/>
                <w:b/>
                <w:sz w:val="21"/>
                <w:szCs w:val="21"/>
              </w:rPr>
              <w:t>净资产</w:t>
            </w:r>
          </w:p>
        </w:tc>
        <w:tc>
          <w:tcPr>
            <w:tcW w:w="924" w:type="pct"/>
            <w:tcBorders>
              <w:top w:val="single" w:color="auto" w:sz="4" w:space="0"/>
              <w:left w:val="single" w:color="auto" w:sz="4" w:space="0"/>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1,348,695.93</w:t>
            </w:r>
          </w:p>
        </w:tc>
        <w:tc>
          <w:tcPr>
            <w:tcW w:w="930" w:type="pct"/>
            <w:tcBorders>
              <w:top w:val="single" w:color="auto" w:sz="4" w:space="0"/>
              <w:left w:val="nil"/>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2,526,250.55</w:t>
            </w:r>
          </w:p>
        </w:tc>
        <w:tc>
          <w:tcPr>
            <w:tcW w:w="972" w:type="pct"/>
            <w:tcBorders>
              <w:top w:val="single" w:color="auto" w:sz="4" w:space="0"/>
              <w:left w:val="nil"/>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1,177,554.62</w:t>
            </w:r>
          </w:p>
        </w:tc>
        <w:tc>
          <w:tcPr>
            <w:tcW w:w="850" w:type="pct"/>
            <w:tcBorders>
              <w:top w:val="single" w:color="auto" w:sz="4" w:space="0"/>
              <w:left w:val="nil"/>
              <w:bottom w:val="single" w:color="auto" w:sz="4" w:space="0"/>
              <w:right w:val="single" w:color="auto" w:sz="4" w:space="0"/>
            </w:tcBorders>
          </w:tcPr>
          <w:p>
            <w:pPr>
              <w:adjustRightInd w:val="0"/>
              <w:snapToGrid w:val="0"/>
              <w:spacing w:before="60" w:after="60"/>
              <w:jc w:val="right"/>
              <w:textAlignment w:val="baseline"/>
              <w:rPr>
                <w:rFonts w:hint="eastAsia"/>
                <w:b/>
                <w:bCs/>
                <w:color w:val="000000"/>
                <w:sz w:val="21"/>
                <w:szCs w:val="21"/>
              </w:rPr>
            </w:pPr>
            <w:r>
              <w:rPr>
                <w:rFonts w:hint="eastAsia"/>
                <w:b/>
                <w:bCs/>
                <w:color w:val="000000"/>
                <w:sz w:val="21"/>
                <w:szCs w:val="21"/>
              </w:rPr>
              <w:t>87.31</w:t>
            </w:r>
          </w:p>
        </w:tc>
      </w:tr>
    </w:tbl>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（二）评估合理性分析</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根据评估结果，西北矿业评估增值主要源于长期股权投资项目（即下属子公司），而下属子公司的评估增值主要源于矿业权评估增值。西北矿业评估增值具体构成情况如下：</w:t>
      </w:r>
    </w:p>
    <w:p>
      <w:pPr>
        <w:keepNext/>
        <w:adjustRightInd w:val="0"/>
        <w:snapToGrid w:val="0"/>
        <w:ind w:left="206" w:leftChars="86"/>
        <w:jc w:val="right"/>
        <w:textAlignment w:val="baseline"/>
        <w:rPr>
          <w:rFonts w:hint="eastAsia" w:cs="Times New Roman" w:asciiTheme="minorEastAsia" w:hAnsiTheme="minorEastAsia" w:eastAsiaTheme="minorEastAsia"/>
        </w:rPr>
      </w:pPr>
      <w:r>
        <w:rPr>
          <w:rFonts w:hint="eastAsia" w:cs="Times New Roman" w:asciiTheme="minorEastAsia" w:hAnsiTheme="minorEastAsia" w:eastAsiaTheme="minorEastAsia"/>
        </w:rPr>
        <w:t>单位：万元</w:t>
      </w:r>
    </w:p>
    <w:tbl>
      <w:tblPr>
        <w:tblStyle w:val="20"/>
        <w:tblW w:w="5038"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594"/>
        <w:gridCol w:w="848"/>
        <w:gridCol w:w="1134"/>
        <w:gridCol w:w="1844"/>
        <w:gridCol w:w="1417"/>
        <w:gridCol w:w="1330"/>
        <w:gridCol w:w="1259"/>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07" w:hRule="atLeast"/>
          <w:tblHeader/>
          <w:jc w:val="center"/>
        </w:trPr>
        <w:tc>
          <w:tcPr>
            <w:tcW w:w="353" w:type="pct"/>
            <w:vMerge w:val="restart"/>
            <w:shd w:val="clear" w:color="auto" w:fill="auto"/>
            <w:vAlign w:val="center"/>
          </w:tcPr>
          <w:p>
            <w:pPr>
              <w:keepNext/>
              <w:widowControl w:val="0"/>
              <w:adjustRightInd w:val="0"/>
              <w:snapToGrid w:val="0"/>
              <w:jc w:val="center"/>
              <w:textAlignment w:val="baseline"/>
              <w:rPr>
                <w:rFonts w:ascii="Times New Roman" w:hAnsi="Times New Roman" w:cs="Times New Roman"/>
                <w:b/>
                <w:sz w:val="21"/>
              </w:rPr>
            </w:pPr>
            <w:r>
              <w:rPr>
                <w:rFonts w:hint="eastAsia"/>
                <w:b/>
                <w:bCs/>
                <w:sz w:val="21"/>
                <w:szCs w:val="21"/>
              </w:rPr>
              <w:t>目标公司</w:t>
            </w:r>
          </w:p>
        </w:tc>
        <w:tc>
          <w:tcPr>
            <w:tcW w:w="504" w:type="pct"/>
            <w:vMerge w:val="restart"/>
            <w:shd w:val="clear" w:color="auto" w:fill="auto"/>
            <w:vAlign w:val="center"/>
          </w:tcPr>
          <w:p>
            <w:pPr>
              <w:keepNext/>
              <w:widowControl w:val="0"/>
              <w:adjustRightInd w:val="0"/>
              <w:snapToGrid w:val="0"/>
              <w:jc w:val="center"/>
              <w:textAlignment w:val="baseline"/>
              <w:rPr>
                <w:rFonts w:ascii="Times New Roman" w:hAnsi="Times New Roman" w:cs="Times New Roman"/>
                <w:b/>
                <w:sz w:val="21"/>
              </w:rPr>
            </w:pPr>
            <w:r>
              <w:rPr>
                <w:rFonts w:hint="eastAsia"/>
                <w:b/>
                <w:bCs/>
                <w:sz w:val="21"/>
                <w:szCs w:val="21"/>
              </w:rPr>
              <w:t>项目</w:t>
            </w:r>
            <w:r>
              <w:rPr>
                <w:b/>
                <w:bCs/>
                <w:sz w:val="21"/>
                <w:szCs w:val="21"/>
              </w:rPr>
              <w:t>/</w:t>
            </w:r>
            <w:r>
              <w:rPr>
                <w:rFonts w:hint="eastAsia"/>
                <w:b/>
                <w:bCs/>
                <w:sz w:val="21"/>
                <w:szCs w:val="21"/>
              </w:rPr>
              <w:t>金额</w:t>
            </w:r>
          </w:p>
        </w:tc>
        <w:tc>
          <w:tcPr>
            <w:tcW w:w="672" w:type="pct"/>
            <w:vMerge w:val="restart"/>
            <w:shd w:val="clear" w:color="auto" w:fill="auto"/>
            <w:vAlign w:val="center"/>
          </w:tcPr>
          <w:p>
            <w:pPr>
              <w:keepNext/>
              <w:widowControl w:val="0"/>
              <w:adjustRightInd w:val="0"/>
              <w:snapToGrid w:val="0"/>
              <w:jc w:val="center"/>
              <w:textAlignment w:val="baseline"/>
              <w:rPr>
                <w:rFonts w:ascii="Times New Roman" w:hAnsi="Times New Roman" w:cs="Times New Roman"/>
                <w:b/>
                <w:sz w:val="21"/>
              </w:rPr>
            </w:pPr>
            <w:r>
              <w:rPr>
                <w:rFonts w:hint="eastAsia"/>
                <w:b/>
                <w:bCs/>
                <w:sz w:val="21"/>
                <w:szCs w:val="21"/>
              </w:rPr>
              <w:t>目标公司</w:t>
            </w:r>
          </w:p>
        </w:tc>
        <w:tc>
          <w:tcPr>
            <w:tcW w:w="1093" w:type="pct"/>
            <w:shd w:val="clear" w:color="auto" w:fill="auto"/>
            <w:vAlign w:val="center"/>
          </w:tcPr>
          <w:p>
            <w:pPr>
              <w:keepNext/>
              <w:widowControl w:val="0"/>
              <w:adjustRightInd w:val="0"/>
              <w:snapToGrid w:val="0"/>
              <w:jc w:val="center"/>
              <w:textAlignment w:val="baseline"/>
              <w:rPr>
                <w:rFonts w:ascii="Times New Roman" w:hAnsi="Times New Roman" w:cs="Times New Roman"/>
                <w:b/>
                <w:sz w:val="21"/>
              </w:rPr>
            </w:pPr>
            <w:r>
              <w:rPr>
                <w:b/>
                <w:bCs/>
                <w:sz w:val="21"/>
                <w:szCs w:val="21"/>
              </w:rPr>
              <w:t>100%</w:t>
            </w:r>
            <w:r>
              <w:rPr>
                <w:rFonts w:hint="eastAsia"/>
                <w:b/>
                <w:bCs/>
                <w:sz w:val="21"/>
                <w:szCs w:val="21"/>
              </w:rPr>
              <w:t>股权账面价值</w:t>
            </w:r>
          </w:p>
          <w:p>
            <w:pPr>
              <w:widowControl w:val="0"/>
              <w:adjustRightInd w:val="0"/>
              <w:snapToGrid w:val="0"/>
              <w:jc w:val="center"/>
              <w:textAlignment w:val="baseline"/>
              <w:rPr>
                <w:rFonts w:ascii="Times New Roman" w:hAnsi="Times New Roman" w:cs="Times New Roman"/>
                <w:b/>
                <w:sz w:val="21"/>
              </w:rPr>
            </w:pPr>
            <w:r>
              <w:rPr>
                <w:rFonts w:hint="eastAsia"/>
                <w:b/>
                <w:bCs/>
                <w:sz w:val="21"/>
                <w:szCs w:val="21"/>
              </w:rPr>
              <w:t>（母公司口径）</w:t>
            </w:r>
          </w:p>
        </w:tc>
        <w:tc>
          <w:tcPr>
            <w:tcW w:w="840" w:type="pct"/>
            <w:shd w:val="clear" w:color="auto" w:fill="auto"/>
            <w:vAlign w:val="center"/>
          </w:tcPr>
          <w:p>
            <w:pPr>
              <w:keepNext/>
              <w:widowControl w:val="0"/>
              <w:adjustRightInd w:val="0"/>
              <w:snapToGrid w:val="0"/>
              <w:jc w:val="center"/>
              <w:textAlignment w:val="baseline"/>
              <w:rPr>
                <w:rFonts w:ascii="Times New Roman" w:hAnsi="Times New Roman" w:cs="Times New Roman"/>
                <w:b/>
                <w:sz w:val="21"/>
              </w:rPr>
            </w:pPr>
            <w:r>
              <w:rPr>
                <w:b/>
                <w:bCs/>
                <w:sz w:val="21"/>
                <w:szCs w:val="21"/>
              </w:rPr>
              <w:t>100%</w:t>
            </w:r>
            <w:r>
              <w:rPr>
                <w:rFonts w:hint="eastAsia"/>
                <w:b/>
                <w:bCs/>
                <w:sz w:val="21"/>
                <w:szCs w:val="21"/>
              </w:rPr>
              <w:t>股权</w:t>
            </w:r>
          </w:p>
          <w:p>
            <w:pPr>
              <w:widowControl w:val="0"/>
              <w:adjustRightInd w:val="0"/>
              <w:snapToGrid w:val="0"/>
              <w:jc w:val="center"/>
              <w:textAlignment w:val="baseline"/>
              <w:rPr>
                <w:rFonts w:ascii="Times New Roman" w:hAnsi="Times New Roman" w:cs="Times New Roman"/>
                <w:b/>
                <w:sz w:val="21"/>
              </w:rPr>
            </w:pPr>
            <w:r>
              <w:rPr>
                <w:rFonts w:hint="eastAsia"/>
                <w:b/>
                <w:bCs/>
                <w:sz w:val="21"/>
                <w:szCs w:val="21"/>
              </w:rPr>
              <w:t>评估价值</w:t>
            </w:r>
          </w:p>
        </w:tc>
        <w:tc>
          <w:tcPr>
            <w:tcW w:w="788" w:type="pct"/>
            <w:shd w:val="clear" w:color="auto" w:fill="auto"/>
            <w:vAlign w:val="center"/>
          </w:tcPr>
          <w:p>
            <w:pPr>
              <w:keepNext/>
              <w:widowControl w:val="0"/>
              <w:adjustRightInd w:val="0"/>
              <w:snapToGrid w:val="0"/>
              <w:jc w:val="center"/>
              <w:textAlignment w:val="baseline"/>
              <w:rPr>
                <w:rFonts w:ascii="Times New Roman" w:hAnsi="Times New Roman" w:cs="Times New Roman"/>
                <w:b/>
                <w:sz w:val="21"/>
              </w:rPr>
            </w:pPr>
            <w:r>
              <w:rPr>
                <w:rFonts w:hint="eastAsia"/>
                <w:b/>
                <w:bCs/>
                <w:sz w:val="21"/>
                <w:szCs w:val="21"/>
              </w:rPr>
              <w:t>评估增值</w:t>
            </w:r>
          </w:p>
        </w:tc>
        <w:tc>
          <w:tcPr>
            <w:tcW w:w="746" w:type="pct"/>
            <w:shd w:val="clear" w:color="auto" w:fill="auto"/>
            <w:vAlign w:val="center"/>
          </w:tcPr>
          <w:p>
            <w:pPr>
              <w:keepNext/>
              <w:widowControl w:val="0"/>
              <w:adjustRightInd w:val="0"/>
              <w:snapToGrid w:val="0"/>
              <w:jc w:val="center"/>
              <w:textAlignment w:val="baseline"/>
              <w:rPr>
                <w:rFonts w:ascii="Times New Roman" w:hAnsi="Times New Roman" w:cs="Times New Roman"/>
                <w:b/>
                <w:sz w:val="21"/>
              </w:rPr>
            </w:pPr>
            <w:r>
              <w:rPr>
                <w:rFonts w:hint="eastAsia"/>
                <w:b/>
                <w:bCs/>
                <w:sz w:val="21"/>
                <w:szCs w:val="21"/>
              </w:rPr>
              <w:t>评估增值率</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353" w:type="pct"/>
            <w:vMerge w:val="continue"/>
            <w:shd w:val="clear" w:color="auto" w:fill="auto"/>
            <w:vAlign w:val="center"/>
          </w:tcPr>
          <w:p>
            <w:pPr>
              <w:widowControl w:val="0"/>
              <w:adjustRightInd w:val="0"/>
              <w:snapToGrid w:val="0"/>
              <w:jc w:val="right"/>
              <w:textAlignment w:val="baseline"/>
              <w:rPr>
                <w:rFonts w:ascii="Times New Roman" w:hAnsi="Times New Roman" w:cs="Times New Roman"/>
                <w:sz w:val="21"/>
              </w:rPr>
            </w:pPr>
          </w:p>
        </w:tc>
        <w:tc>
          <w:tcPr>
            <w:tcW w:w="504" w:type="pct"/>
            <w:vMerge w:val="continue"/>
            <w:shd w:val="clear" w:color="auto" w:fill="auto"/>
            <w:vAlign w:val="center"/>
          </w:tcPr>
          <w:p>
            <w:pPr>
              <w:widowControl w:val="0"/>
              <w:adjustRightInd w:val="0"/>
              <w:snapToGrid w:val="0"/>
              <w:jc w:val="right"/>
              <w:textAlignment w:val="baseline"/>
              <w:rPr>
                <w:rFonts w:ascii="Times New Roman" w:hAnsi="Times New Roman" w:cs="Times New Roman"/>
                <w:sz w:val="21"/>
              </w:rPr>
            </w:pPr>
          </w:p>
        </w:tc>
        <w:tc>
          <w:tcPr>
            <w:tcW w:w="672" w:type="pct"/>
            <w:vMerge w:val="continue"/>
            <w:shd w:val="clear" w:color="auto" w:fill="auto"/>
            <w:vAlign w:val="center"/>
          </w:tcPr>
          <w:p>
            <w:pPr>
              <w:widowControl w:val="0"/>
              <w:adjustRightInd w:val="0"/>
              <w:snapToGrid w:val="0"/>
              <w:jc w:val="right"/>
              <w:textAlignment w:val="baseline"/>
              <w:rPr>
                <w:rFonts w:ascii="Times New Roman" w:hAnsi="Times New Roman" w:cs="Times New Roman"/>
                <w:sz w:val="21"/>
              </w:rPr>
            </w:pPr>
          </w:p>
        </w:tc>
        <w:tc>
          <w:tcPr>
            <w:tcW w:w="1093" w:type="pct"/>
            <w:shd w:val="clear" w:color="auto" w:fill="auto"/>
            <w:vAlign w:val="center"/>
          </w:tcPr>
          <w:p>
            <w:pPr>
              <w:widowControl w:val="0"/>
              <w:adjustRightInd w:val="0"/>
              <w:snapToGrid w:val="0"/>
              <w:jc w:val="center"/>
              <w:textAlignment w:val="baseline"/>
              <w:rPr>
                <w:rFonts w:ascii="Times New Roman" w:hAnsi="Times New Roman" w:cs="Times New Roman"/>
                <w:sz w:val="21"/>
              </w:rPr>
            </w:pPr>
            <w:r>
              <w:rPr>
                <w:b/>
                <w:bCs/>
                <w:sz w:val="21"/>
                <w:szCs w:val="21"/>
              </w:rPr>
              <w:t>A</w:t>
            </w:r>
          </w:p>
        </w:tc>
        <w:tc>
          <w:tcPr>
            <w:tcW w:w="840" w:type="pct"/>
            <w:shd w:val="clear" w:color="auto" w:fill="auto"/>
            <w:vAlign w:val="center"/>
          </w:tcPr>
          <w:p>
            <w:pPr>
              <w:widowControl w:val="0"/>
              <w:adjustRightInd w:val="0"/>
              <w:snapToGrid w:val="0"/>
              <w:jc w:val="center"/>
              <w:textAlignment w:val="baseline"/>
              <w:rPr>
                <w:rFonts w:ascii="Times New Roman" w:hAnsi="Times New Roman" w:cs="Times New Roman"/>
                <w:sz w:val="21"/>
              </w:rPr>
            </w:pPr>
            <w:r>
              <w:rPr>
                <w:b/>
                <w:bCs/>
                <w:sz w:val="21"/>
                <w:szCs w:val="21"/>
              </w:rPr>
              <w:t>B</w:t>
            </w:r>
          </w:p>
        </w:tc>
        <w:tc>
          <w:tcPr>
            <w:tcW w:w="788" w:type="pct"/>
            <w:shd w:val="clear" w:color="auto" w:fill="auto"/>
            <w:vAlign w:val="center"/>
          </w:tcPr>
          <w:p>
            <w:pPr>
              <w:widowControl w:val="0"/>
              <w:adjustRightInd w:val="0"/>
              <w:snapToGrid w:val="0"/>
              <w:jc w:val="center"/>
              <w:textAlignment w:val="baseline"/>
              <w:rPr>
                <w:rFonts w:ascii="Times New Roman" w:hAnsi="Times New Roman" w:cs="Times New Roman"/>
                <w:sz w:val="21"/>
              </w:rPr>
            </w:pPr>
            <w:r>
              <w:rPr>
                <w:b/>
                <w:bCs/>
                <w:sz w:val="21"/>
                <w:szCs w:val="21"/>
              </w:rPr>
              <w:t>C=B-A</w:t>
            </w:r>
          </w:p>
        </w:tc>
        <w:tc>
          <w:tcPr>
            <w:tcW w:w="746" w:type="pct"/>
            <w:shd w:val="clear" w:color="auto" w:fill="auto"/>
            <w:vAlign w:val="center"/>
          </w:tcPr>
          <w:p>
            <w:pPr>
              <w:widowControl w:val="0"/>
              <w:adjustRightInd w:val="0"/>
              <w:snapToGrid w:val="0"/>
              <w:jc w:val="center"/>
              <w:textAlignment w:val="baseline"/>
              <w:rPr>
                <w:rFonts w:ascii="Times New Roman" w:hAnsi="Times New Roman" w:cs="Times New Roman"/>
                <w:sz w:val="21"/>
              </w:rPr>
            </w:pPr>
            <w:r>
              <w:rPr>
                <w:b/>
                <w:bCs/>
                <w:sz w:val="21"/>
                <w:szCs w:val="21"/>
              </w:rPr>
              <w:t>D=C/A</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353" w:type="pct"/>
            <w:vMerge w:val="restart"/>
            <w:shd w:val="clear" w:color="auto" w:fill="auto"/>
            <w:vAlign w:val="center"/>
          </w:tcPr>
          <w:p>
            <w:pPr>
              <w:widowControl w:val="0"/>
              <w:adjustRightInd w:val="0"/>
              <w:snapToGrid w:val="0"/>
              <w:jc w:val="center"/>
              <w:textAlignment w:val="baseline"/>
              <w:rPr>
                <w:rFonts w:ascii="Times New Roman" w:hAnsi="Times New Roman" w:cs="Times New Roman"/>
                <w:sz w:val="21"/>
              </w:rPr>
            </w:pPr>
            <w:r>
              <w:rPr>
                <w:rFonts w:hint="eastAsia" w:ascii="Times New Roman" w:hAnsi="Times New Roman" w:cs="Times New Roman"/>
                <w:sz w:val="21"/>
              </w:rPr>
              <w:t>西北矿业</w:t>
            </w:r>
          </w:p>
        </w:tc>
        <w:tc>
          <w:tcPr>
            <w:tcW w:w="504" w:type="pct"/>
            <w:shd w:val="clear" w:color="auto" w:fill="auto"/>
            <w:vAlign w:val="center"/>
          </w:tcPr>
          <w:p>
            <w:pPr>
              <w:widowControl w:val="0"/>
              <w:adjustRightInd w:val="0"/>
              <w:snapToGrid w:val="0"/>
              <w:jc w:val="center"/>
              <w:textAlignment w:val="baseline"/>
              <w:rPr>
                <w:rFonts w:ascii="Times New Roman" w:hAnsi="Times New Roman" w:cs="Times New Roman"/>
                <w:sz w:val="21"/>
              </w:rPr>
            </w:pPr>
            <w:r>
              <w:rPr>
                <w:sz w:val="21"/>
                <w:szCs w:val="21"/>
              </w:rPr>
              <w:t>股东全部权益</w:t>
            </w:r>
          </w:p>
        </w:tc>
        <w:tc>
          <w:tcPr>
            <w:tcW w:w="672" w:type="pct"/>
            <w:shd w:val="clear" w:color="auto" w:fill="auto"/>
            <w:vAlign w:val="center"/>
          </w:tcPr>
          <w:p>
            <w:pPr>
              <w:widowControl w:val="0"/>
              <w:adjustRightInd w:val="0"/>
              <w:snapToGrid w:val="0"/>
              <w:textAlignment w:val="baseline"/>
              <w:rPr>
                <w:rFonts w:ascii="Times New Roman" w:hAnsi="Times New Roman" w:cs="Times New Roman"/>
                <w:sz w:val="21"/>
              </w:rPr>
            </w:pPr>
            <w:r>
              <w:rPr>
                <w:sz w:val="21"/>
                <w:szCs w:val="21"/>
              </w:rPr>
              <w:t>股东全部权益</w:t>
            </w:r>
          </w:p>
        </w:tc>
        <w:tc>
          <w:tcPr>
            <w:tcW w:w="1093"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1,348,695.93</w:t>
            </w:r>
          </w:p>
        </w:tc>
        <w:tc>
          <w:tcPr>
            <w:tcW w:w="840"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2,526,250.55</w:t>
            </w:r>
          </w:p>
        </w:tc>
        <w:tc>
          <w:tcPr>
            <w:tcW w:w="788"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1,177,554.62</w:t>
            </w:r>
          </w:p>
        </w:tc>
        <w:tc>
          <w:tcPr>
            <w:tcW w:w="746"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87.31%</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353" w:type="pct"/>
            <w:vMerge w:val="continue"/>
            <w:shd w:val="clear" w:color="auto" w:fill="auto"/>
            <w:vAlign w:val="center"/>
          </w:tcPr>
          <w:p>
            <w:pPr>
              <w:widowControl w:val="0"/>
              <w:adjustRightInd w:val="0"/>
              <w:snapToGrid w:val="0"/>
              <w:jc w:val="center"/>
              <w:textAlignment w:val="baseline"/>
              <w:rPr>
                <w:rFonts w:ascii="Times New Roman" w:hAnsi="Times New Roman" w:cs="Times New Roman"/>
                <w:sz w:val="21"/>
              </w:rPr>
            </w:pPr>
          </w:p>
        </w:tc>
        <w:tc>
          <w:tcPr>
            <w:tcW w:w="504" w:type="pct"/>
            <w:vMerge w:val="restart"/>
            <w:shd w:val="clear" w:color="auto" w:fill="auto"/>
            <w:vAlign w:val="center"/>
          </w:tcPr>
          <w:p>
            <w:pPr>
              <w:widowControl w:val="0"/>
              <w:adjustRightInd w:val="0"/>
              <w:snapToGrid w:val="0"/>
              <w:jc w:val="center"/>
              <w:textAlignment w:val="baseline"/>
              <w:rPr>
                <w:rFonts w:ascii="Times New Roman" w:hAnsi="Times New Roman" w:cs="Times New Roman"/>
                <w:sz w:val="21"/>
              </w:rPr>
            </w:pPr>
            <w:r>
              <w:rPr>
                <w:sz w:val="21"/>
                <w:szCs w:val="21"/>
              </w:rPr>
              <w:t>其中</w:t>
            </w:r>
          </w:p>
        </w:tc>
        <w:tc>
          <w:tcPr>
            <w:tcW w:w="672" w:type="pct"/>
            <w:shd w:val="clear" w:color="auto" w:fill="auto"/>
            <w:vAlign w:val="center"/>
          </w:tcPr>
          <w:p>
            <w:pPr>
              <w:widowControl w:val="0"/>
              <w:adjustRightInd w:val="0"/>
              <w:snapToGrid w:val="0"/>
              <w:textAlignment w:val="baseline"/>
              <w:rPr>
                <w:rFonts w:ascii="Times New Roman" w:hAnsi="Times New Roman" w:cs="Times New Roman"/>
                <w:sz w:val="21"/>
              </w:rPr>
            </w:pPr>
            <w:r>
              <w:rPr>
                <w:sz w:val="21"/>
                <w:szCs w:val="21"/>
              </w:rPr>
              <w:t>矿业权</w:t>
            </w:r>
          </w:p>
        </w:tc>
        <w:tc>
          <w:tcPr>
            <w:tcW w:w="1093"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833,692.92</w:t>
            </w:r>
          </w:p>
        </w:tc>
        <w:tc>
          <w:tcPr>
            <w:tcW w:w="840"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2,485,065.49</w:t>
            </w:r>
          </w:p>
        </w:tc>
        <w:tc>
          <w:tcPr>
            <w:tcW w:w="788"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1,651,372.57</w:t>
            </w:r>
          </w:p>
        </w:tc>
        <w:tc>
          <w:tcPr>
            <w:tcW w:w="746"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198.08%</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353" w:type="pct"/>
            <w:vMerge w:val="continue"/>
            <w:shd w:val="clear" w:color="auto" w:fill="auto"/>
            <w:vAlign w:val="center"/>
          </w:tcPr>
          <w:p>
            <w:pPr>
              <w:widowControl w:val="0"/>
              <w:adjustRightInd w:val="0"/>
              <w:snapToGrid w:val="0"/>
              <w:jc w:val="center"/>
              <w:textAlignment w:val="baseline"/>
              <w:rPr>
                <w:rFonts w:ascii="Times New Roman" w:hAnsi="Times New Roman" w:cs="Times New Roman"/>
                <w:sz w:val="21"/>
              </w:rPr>
            </w:pPr>
          </w:p>
        </w:tc>
        <w:tc>
          <w:tcPr>
            <w:tcW w:w="504" w:type="pct"/>
            <w:vMerge w:val="continue"/>
            <w:shd w:val="clear" w:color="auto" w:fill="auto"/>
            <w:vAlign w:val="center"/>
          </w:tcPr>
          <w:p>
            <w:pPr>
              <w:widowControl w:val="0"/>
              <w:adjustRightInd w:val="0"/>
              <w:snapToGrid w:val="0"/>
              <w:jc w:val="center"/>
              <w:textAlignment w:val="baseline"/>
              <w:rPr>
                <w:rFonts w:ascii="Times New Roman" w:hAnsi="Times New Roman" w:cs="Times New Roman"/>
                <w:sz w:val="21"/>
              </w:rPr>
            </w:pPr>
          </w:p>
        </w:tc>
        <w:tc>
          <w:tcPr>
            <w:tcW w:w="672" w:type="pct"/>
            <w:shd w:val="clear" w:color="auto" w:fill="auto"/>
            <w:vAlign w:val="center"/>
          </w:tcPr>
          <w:p>
            <w:pPr>
              <w:widowControl w:val="0"/>
              <w:adjustRightInd w:val="0"/>
              <w:snapToGrid w:val="0"/>
              <w:textAlignment w:val="baseline"/>
              <w:rPr>
                <w:rFonts w:ascii="Times New Roman" w:hAnsi="Times New Roman" w:cs="Times New Roman"/>
                <w:sz w:val="21"/>
              </w:rPr>
            </w:pPr>
            <w:r>
              <w:rPr>
                <w:sz w:val="21"/>
                <w:szCs w:val="21"/>
              </w:rPr>
              <w:t>固定资产</w:t>
            </w:r>
          </w:p>
        </w:tc>
        <w:tc>
          <w:tcPr>
            <w:tcW w:w="1093"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1,524,981.88</w:t>
            </w:r>
          </w:p>
        </w:tc>
        <w:tc>
          <w:tcPr>
            <w:tcW w:w="840"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1,902,271.31</w:t>
            </w:r>
          </w:p>
        </w:tc>
        <w:tc>
          <w:tcPr>
            <w:tcW w:w="788"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377,289.43</w:t>
            </w:r>
          </w:p>
        </w:tc>
        <w:tc>
          <w:tcPr>
            <w:tcW w:w="746"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24.74%</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353" w:type="pct"/>
            <w:vMerge w:val="continue"/>
            <w:shd w:val="clear" w:color="auto" w:fill="auto"/>
            <w:vAlign w:val="center"/>
          </w:tcPr>
          <w:p>
            <w:pPr>
              <w:widowControl w:val="0"/>
              <w:adjustRightInd w:val="0"/>
              <w:snapToGrid w:val="0"/>
              <w:jc w:val="right"/>
              <w:textAlignment w:val="baseline"/>
              <w:rPr>
                <w:rFonts w:ascii="Times New Roman" w:hAnsi="Times New Roman" w:cs="Times New Roman"/>
                <w:sz w:val="21"/>
              </w:rPr>
            </w:pPr>
          </w:p>
        </w:tc>
        <w:tc>
          <w:tcPr>
            <w:tcW w:w="504" w:type="pct"/>
            <w:vMerge w:val="continue"/>
            <w:shd w:val="clear" w:color="auto" w:fill="auto"/>
            <w:vAlign w:val="center"/>
          </w:tcPr>
          <w:p>
            <w:pPr>
              <w:widowControl w:val="0"/>
              <w:adjustRightInd w:val="0"/>
              <w:snapToGrid w:val="0"/>
              <w:jc w:val="right"/>
              <w:textAlignment w:val="baseline"/>
              <w:rPr>
                <w:rFonts w:ascii="Times New Roman" w:hAnsi="Times New Roman" w:cs="Times New Roman"/>
                <w:sz w:val="21"/>
              </w:rPr>
            </w:pPr>
          </w:p>
        </w:tc>
        <w:tc>
          <w:tcPr>
            <w:tcW w:w="672" w:type="pct"/>
            <w:shd w:val="clear" w:color="auto" w:fill="auto"/>
            <w:vAlign w:val="center"/>
          </w:tcPr>
          <w:p>
            <w:pPr>
              <w:widowControl w:val="0"/>
              <w:adjustRightInd w:val="0"/>
              <w:snapToGrid w:val="0"/>
              <w:textAlignment w:val="baseline"/>
              <w:rPr>
                <w:rFonts w:ascii="Times New Roman" w:hAnsi="Times New Roman" w:cs="Times New Roman"/>
                <w:sz w:val="21"/>
              </w:rPr>
            </w:pPr>
            <w:r>
              <w:rPr>
                <w:sz w:val="21"/>
                <w:szCs w:val="21"/>
              </w:rPr>
              <w:t>土地</w:t>
            </w:r>
          </w:p>
        </w:tc>
        <w:tc>
          <w:tcPr>
            <w:tcW w:w="1093"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59,110.81</w:t>
            </w:r>
          </w:p>
        </w:tc>
        <w:tc>
          <w:tcPr>
            <w:tcW w:w="840"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73,402.49</w:t>
            </w:r>
          </w:p>
        </w:tc>
        <w:tc>
          <w:tcPr>
            <w:tcW w:w="788"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14,291.68</w:t>
            </w:r>
          </w:p>
        </w:tc>
        <w:tc>
          <w:tcPr>
            <w:tcW w:w="746" w:type="pct"/>
            <w:shd w:val="clear" w:color="auto" w:fill="auto"/>
            <w:vAlign w:val="center"/>
          </w:tcPr>
          <w:p>
            <w:pPr>
              <w:widowControl w:val="0"/>
              <w:adjustRightInd w:val="0"/>
              <w:snapToGrid w:val="0"/>
              <w:jc w:val="right"/>
              <w:textAlignment w:val="baseline"/>
              <w:rPr>
                <w:rFonts w:ascii="Times New Roman" w:hAnsi="Times New Roman" w:cs="Times New Roman"/>
                <w:sz w:val="21"/>
              </w:rPr>
            </w:pPr>
            <w:r>
              <w:rPr>
                <w:sz w:val="21"/>
                <w:szCs w:val="21"/>
              </w:rPr>
              <w:t>24.18%</w:t>
            </w:r>
          </w:p>
        </w:tc>
      </w:tr>
    </w:tbl>
    <w:p>
      <w:pPr>
        <w:adjustRightInd w:val="0"/>
        <w:snapToGrid w:val="0"/>
        <w:spacing w:line="340" w:lineRule="exact"/>
        <w:ind w:firstLine="480" w:firstLineChars="200"/>
        <w:rPr>
          <w:rFonts w:hint="eastAsia" w:ascii="楷体_GB2312" w:hAnsi="楷体_GB2312" w:eastAsia="楷体_GB2312" w:cs="楷体_GB2312"/>
        </w:rPr>
      </w:pPr>
      <w:r>
        <w:rPr>
          <w:rFonts w:hint="eastAsia" w:ascii="楷体_GB2312" w:hAnsi="楷体_GB2312" w:eastAsia="楷体_GB2312" w:cs="楷体_GB2312"/>
        </w:rPr>
        <w:t>注：上表中矿业权价值、固定资产及土地为西北矿业归母口径数据，即西北矿业母公司相关科目金额与各资产基础法定价子公司相关科目金额乘以西北矿业持股比例的合计数。</w:t>
      </w:r>
    </w:p>
    <w:p>
      <w:pPr>
        <w:pStyle w:val="39"/>
        <w:keepNext/>
        <w:spacing w:line="520" w:lineRule="exact"/>
        <w:ind w:firstLine="562"/>
        <w:jc w:val="both"/>
        <w:rPr>
          <w:rFonts w:hint="eastAsia" w:cs="Times New Roman" w:asciiTheme="minorEastAsia" w:hAnsiTheme="minorEastAsia" w:eastAsiaTheme="minorEastAsia"/>
          <w:b/>
          <w:bCs/>
        </w:rPr>
      </w:pPr>
      <w:r>
        <w:rPr>
          <w:rFonts w:cs="Times New Roman" w:asciiTheme="minorEastAsia" w:hAnsiTheme="minorEastAsia" w:eastAsiaTheme="minorEastAsia"/>
          <w:b/>
          <w:bCs/>
        </w:rPr>
        <w:t>1</w:t>
      </w:r>
      <w:r>
        <w:rPr>
          <w:rFonts w:hint="eastAsia" w:cs="Times New Roman" w:asciiTheme="minorEastAsia" w:hAnsiTheme="minorEastAsia" w:eastAsiaTheme="minorEastAsia"/>
          <w:b/>
          <w:bCs/>
        </w:rPr>
        <w:t>.矿业权增值</w:t>
      </w:r>
    </w:p>
    <w:p>
      <w:pPr>
        <w:pStyle w:val="51"/>
        <w:spacing w:beforeLines="0" w:line="520" w:lineRule="exact"/>
        <w:ind w:firstLine="560"/>
        <w:rPr>
          <w:rFonts w:hint="eastAsia" w:asciiTheme="minorEastAsia" w:hAnsiTheme="minorEastAsia" w:eastAsiaTheme="minorEastAsia"/>
          <w:sz w:val="28"/>
        </w:rPr>
      </w:pPr>
      <w:r>
        <w:rPr>
          <w:rFonts w:hint="eastAsia" w:asciiTheme="minorEastAsia" w:hAnsiTheme="minorEastAsia" w:eastAsiaTheme="minorEastAsia"/>
          <w:sz w:val="28"/>
        </w:rPr>
        <w:t>归属于西北矿业的矿业权账面价值合计</w:t>
      </w:r>
      <w:r>
        <w:rPr>
          <w:rFonts w:asciiTheme="minorEastAsia" w:hAnsiTheme="minorEastAsia" w:eastAsiaTheme="minorEastAsia"/>
          <w:sz w:val="28"/>
        </w:rPr>
        <w:t>83.37亿元，矿业权</w:t>
      </w:r>
      <w:r>
        <w:rPr>
          <w:rFonts w:hint="eastAsia" w:asciiTheme="minorEastAsia" w:hAnsiTheme="minorEastAsia" w:eastAsiaTheme="minorEastAsia"/>
          <w:sz w:val="28"/>
        </w:rPr>
        <w:t>评估</w:t>
      </w:r>
      <w:r>
        <w:rPr>
          <w:rFonts w:asciiTheme="minorEastAsia" w:hAnsiTheme="minorEastAsia" w:eastAsiaTheme="minorEastAsia"/>
          <w:sz w:val="28"/>
        </w:rPr>
        <w:t>价值合计248.51亿元，矿业权价值增值165.14亿元，矿业权价值增值率198.08%。主要增值原因</w:t>
      </w:r>
      <w:r>
        <w:rPr>
          <w:rFonts w:hint="eastAsia" w:asciiTheme="minorEastAsia" w:hAnsiTheme="minorEastAsia" w:eastAsiaTheme="minorEastAsia"/>
          <w:sz w:val="28"/>
        </w:rPr>
        <w:t>为：</w:t>
      </w:r>
      <w:r>
        <w:rPr>
          <w:rFonts w:asciiTheme="minorEastAsia" w:hAnsiTheme="minorEastAsia" w:eastAsiaTheme="minorEastAsia"/>
          <w:sz w:val="28"/>
        </w:rPr>
        <w:t>西北矿业下属矿井亭南煤矿采矿权、杨家村煤矿采矿权、巴彦高勒煤矿采矿权取得时间早，原始取得成本相对较低。</w:t>
      </w:r>
      <w:r>
        <w:rPr>
          <w:rFonts w:hint="eastAsia" w:asciiTheme="minorEastAsia" w:hAnsiTheme="minorEastAsia" w:eastAsiaTheme="minorEastAsia"/>
          <w:sz w:val="28"/>
        </w:rPr>
        <w:t>此外，</w:t>
      </w:r>
      <w:r>
        <w:rPr>
          <w:rFonts w:asciiTheme="minorEastAsia" w:hAnsiTheme="minorEastAsia" w:eastAsiaTheme="minorEastAsia"/>
          <w:sz w:val="28"/>
        </w:rPr>
        <w:t>油房壕煤矿为在建矿井，本次采矿权评估值是根据评估基准日资源量、预计的产品市场价格并参考企业最新可研及设计开采方案中的相关经济技术参数，采用折现现金流量法测算得出的净收益现值，因此较会计账面价值存在较大的增值。</w:t>
      </w:r>
    </w:p>
    <w:p>
      <w:pPr>
        <w:pStyle w:val="39"/>
        <w:keepNext/>
        <w:spacing w:line="520" w:lineRule="exact"/>
        <w:ind w:firstLine="562"/>
        <w:jc w:val="both"/>
        <w:rPr>
          <w:rFonts w:hint="eastAsia" w:cs="Times New Roman" w:asciiTheme="minorEastAsia" w:hAnsiTheme="minorEastAsia" w:eastAsiaTheme="minorEastAsia"/>
          <w:b/>
          <w:bCs/>
        </w:rPr>
      </w:pPr>
      <w:r>
        <w:rPr>
          <w:rFonts w:hint="eastAsia" w:cs="Times New Roman" w:asciiTheme="minorEastAsia" w:hAnsiTheme="minorEastAsia" w:eastAsiaTheme="minorEastAsia"/>
          <w:b/>
          <w:bCs/>
        </w:rPr>
        <w:t>2.</w:t>
      </w:r>
      <w:r>
        <w:rPr>
          <w:rFonts w:cs="Times New Roman" w:asciiTheme="minorEastAsia" w:hAnsiTheme="minorEastAsia" w:eastAsiaTheme="minorEastAsia"/>
          <w:b/>
          <w:bCs/>
        </w:rPr>
        <w:t>固定资产增值</w:t>
      </w:r>
    </w:p>
    <w:p>
      <w:pPr>
        <w:pStyle w:val="51"/>
        <w:spacing w:beforeLines="0" w:line="520" w:lineRule="exact"/>
        <w:ind w:firstLine="560"/>
        <w:rPr>
          <w:rFonts w:hint="eastAsia" w:asciiTheme="minorEastAsia" w:hAnsiTheme="minorEastAsia" w:eastAsiaTheme="minorEastAsia"/>
          <w:sz w:val="28"/>
        </w:rPr>
      </w:pPr>
      <w:r>
        <w:rPr>
          <w:rFonts w:hint="eastAsia" w:asciiTheme="minorEastAsia" w:hAnsiTheme="minorEastAsia" w:eastAsiaTheme="minorEastAsia"/>
          <w:sz w:val="28"/>
        </w:rPr>
        <w:t>截至评估基准日，西北矿业固定资产账面价值</w:t>
      </w:r>
      <w:r>
        <w:rPr>
          <w:rFonts w:asciiTheme="minorEastAsia" w:hAnsiTheme="minorEastAsia" w:eastAsiaTheme="minorEastAsia"/>
          <w:sz w:val="28"/>
        </w:rPr>
        <w:t>152.50亿元，评估价值190.23亿元，评估增值37.73亿元，评估增值率24.74%。主要系西北矿业部分企业固定资产建成时间较早、成本较低，此外，公司计提折旧年限短于评估采用经济寿命年限，造成评估增值。</w:t>
      </w:r>
    </w:p>
    <w:p>
      <w:pPr>
        <w:pStyle w:val="39"/>
        <w:keepNext/>
        <w:spacing w:line="520" w:lineRule="exact"/>
        <w:ind w:firstLine="562"/>
        <w:jc w:val="both"/>
        <w:rPr>
          <w:rFonts w:hint="eastAsia" w:cs="Times New Roman" w:asciiTheme="minorEastAsia" w:hAnsiTheme="minorEastAsia" w:eastAsiaTheme="minorEastAsia"/>
          <w:b/>
          <w:bCs/>
        </w:rPr>
      </w:pPr>
      <w:r>
        <w:rPr>
          <w:rFonts w:hint="eastAsia" w:cs="Times New Roman" w:asciiTheme="minorEastAsia" w:hAnsiTheme="minorEastAsia" w:eastAsiaTheme="minorEastAsia"/>
          <w:b/>
          <w:bCs/>
        </w:rPr>
        <w:t>3.</w:t>
      </w:r>
      <w:r>
        <w:rPr>
          <w:rFonts w:cs="Times New Roman" w:asciiTheme="minorEastAsia" w:hAnsiTheme="minorEastAsia" w:eastAsiaTheme="minorEastAsia"/>
          <w:b/>
          <w:bCs/>
        </w:rPr>
        <w:t>土地增值</w:t>
      </w:r>
    </w:p>
    <w:p>
      <w:pPr>
        <w:pStyle w:val="51"/>
        <w:spacing w:beforeLines="0" w:line="520" w:lineRule="exact"/>
        <w:ind w:firstLine="560"/>
        <w:rPr>
          <w:rFonts w:hint="eastAsia" w:asciiTheme="minorEastAsia" w:hAnsiTheme="minorEastAsia" w:eastAsiaTheme="minorEastAsia"/>
          <w:sz w:val="28"/>
        </w:rPr>
      </w:pPr>
      <w:r>
        <w:rPr>
          <w:rFonts w:hint="eastAsia" w:asciiTheme="minorEastAsia" w:hAnsiTheme="minorEastAsia" w:eastAsiaTheme="minorEastAsia"/>
          <w:sz w:val="28"/>
        </w:rPr>
        <w:t>截至评估基准日，西北矿业土地账面价值</w:t>
      </w:r>
      <w:r>
        <w:rPr>
          <w:rFonts w:asciiTheme="minorEastAsia" w:hAnsiTheme="minorEastAsia" w:eastAsiaTheme="minorEastAsia"/>
          <w:sz w:val="28"/>
        </w:rPr>
        <w:t>5.91</w:t>
      </w:r>
      <w:r>
        <w:rPr>
          <w:rFonts w:hint="eastAsia" w:asciiTheme="minorEastAsia" w:hAnsiTheme="minorEastAsia" w:eastAsiaTheme="minorEastAsia"/>
          <w:sz w:val="28"/>
        </w:rPr>
        <w:t>亿元，评估价值</w:t>
      </w:r>
      <w:r>
        <w:rPr>
          <w:rFonts w:asciiTheme="minorEastAsia" w:hAnsiTheme="minorEastAsia" w:eastAsiaTheme="minorEastAsia"/>
          <w:sz w:val="28"/>
        </w:rPr>
        <w:t>7.34亿元，评估增值1.43亿元，评估增值率24.18%。具体增值原因为西北矿业各权属公司持有的土地使用权取得时间较早，土地取得成本较低，而近年来土地价格上涨，导致评估增值。</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（三）交易定价情况</w:t>
      </w:r>
    </w:p>
    <w:p>
      <w:pPr>
        <w:pStyle w:val="51"/>
        <w:spacing w:beforeLines="0" w:line="520" w:lineRule="exact"/>
        <w:ind w:firstLine="560"/>
        <w:rPr>
          <w:rFonts w:hint="eastAsia" w:asciiTheme="minorEastAsia" w:hAnsiTheme="minorEastAsia" w:eastAsiaTheme="minorEastAsia"/>
          <w:sz w:val="28"/>
        </w:rPr>
      </w:pPr>
      <w:r>
        <w:rPr>
          <w:rFonts w:hint="eastAsia" w:asciiTheme="minorEastAsia" w:hAnsiTheme="minorEastAsia" w:eastAsiaTheme="minorEastAsia"/>
          <w:sz w:val="28"/>
        </w:rPr>
        <w:t>根据《资产评估报告》，</w:t>
      </w:r>
      <w:r>
        <w:rPr>
          <w:rFonts w:asciiTheme="minorEastAsia" w:hAnsiTheme="minorEastAsia" w:eastAsiaTheme="minorEastAsia"/>
          <w:sz w:val="28"/>
        </w:rPr>
        <w:t>目标公司于评估基准日（2024年11月30日）的</w:t>
      </w:r>
      <w:r>
        <w:rPr>
          <w:rFonts w:hint="eastAsia" w:asciiTheme="minorEastAsia" w:hAnsiTheme="minorEastAsia" w:eastAsiaTheme="minorEastAsia"/>
          <w:sz w:val="28"/>
        </w:rPr>
        <w:t>全部股东权益价值为252.63亿元。考</w:t>
      </w:r>
      <w:r>
        <w:rPr>
          <w:rFonts w:asciiTheme="minorEastAsia" w:hAnsiTheme="minorEastAsia" w:eastAsiaTheme="minorEastAsia"/>
          <w:sz w:val="28"/>
        </w:rPr>
        <w:t>虑西北矿业的未分配利润情况，目标公司</w:t>
      </w:r>
      <w:r>
        <w:rPr>
          <w:rFonts w:hint="eastAsia" w:asciiTheme="minorEastAsia" w:hAnsiTheme="minorEastAsia" w:eastAsiaTheme="minorEastAsia"/>
          <w:sz w:val="28"/>
        </w:rPr>
        <w:t>于</w:t>
      </w:r>
      <w:r>
        <w:rPr>
          <w:rFonts w:asciiTheme="minorEastAsia" w:hAnsiTheme="minorEastAsia" w:eastAsiaTheme="minorEastAsia"/>
          <w:sz w:val="28"/>
        </w:rPr>
        <w:t>2025年</w:t>
      </w:r>
      <w:r>
        <w:rPr>
          <w:rFonts w:hint="eastAsia" w:asciiTheme="minorEastAsia" w:hAnsiTheme="minorEastAsia" w:eastAsiaTheme="minorEastAsia"/>
          <w:sz w:val="28"/>
        </w:rPr>
        <w:t>3</w:t>
      </w:r>
      <w:r>
        <w:rPr>
          <w:rFonts w:asciiTheme="minorEastAsia" w:hAnsiTheme="minorEastAsia" w:eastAsiaTheme="minorEastAsia"/>
          <w:sz w:val="28"/>
        </w:rPr>
        <w:t>月</w:t>
      </w:r>
      <w:r>
        <w:rPr>
          <w:rFonts w:hint="eastAsia" w:asciiTheme="minorEastAsia" w:hAnsiTheme="minorEastAsia" w:eastAsiaTheme="minorEastAsia"/>
          <w:sz w:val="28"/>
        </w:rPr>
        <w:t>27</w:t>
      </w:r>
      <w:r>
        <w:rPr>
          <w:rFonts w:asciiTheme="minorEastAsia" w:hAnsiTheme="minorEastAsia" w:eastAsiaTheme="minorEastAsia"/>
          <w:sz w:val="28"/>
        </w:rPr>
        <w:t>日召开股东会，</w:t>
      </w:r>
      <w:r>
        <w:rPr>
          <w:rFonts w:hint="eastAsia" w:asciiTheme="minorEastAsia" w:hAnsiTheme="minorEastAsia" w:eastAsiaTheme="minorEastAsia"/>
          <w:sz w:val="28"/>
        </w:rPr>
        <w:t>作出向原股东分红的相关决议，合计分红金额为</w:t>
      </w:r>
      <w:r>
        <w:rPr>
          <w:rFonts w:asciiTheme="minorEastAsia" w:hAnsiTheme="minorEastAsia" w:eastAsiaTheme="minorEastAsia"/>
          <w:sz w:val="28"/>
        </w:rPr>
        <w:t>70亿元。</w:t>
      </w:r>
    </w:p>
    <w:p>
      <w:pPr>
        <w:pStyle w:val="51"/>
        <w:spacing w:beforeLines="0" w:line="520" w:lineRule="exact"/>
        <w:ind w:firstLine="560"/>
        <w:rPr>
          <w:sz w:val="28"/>
        </w:rPr>
      </w:pPr>
      <w:r>
        <w:rPr>
          <w:rFonts w:hint="eastAsia" w:asciiTheme="minorEastAsia" w:hAnsiTheme="minorEastAsia" w:eastAsiaTheme="minorEastAsia"/>
          <w:sz w:val="28"/>
        </w:rPr>
        <w:t>在目标公司全部股东权益的评估价值基础上，扣除前述利润分配金额，西北矿业</w:t>
      </w:r>
      <w:r>
        <w:rPr>
          <w:rFonts w:asciiTheme="minorEastAsia" w:hAnsiTheme="minorEastAsia" w:eastAsiaTheme="minorEastAsia"/>
          <w:sz w:val="28"/>
        </w:rPr>
        <w:t>26%股权</w:t>
      </w:r>
      <w:r>
        <w:rPr>
          <w:rFonts w:hint="eastAsia" w:asciiTheme="minorEastAsia" w:hAnsiTheme="minorEastAsia" w:eastAsiaTheme="minorEastAsia"/>
          <w:sz w:val="28"/>
        </w:rPr>
        <w:t>对应的交易价款为</w:t>
      </w:r>
      <w:bookmarkStart w:id="9" w:name="OLE_LINK11"/>
      <w:r>
        <w:rPr>
          <w:rFonts w:hint="eastAsia" w:asciiTheme="minorEastAsia" w:hAnsiTheme="minorEastAsia" w:eastAsiaTheme="minorEastAsia"/>
          <w:sz w:val="28"/>
        </w:rPr>
        <w:t>47.48亿元</w:t>
      </w:r>
      <w:bookmarkEnd w:id="9"/>
      <w:r>
        <w:rPr>
          <w:rFonts w:asciiTheme="minorEastAsia" w:hAnsiTheme="minorEastAsia" w:eastAsiaTheme="minorEastAsia"/>
          <w:sz w:val="28"/>
        </w:rPr>
        <w:t>，</w:t>
      </w:r>
      <w:r>
        <w:rPr>
          <w:rFonts w:hint="eastAsia" w:asciiTheme="minorEastAsia" w:hAnsiTheme="minorEastAsia" w:eastAsiaTheme="minorEastAsia"/>
          <w:sz w:val="28"/>
        </w:rPr>
        <w:t>为达到持股51%的目的，公司还需向西北矿业增资</w:t>
      </w:r>
      <w:bookmarkStart w:id="10" w:name="OLE_LINK2"/>
      <w:r>
        <w:rPr>
          <w:rFonts w:hint="eastAsia" w:asciiTheme="minorEastAsia" w:hAnsiTheme="minorEastAsia" w:eastAsiaTheme="minorEastAsia"/>
          <w:sz w:val="28"/>
        </w:rPr>
        <w:t>93.18</w:t>
      </w:r>
      <w:bookmarkEnd w:id="10"/>
      <w:r>
        <w:rPr>
          <w:rFonts w:hint="eastAsia" w:asciiTheme="minorEastAsia" w:hAnsiTheme="minorEastAsia" w:eastAsiaTheme="minorEastAsia"/>
          <w:sz w:val="28"/>
        </w:rPr>
        <w:t>亿元，本次交易总价款为140.66亿元。本次交易后，上市公司将取得西北矿业控制权</w:t>
      </w:r>
      <w:r>
        <w:rPr>
          <w:rFonts w:asciiTheme="minorEastAsia" w:hAnsiTheme="minorEastAsia" w:eastAsiaTheme="minorEastAsia"/>
          <w:sz w:val="28"/>
        </w:rPr>
        <w:t>。</w:t>
      </w:r>
    </w:p>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五、本次交易协议及履约安排</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（一）《关于山东能源集团西北矿业有限公司之股权收购及增资协议》（“《股权收购及增资协议》”）的主要内容</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协议主体</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股东方：淄矿集团、龙矿集团、新矿集团、肥城煤业</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投资方：兖矿能源</w:t>
      </w:r>
    </w:p>
    <w:p>
      <w:pPr>
        <w:pStyle w:val="39"/>
        <w:tabs>
          <w:tab w:val="left" w:pos="5355"/>
        </w:tabs>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目标公司：西北矿业</w:t>
      </w:r>
    </w:p>
    <w:p>
      <w:pPr>
        <w:pStyle w:val="39"/>
        <w:numPr>
          <w:ilvl w:val="0"/>
          <w:numId w:val="4"/>
        </w:numPr>
        <w:spacing w:line="520" w:lineRule="exact"/>
        <w:ind w:left="0" w:firstLine="562"/>
        <w:jc w:val="both"/>
        <w:rPr>
          <w:rFonts w:hint="eastAsia" w:asciiTheme="minorEastAsia" w:hAnsiTheme="minorEastAsia" w:eastAsiaTheme="minorEastAsia"/>
        </w:rPr>
      </w:pPr>
      <w:r>
        <w:rPr>
          <w:rFonts w:hint="eastAsia" w:cs="Times New Roman" w:asciiTheme="minorEastAsia" w:hAnsiTheme="minorEastAsia" w:eastAsiaTheme="minorEastAsia"/>
          <w:b/>
        </w:rPr>
        <w:t>本次转让</w:t>
      </w:r>
    </w:p>
    <w:p>
      <w:pPr>
        <w:tabs>
          <w:tab w:val="left" w:pos="5355"/>
        </w:tabs>
        <w:spacing w:line="520" w:lineRule="exact"/>
        <w:ind w:firstLine="560" w:firstLineChars="200"/>
        <w:jc w:val="both"/>
        <w:rPr>
          <w:rFonts w:hint="eastAsia" w:cs="Times New Roman" w:asciiTheme="majorEastAsia" w:hAnsiTheme="majorEastAsia" w:eastAsiaTheme="majorEastAsia"/>
        </w:rPr>
      </w:pPr>
      <w:r>
        <w:rPr>
          <w:rFonts w:hint="eastAsia" w:cs="Times New Roman" w:asciiTheme="majorEastAsia" w:hAnsiTheme="majorEastAsia" w:eastAsiaTheme="majorEastAsia"/>
          <w:sz w:val="28"/>
          <w:szCs w:val="28"/>
        </w:rPr>
        <w:t>本次转让价款</w:t>
      </w:r>
      <w:r>
        <w:rPr>
          <w:rFonts w:hint="eastAsia" w:asciiTheme="minorEastAsia" w:hAnsiTheme="minorEastAsia" w:eastAsiaTheme="minorEastAsia"/>
          <w:sz w:val="28"/>
        </w:rPr>
        <w:t>47.48亿元，</w:t>
      </w:r>
      <w:r>
        <w:rPr>
          <w:rFonts w:hint="eastAsia" w:cs="Times New Roman" w:asciiTheme="majorEastAsia" w:hAnsiTheme="majorEastAsia" w:eastAsiaTheme="majorEastAsia"/>
          <w:sz w:val="28"/>
          <w:szCs w:val="28"/>
        </w:rPr>
        <w:t>投资方按照如下方式向各现有股东方支付转让价款：</w:t>
      </w:r>
    </w:p>
    <w:p>
      <w:pPr>
        <w:tabs>
          <w:tab w:val="left" w:pos="5355"/>
        </w:tabs>
        <w:spacing w:line="520" w:lineRule="exact"/>
        <w:ind w:firstLine="560" w:firstLineChars="200"/>
        <w:jc w:val="both"/>
        <w:rPr>
          <w:rFonts w:hint="eastAsia" w:cs="Times New Roman" w:asciiTheme="majorEastAsia" w:hAnsiTheme="majorEastAsia" w:eastAsiaTheme="majorEastAsia"/>
        </w:rPr>
      </w:pPr>
      <w:r>
        <w:rPr>
          <w:rFonts w:hint="eastAsia" w:cs="Times New Roman" w:asciiTheme="majorEastAsia" w:hAnsiTheme="majorEastAsia" w:eastAsiaTheme="majorEastAsia"/>
          <w:sz w:val="28"/>
          <w:szCs w:val="28"/>
        </w:rPr>
        <w:t>（</w:t>
      </w:r>
      <w:bookmarkStart w:id="11" w:name="OLE_LINK4"/>
      <w:r>
        <w:rPr>
          <w:rFonts w:hint="eastAsia" w:cs="Times New Roman" w:asciiTheme="majorEastAsia" w:hAnsiTheme="majorEastAsia" w:eastAsiaTheme="majorEastAsia"/>
          <w:sz w:val="28"/>
          <w:szCs w:val="28"/>
        </w:rPr>
        <w:t>1）</w:t>
      </w:r>
      <w:bookmarkEnd w:id="11"/>
      <w:r>
        <w:rPr>
          <w:rFonts w:hint="eastAsia" w:cs="Times New Roman" w:asciiTheme="majorEastAsia" w:hAnsiTheme="majorEastAsia" w:eastAsiaTheme="majorEastAsia"/>
          <w:sz w:val="28"/>
          <w:szCs w:val="28"/>
        </w:rPr>
        <w:t>投资方应于本协议生效日起5个工作日内一次性向各现有股东方支付转让价款的40%（以下称“首批转让价款”）；</w:t>
      </w:r>
    </w:p>
    <w:p>
      <w:pPr>
        <w:pStyle w:val="39"/>
        <w:tabs>
          <w:tab w:val="left" w:pos="5080"/>
        </w:tabs>
        <w:spacing w:line="520" w:lineRule="exact"/>
        <w:jc w:val="both"/>
        <w:rPr>
          <w:rFonts w:hint="eastAsia" w:cs="Arial" w:asciiTheme="majorEastAsia" w:hAnsiTheme="majorEastAsia" w:eastAsiaTheme="majorEastAsia"/>
          <w:bCs/>
        </w:rPr>
      </w:pPr>
      <w:r>
        <w:rPr>
          <w:rFonts w:hint="eastAsia" w:cs="Times New Roman" w:asciiTheme="majorEastAsia" w:hAnsiTheme="majorEastAsia" w:eastAsiaTheme="majorEastAsia"/>
        </w:rPr>
        <w:t>（</w:t>
      </w:r>
      <w:bookmarkStart w:id="12" w:name="OLE_LINK5"/>
      <w:r>
        <w:rPr>
          <w:rFonts w:hint="eastAsia" w:cs="Times New Roman" w:asciiTheme="majorEastAsia" w:hAnsiTheme="majorEastAsia" w:eastAsiaTheme="majorEastAsia"/>
        </w:rPr>
        <w:t>2）</w:t>
      </w:r>
      <w:bookmarkEnd w:id="12"/>
      <w:r>
        <w:rPr>
          <w:rFonts w:hint="eastAsia" w:cs="Times New Roman" w:asciiTheme="majorEastAsia" w:hAnsiTheme="majorEastAsia" w:eastAsiaTheme="majorEastAsia"/>
        </w:rPr>
        <w:t>投资方应于交割日起5个工作</w:t>
      </w:r>
      <w:r>
        <w:rPr>
          <w:rFonts w:hint="eastAsia" w:cs="Arial" w:asciiTheme="majorEastAsia" w:hAnsiTheme="majorEastAsia" w:eastAsiaTheme="majorEastAsia"/>
          <w:bCs/>
        </w:rPr>
        <w:t>日内一次性向各现有股东方支付扣除望田煤业股权价值（本次交易对望田煤业设置了特别约定，详情请见本公告之“九、风险提示及应对措施—望田煤业固定股权收益风险”）外的其他转让价款（以下称“第二批转让价款”）及相应利息；</w:t>
      </w:r>
    </w:p>
    <w:p>
      <w:pPr>
        <w:pStyle w:val="39"/>
        <w:tabs>
          <w:tab w:val="left" w:pos="5080"/>
        </w:tabs>
        <w:spacing w:line="520" w:lineRule="exact"/>
        <w:jc w:val="both"/>
        <w:rPr>
          <w:rFonts w:hint="eastAsia" w:cs="Arial" w:asciiTheme="majorEastAsia" w:hAnsiTheme="majorEastAsia" w:eastAsiaTheme="majorEastAsia"/>
          <w:bCs/>
        </w:rPr>
      </w:pPr>
      <w:r>
        <w:rPr>
          <w:rFonts w:hint="eastAsia" w:cs="Arial" w:asciiTheme="majorEastAsia" w:hAnsiTheme="majorEastAsia" w:eastAsiaTheme="majorEastAsia"/>
          <w:bCs/>
        </w:rPr>
        <w:t>（3）上述</w:t>
      </w:r>
      <w:r>
        <w:rPr>
          <w:rFonts w:cs="Times New Roman" w:asciiTheme="majorEastAsia" w:hAnsiTheme="majorEastAsia" w:eastAsiaTheme="majorEastAsia"/>
        </w:rPr>
        <w:t>利息按照后续每笔转让价款实际支付日上月LPR一年期利率计算，计算期间为首批转让价款支付日（不含该日）至后续各批转让价款实际支付日，计算期间内按照一年365天计算。除经各方书面协商一致外，如因任一现有股东方的原因导致未能按照本协议约定完成工商变更登记，则投资方有权不予支付自本协议生效日起6个月后的首日（含该日）至完成本次转让</w:t>
      </w:r>
      <w:r>
        <w:rPr>
          <w:rFonts w:hint="eastAsia" w:cs="Arial"/>
          <w:bCs/>
        </w:rPr>
        <w:t>及本次增资</w:t>
      </w:r>
      <w:r>
        <w:rPr>
          <w:rFonts w:cs="Times New Roman" w:asciiTheme="majorEastAsia" w:hAnsiTheme="majorEastAsia" w:eastAsiaTheme="majorEastAsia"/>
        </w:rPr>
        <w:t>工商变更登记之日（含该日）期间所产生的第二批转让价款对应利息</w:t>
      </w:r>
      <w:r>
        <w:rPr>
          <w:rFonts w:hint="eastAsia" w:cs="Arial" w:asciiTheme="majorEastAsia" w:hAnsiTheme="majorEastAsia" w:eastAsiaTheme="majorEastAsia"/>
          <w:bCs/>
        </w:rPr>
        <w:t>；</w:t>
      </w:r>
    </w:p>
    <w:p>
      <w:pPr>
        <w:pStyle w:val="39"/>
        <w:tabs>
          <w:tab w:val="left" w:pos="5355"/>
        </w:tabs>
        <w:spacing w:line="520" w:lineRule="exact"/>
        <w:jc w:val="both"/>
        <w:rPr>
          <w:rFonts w:hint="eastAsia" w:cs="Arial" w:asciiTheme="majorEastAsia" w:hAnsiTheme="majorEastAsia" w:eastAsiaTheme="majorEastAsia"/>
          <w:bCs/>
        </w:rPr>
      </w:pPr>
      <w:r>
        <w:rPr>
          <w:rFonts w:hint="eastAsia" w:cs="Arial" w:asciiTheme="majorEastAsia" w:hAnsiTheme="majorEastAsia" w:eastAsiaTheme="majorEastAsia"/>
          <w:bCs/>
        </w:rPr>
        <w:t>（4）投资方应于以下条件达成之日起</w:t>
      </w:r>
      <w:r>
        <w:rPr>
          <w:rFonts w:cs="Arial" w:asciiTheme="majorEastAsia" w:hAnsiTheme="majorEastAsia" w:eastAsiaTheme="majorEastAsia"/>
          <w:bCs/>
        </w:rPr>
        <w:t>5</w:t>
      </w:r>
      <w:r>
        <w:rPr>
          <w:rFonts w:hint="eastAsia" w:cs="Arial" w:asciiTheme="majorEastAsia" w:hAnsiTheme="majorEastAsia" w:eastAsiaTheme="majorEastAsia"/>
          <w:bCs/>
        </w:rPr>
        <w:t>个工作日内向各现有股东方支付望田煤业股权价值对应价款0.85亿元。</w:t>
      </w:r>
    </w:p>
    <w:p>
      <w:pPr>
        <w:pStyle w:val="39"/>
        <w:tabs>
          <w:tab w:val="left" w:pos="5355"/>
        </w:tabs>
        <w:spacing w:line="520" w:lineRule="exact"/>
        <w:jc w:val="both"/>
        <w:rPr>
          <w:rFonts w:hint="eastAsia" w:cs="Arial" w:asciiTheme="majorEastAsia" w:hAnsiTheme="majorEastAsia" w:eastAsiaTheme="majorEastAsia"/>
          <w:bCs/>
        </w:rPr>
      </w:pPr>
      <w:r>
        <w:rPr>
          <w:rFonts w:hint="eastAsia" w:cs="Arial" w:asciiTheme="majorEastAsia" w:hAnsiTheme="majorEastAsia" w:eastAsiaTheme="majorEastAsia"/>
          <w:bCs/>
        </w:rPr>
        <w:t>1）《内部合作经营协议》按照《资产评估报告》的评估假设于</w:t>
      </w:r>
      <w:r>
        <w:rPr>
          <w:rFonts w:cs="Arial" w:asciiTheme="majorEastAsia" w:hAnsiTheme="majorEastAsia" w:eastAsiaTheme="majorEastAsia"/>
          <w:bCs/>
        </w:rPr>
        <w:t>2026</w:t>
      </w:r>
      <w:r>
        <w:rPr>
          <w:rFonts w:hint="eastAsia" w:cs="Arial" w:asciiTheme="majorEastAsia" w:hAnsiTheme="majorEastAsia" w:eastAsiaTheme="majorEastAsia"/>
          <w:bCs/>
        </w:rPr>
        <w:t>年</w:t>
      </w:r>
      <w:r>
        <w:rPr>
          <w:rFonts w:cs="Arial" w:asciiTheme="majorEastAsia" w:hAnsiTheme="majorEastAsia" w:eastAsiaTheme="majorEastAsia"/>
          <w:bCs/>
        </w:rPr>
        <w:t>12</w:t>
      </w:r>
      <w:r>
        <w:rPr>
          <w:rFonts w:hint="eastAsia" w:cs="Arial" w:asciiTheme="majorEastAsia" w:hAnsiTheme="majorEastAsia" w:eastAsiaTheme="majorEastAsia"/>
          <w:bCs/>
        </w:rPr>
        <w:t>月</w:t>
      </w:r>
      <w:r>
        <w:rPr>
          <w:rFonts w:cs="Arial" w:asciiTheme="majorEastAsia" w:hAnsiTheme="majorEastAsia" w:eastAsiaTheme="majorEastAsia"/>
          <w:bCs/>
        </w:rPr>
        <w:t>31</w:t>
      </w:r>
      <w:r>
        <w:rPr>
          <w:rFonts w:hint="eastAsia" w:cs="Arial" w:asciiTheme="majorEastAsia" w:hAnsiTheme="majorEastAsia" w:eastAsiaTheme="majorEastAsia"/>
          <w:bCs/>
        </w:rPr>
        <w:t>日期满不再续期；</w:t>
      </w:r>
    </w:p>
    <w:p>
      <w:pPr>
        <w:pStyle w:val="39"/>
        <w:tabs>
          <w:tab w:val="left" w:pos="5355"/>
        </w:tabs>
        <w:spacing w:line="520" w:lineRule="exact"/>
        <w:jc w:val="both"/>
        <w:rPr>
          <w:rFonts w:hint="eastAsia" w:cs="Arial" w:asciiTheme="majorEastAsia" w:hAnsiTheme="majorEastAsia" w:eastAsiaTheme="majorEastAsia"/>
          <w:bCs/>
        </w:rPr>
      </w:pPr>
      <w:r>
        <w:rPr>
          <w:rFonts w:hint="eastAsia" w:cs="Arial" w:asciiTheme="majorEastAsia" w:hAnsiTheme="majorEastAsia" w:eastAsiaTheme="majorEastAsia"/>
          <w:bCs/>
        </w:rPr>
        <w:t>2）若《内部合作经营协议》各签署方以书面方式提前解除和终止《内部合作经营协议》，则相关解除文件生效之日视为前述条件达成之日。</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本次增资</w:t>
      </w:r>
    </w:p>
    <w:p>
      <w:pPr>
        <w:pStyle w:val="39"/>
        <w:tabs>
          <w:tab w:val="left" w:pos="5355"/>
        </w:tabs>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投资方以现金方式向目标公司增资93.18亿元，其中25.51亿元计入西北矿业注册资本，67.67亿元计入西北矿业资本公积。</w:t>
      </w:r>
    </w:p>
    <w:p>
      <w:pPr>
        <w:pStyle w:val="39"/>
        <w:tabs>
          <w:tab w:val="left" w:pos="5355"/>
        </w:tabs>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本次转让工商变更登记完成后应及时，或者同时办理本次增资工商变更登记。投资方应于本次增资完成工商变更登记之日起</w:t>
      </w:r>
      <w:r>
        <w:rPr>
          <w:rFonts w:cs="Times New Roman" w:asciiTheme="minorEastAsia" w:hAnsiTheme="minorEastAsia" w:eastAsiaTheme="minorEastAsia"/>
        </w:rPr>
        <w:t>6个月内完成目标公司新增注册资本的实缴</w:t>
      </w:r>
      <w:r>
        <w:rPr>
          <w:rFonts w:hint="eastAsia" w:cs="Times New Roman" w:asciiTheme="minorEastAsia" w:hAnsiTheme="minorEastAsia" w:eastAsiaTheme="minorEastAsia"/>
        </w:rPr>
        <w:t>并将全部增资价款</w:t>
      </w:r>
      <w:r>
        <w:rPr>
          <w:rFonts w:cs="Times New Roman" w:asciiTheme="minorEastAsia" w:hAnsiTheme="minorEastAsia" w:eastAsiaTheme="minorEastAsia"/>
        </w:rPr>
        <w:t>93.18</w:t>
      </w:r>
      <w:r>
        <w:rPr>
          <w:rFonts w:hint="eastAsia" w:cs="Times New Roman" w:asciiTheme="minorEastAsia" w:hAnsiTheme="minorEastAsia" w:eastAsiaTheme="minorEastAsia"/>
        </w:rPr>
        <w:t>亿</w:t>
      </w:r>
      <w:r>
        <w:rPr>
          <w:rFonts w:cs="Times New Roman" w:asciiTheme="minorEastAsia" w:hAnsiTheme="minorEastAsia" w:eastAsiaTheme="minorEastAsia"/>
        </w:rPr>
        <w:t>元支付至目标公司指定账户</w:t>
      </w:r>
      <w:r>
        <w:rPr>
          <w:rFonts w:hint="eastAsia" w:cs="Times New Roman" w:asciiTheme="minorEastAsia" w:hAnsiTheme="minorEastAsia" w:eastAsiaTheme="minorEastAsia"/>
        </w:rPr>
        <w:t>。</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本次交易交割</w:t>
      </w:r>
    </w:p>
    <w:p>
      <w:pPr>
        <w:pStyle w:val="39"/>
        <w:tabs>
          <w:tab w:val="left" w:pos="5355"/>
        </w:tabs>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除各方另有书面约定外，目标公司应于本协议生效日起6个月内完成本次转让及本次增资涉及的工商变更登记。</w:t>
      </w:r>
    </w:p>
    <w:p>
      <w:pPr>
        <w:pStyle w:val="39"/>
        <w:tabs>
          <w:tab w:val="left" w:pos="5355"/>
        </w:tabs>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除各方另有书面约定外，本次转让涉及的工商变更登记应当先于或者同时与本次增资涉及的工商变更登记办理，本次转让及本次增资涉及的工商变更登记均完成之日（以孰晚为准）为本次交易的交割日，目标公司51%股权对应的权利和义务自交割日起转移至投资方。</w:t>
      </w:r>
    </w:p>
    <w:p>
      <w:pPr>
        <w:pStyle w:val="39"/>
        <w:tabs>
          <w:tab w:val="left" w:pos="5355"/>
        </w:tabs>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除</w:t>
      </w:r>
      <w:r>
        <w:rPr>
          <w:rFonts w:hint="eastAsia" w:cs="Times New Roman" w:asciiTheme="minorEastAsia" w:hAnsiTheme="minorEastAsia" w:eastAsiaTheme="minorEastAsia"/>
        </w:rPr>
        <w:t>淄矿集团</w:t>
      </w:r>
      <w:r>
        <w:rPr>
          <w:rFonts w:cs="Times New Roman" w:asciiTheme="minorEastAsia" w:hAnsiTheme="minorEastAsia" w:eastAsiaTheme="minorEastAsia"/>
        </w:rPr>
        <w:t>与投资方另有书面约定外，交割日后，目标公司设董事会，由7名董事组成，除一名职工代表董事应由民主选举产生外，淄矿集团有权提名2名董事候选人，投资方有权提名4名董事候选人，并通过股东会选举产生。董事长应由投资方提名的董事担任，并通过董事会选举产生。董事会中设置由董事组成的审计委员会，审计委员会成员为3名，由董事会选举产生，其中1名为职工代表董事，其余2名审计委员会成员由投资方、淄矿集团</w:t>
      </w:r>
      <w:r>
        <w:rPr>
          <w:rFonts w:hint="eastAsia" w:cs="Times New Roman" w:asciiTheme="minorEastAsia" w:hAnsiTheme="minorEastAsia" w:eastAsiaTheme="minorEastAsia"/>
        </w:rPr>
        <w:t>各</w:t>
      </w:r>
      <w:r>
        <w:rPr>
          <w:rFonts w:cs="Times New Roman" w:asciiTheme="minorEastAsia" w:hAnsiTheme="minorEastAsia" w:eastAsiaTheme="minorEastAsia"/>
        </w:rPr>
        <w:t>提名</w:t>
      </w:r>
      <w:r>
        <w:rPr>
          <w:rFonts w:hint="eastAsia" w:cs="Times New Roman" w:asciiTheme="minorEastAsia" w:hAnsiTheme="minorEastAsia" w:eastAsiaTheme="minorEastAsia"/>
        </w:rPr>
        <w:t>1</w:t>
      </w:r>
      <w:r>
        <w:rPr>
          <w:rFonts w:cs="Times New Roman" w:asciiTheme="minorEastAsia" w:hAnsiTheme="minorEastAsia" w:eastAsiaTheme="minorEastAsia"/>
        </w:rPr>
        <w:t>名。目标公司总经理、财务总监应由投资方推荐的人员担任，并由董事会聘任。</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过渡期间损益安排</w:t>
      </w:r>
    </w:p>
    <w:p>
      <w:pPr>
        <w:adjustRightInd w:val="0"/>
        <w:snapToGrid w:val="0"/>
        <w:spacing w:line="520" w:lineRule="exact"/>
        <w:ind w:firstLine="560" w:firstLineChars="200"/>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除各方另有约定外，目标公司对应的过渡期间损益由现有股东方享有或承担。</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交割前行为</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各方同意并确认，除各方另有书面约定外，</w:t>
      </w:r>
      <w:r>
        <w:rPr>
          <w:rFonts w:cs="Times New Roman" w:asciiTheme="minorEastAsia" w:hAnsiTheme="minorEastAsia" w:eastAsiaTheme="minorEastAsia"/>
        </w:rPr>
        <w:t>本次交易所涉及的目标公司合并报表范围子公司以《审计报告》为准，就未纳入《审计报告》模拟合并范围但已签署相关无偿划转协议的淄博矿业集团设计院有限责任公司</w:t>
      </w:r>
      <w:r>
        <w:rPr>
          <w:rFonts w:hint="eastAsia" w:cs="Times New Roman" w:asciiTheme="minorEastAsia" w:hAnsiTheme="minorEastAsia" w:eastAsiaTheme="minorEastAsia"/>
        </w:rPr>
        <w:t>1</w:t>
      </w:r>
      <w:r>
        <w:rPr>
          <w:rFonts w:cs="Times New Roman" w:asciiTheme="minorEastAsia" w:hAnsiTheme="minorEastAsia" w:eastAsiaTheme="minorEastAsia"/>
        </w:rPr>
        <w:t>00%</w:t>
      </w:r>
      <w:r>
        <w:rPr>
          <w:rFonts w:hint="eastAsia" w:cs="Times New Roman" w:asciiTheme="minorEastAsia" w:hAnsiTheme="minorEastAsia" w:eastAsiaTheme="minorEastAsia"/>
        </w:rPr>
        <w:t>股权</w:t>
      </w:r>
      <w:r>
        <w:rPr>
          <w:rFonts w:cs="Times New Roman" w:asciiTheme="minorEastAsia" w:hAnsiTheme="minorEastAsia" w:eastAsiaTheme="minorEastAsia"/>
        </w:rPr>
        <w:t>，现有股东方应在交割日前完成该等股权的变更登记</w:t>
      </w:r>
      <w:r>
        <w:rPr>
          <w:rFonts w:hint="eastAsia" w:cs="Times New Roman" w:asciiTheme="minorEastAsia" w:hAnsiTheme="minorEastAsia" w:eastAsiaTheme="minorEastAsia"/>
        </w:rPr>
        <w:t>。</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各方</w:t>
      </w:r>
      <w:r>
        <w:rPr>
          <w:rFonts w:cs="Times New Roman" w:asciiTheme="minorEastAsia" w:hAnsiTheme="minorEastAsia" w:eastAsiaTheme="minorEastAsia"/>
          <w:b/>
        </w:rPr>
        <w:t>的声明与保证</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（1）现有股东方</w:t>
      </w:r>
      <w:r>
        <w:rPr>
          <w:rFonts w:cs="Times New Roman" w:asciiTheme="minorEastAsia" w:hAnsiTheme="minorEastAsia" w:eastAsiaTheme="minorEastAsia"/>
          <w:bCs/>
        </w:rPr>
        <w:t>向</w:t>
      </w:r>
      <w:r>
        <w:rPr>
          <w:rFonts w:hint="eastAsia" w:cs="Times New Roman" w:asciiTheme="minorEastAsia" w:hAnsiTheme="minorEastAsia" w:eastAsiaTheme="minorEastAsia"/>
          <w:bCs/>
        </w:rPr>
        <w:t>投资方</w:t>
      </w:r>
      <w:r>
        <w:rPr>
          <w:rFonts w:cs="Times New Roman" w:asciiTheme="minorEastAsia" w:hAnsiTheme="minorEastAsia" w:eastAsiaTheme="minorEastAsia"/>
          <w:bCs/>
        </w:rPr>
        <w:t>作出如下各项声明</w:t>
      </w:r>
      <w:r>
        <w:rPr>
          <w:rFonts w:hint="eastAsia" w:cs="Times New Roman" w:asciiTheme="minorEastAsia" w:hAnsiTheme="minorEastAsia" w:eastAsiaTheme="minorEastAsia"/>
          <w:bCs/>
        </w:rPr>
        <w:t>与</w:t>
      </w:r>
      <w:r>
        <w:rPr>
          <w:rFonts w:cs="Times New Roman" w:asciiTheme="minorEastAsia" w:hAnsiTheme="minorEastAsia" w:eastAsiaTheme="minorEastAsia"/>
          <w:bCs/>
        </w:rPr>
        <w:t>保证：</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1）现有股东方为依据中国境内法律合法设立并有效存续的有限责任公司，依照中国境内法律具有独立的法人资格；</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2</w:t>
      </w:r>
      <w:r>
        <w:rPr>
          <w:rFonts w:hint="eastAsia" w:cs="Times New Roman" w:asciiTheme="minorEastAsia" w:hAnsiTheme="minorEastAsia" w:eastAsiaTheme="minorEastAsia"/>
          <w:bCs/>
        </w:rPr>
        <w:t>）现有股东方</w:t>
      </w:r>
      <w:r>
        <w:rPr>
          <w:rFonts w:cs="Times New Roman" w:asciiTheme="minorEastAsia" w:hAnsiTheme="minorEastAsia" w:eastAsiaTheme="minorEastAsia"/>
        </w:rPr>
        <w:t>具有</w:t>
      </w:r>
      <w:r>
        <w:rPr>
          <w:rFonts w:cs="Times New Roman" w:asciiTheme="minorEastAsia" w:hAnsiTheme="minorEastAsia" w:eastAsiaTheme="minorEastAsia"/>
          <w:bCs/>
        </w:rPr>
        <w:t>签署及履行本协议的权力和权限</w:t>
      </w:r>
      <w:r>
        <w:rPr>
          <w:rFonts w:hint="eastAsia" w:cs="Times New Roman" w:asciiTheme="minorEastAsia" w:hAnsiTheme="minorEastAsia" w:eastAsiaTheme="minorEastAsia"/>
          <w:bCs/>
        </w:rPr>
        <w:t>；</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3）</w:t>
      </w:r>
      <w:r>
        <w:rPr>
          <w:rFonts w:cs="Times New Roman" w:asciiTheme="minorEastAsia" w:hAnsiTheme="minorEastAsia" w:eastAsiaTheme="minorEastAsia"/>
          <w:bCs/>
        </w:rPr>
        <w:t>本协议的签署和履行不会：(a)违反</w:t>
      </w:r>
      <w:r>
        <w:rPr>
          <w:rFonts w:hint="eastAsia" w:cs="Times New Roman" w:asciiTheme="minorEastAsia" w:hAnsiTheme="minorEastAsia" w:eastAsiaTheme="minorEastAsia"/>
          <w:bCs/>
        </w:rPr>
        <w:t>现有股东方或目标公司</w:t>
      </w:r>
      <w:r>
        <w:rPr>
          <w:rFonts w:cs="Times New Roman" w:asciiTheme="minorEastAsia" w:hAnsiTheme="minorEastAsia" w:eastAsiaTheme="minorEastAsia"/>
          <w:bCs/>
        </w:rPr>
        <w:t>现行有效的组织性文件，或(b)违反任何中国</w:t>
      </w:r>
      <w:r>
        <w:rPr>
          <w:rFonts w:hint="eastAsia" w:cs="Times New Roman" w:asciiTheme="minorEastAsia" w:hAnsiTheme="minorEastAsia" w:eastAsiaTheme="minorEastAsia"/>
          <w:bCs/>
        </w:rPr>
        <w:t>境内</w:t>
      </w:r>
      <w:r>
        <w:rPr>
          <w:rFonts w:cs="Times New Roman" w:asciiTheme="minorEastAsia" w:hAnsiTheme="minorEastAsia" w:eastAsiaTheme="minorEastAsia"/>
          <w:bCs/>
        </w:rPr>
        <w:t>法律，或(c)违反</w:t>
      </w:r>
      <w:r>
        <w:rPr>
          <w:rFonts w:hint="eastAsia" w:cs="Times New Roman" w:asciiTheme="minorEastAsia" w:hAnsiTheme="minorEastAsia" w:eastAsiaTheme="minorEastAsia"/>
          <w:bCs/>
        </w:rPr>
        <w:t>现有股东方或目标公司</w:t>
      </w:r>
      <w:r>
        <w:rPr>
          <w:rFonts w:cs="Times New Roman" w:asciiTheme="minorEastAsia" w:hAnsiTheme="minorEastAsia" w:eastAsiaTheme="minorEastAsia"/>
          <w:bCs/>
        </w:rPr>
        <w:t>为一方的有法律约束力的合同或协议，或(d)导致</w:t>
      </w:r>
      <w:r>
        <w:rPr>
          <w:rFonts w:hint="eastAsia" w:cs="Times New Roman" w:asciiTheme="minorEastAsia" w:hAnsiTheme="minorEastAsia" w:eastAsiaTheme="minorEastAsia"/>
          <w:bCs/>
        </w:rPr>
        <w:t>现有股东方或目标公司</w:t>
      </w:r>
      <w:r>
        <w:rPr>
          <w:rFonts w:cs="Times New Roman" w:asciiTheme="minorEastAsia" w:hAnsiTheme="minorEastAsia" w:eastAsiaTheme="minorEastAsia"/>
          <w:bCs/>
        </w:rPr>
        <w:t>已经签署的协议或安排下的合同对方可以主张解除其义务或获得其它权利主张</w:t>
      </w:r>
      <w:r>
        <w:rPr>
          <w:rFonts w:hint="eastAsia" w:cs="Times New Roman" w:asciiTheme="minorEastAsia" w:hAnsiTheme="minorEastAsia" w:eastAsiaTheme="minorEastAsia"/>
          <w:bCs/>
        </w:rPr>
        <w:t>；</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4</w:t>
      </w:r>
      <w:r>
        <w:rPr>
          <w:rFonts w:hint="eastAsia" w:cs="Times New Roman" w:asciiTheme="minorEastAsia" w:hAnsiTheme="minorEastAsia" w:eastAsiaTheme="minorEastAsia"/>
          <w:bCs/>
        </w:rPr>
        <w:t>）自本协议</w:t>
      </w:r>
      <w:r>
        <w:rPr>
          <w:rFonts w:hint="eastAsia" w:cs="Times New Roman" w:asciiTheme="minorEastAsia" w:hAnsiTheme="minorEastAsia" w:eastAsiaTheme="minorEastAsia"/>
        </w:rPr>
        <w:t>签署</w:t>
      </w:r>
      <w:r>
        <w:rPr>
          <w:rFonts w:hint="eastAsia" w:cs="Times New Roman" w:asciiTheme="minorEastAsia" w:hAnsiTheme="minorEastAsia" w:eastAsiaTheme="minorEastAsia"/>
          <w:bCs/>
        </w:rPr>
        <w:t>日至交割日，现有股东方</w:t>
      </w:r>
      <w:r>
        <w:rPr>
          <w:rFonts w:cs="Times New Roman" w:asciiTheme="minorEastAsia" w:hAnsiTheme="minorEastAsia" w:eastAsiaTheme="minorEastAsia"/>
          <w:bCs/>
        </w:rPr>
        <w:t>为</w:t>
      </w:r>
      <w:r>
        <w:rPr>
          <w:rFonts w:hint="eastAsia" w:cs="Times New Roman" w:asciiTheme="minorEastAsia" w:hAnsiTheme="minorEastAsia" w:eastAsiaTheme="minorEastAsia"/>
          <w:bCs/>
        </w:rPr>
        <w:t>目标公司</w:t>
      </w:r>
      <w:r>
        <w:rPr>
          <w:rFonts w:cs="Times New Roman" w:asciiTheme="minorEastAsia" w:hAnsiTheme="minorEastAsia" w:eastAsiaTheme="minorEastAsia"/>
          <w:bCs/>
        </w:rPr>
        <w:t>的合法股东，合法有效并不附带任何权利负担地持有</w:t>
      </w:r>
      <w:r>
        <w:rPr>
          <w:rFonts w:hint="eastAsia" w:cs="Times New Roman" w:asciiTheme="minorEastAsia" w:hAnsiTheme="minorEastAsia" w:eastAsiaTheme="minorEastAsia"/>
          <w:bCs/>
        </w:rPr>
        <w:t>目标公司股权，转让股权权属清晰</w:t>
      </w:r>
      <w:r>
        <w:rPr>
          <w:rFonts w:cs="Times New Roman" w:asciiTheme="minorEastAsia" w:hAnsiTheme="minorEastAsia" w:eastAsiaTheme="minorEastAsia"/>
          <w:bCs/>
        </w:rPr>
        <w:t>，且</w:t>
      </w:r>
      <w:r>
        <w:rPr>
          <w:rFonts w:hint="eastAsia" w:cs="Times New Roman" w:asciiTheme="minorEastAsia" w:hAnsiTheme="minorEastAsia" w:eastAsiaTheme="minorEastAsia"/>
          <w:bCs/>
        </w:rPr>
        <w:t>转让股权</w:t>
      </w:r>
      <w:r>
        <w:rPr>
          <w:rFonts w:cs="Times New Roman" w:asciiTheme="minorEastAsia" w:hAnsiTheme="minorEastAsia" w:eastAsiaTheme="minorEastAsia"/>
          <w:bCs/>
        </w:rPr>
        <w:t>上未设置</w:t>
      </w:r>
      <w:r>
        <w:rPr>
          <w:rFonts w:hint="eastAsia" w:cs="Times New Roman" w:asciiTheme="minorEastAsia" w:hAnsiTheme="minorEastAsia" w:eastAsiaTheme="minorEastAsia"/>
          <w:bCs/>
        </w:rPr>
        <w:t>质押、其他担保、司法查封、冻结、拍卖等</w:t>
      </w:r>
      <w:r>
        <w:rPr>
          <w:rFonts w:cs="Times New Roman" w:asciiTheme="minorEastAsia" w:hAnsiTheme="minorEastAsia" w:eastAsiaTheme="minorEastAsia"/>
          <w:bCs/>
        </w:rPr>
        <w:t>任何权利负担</w:t>
      </w:r>
      <w:r>
        <w:rPr>
          <w:rFonts w:hint="eastAsia" w:cs="Times New Roman" w:asciiTheme="minorEastAsia" w:hAnsiTheme="minorEastAsia" w:eastAsiaTheme="minorEastAsia"/>
          <w:bCs/>
        </w:rPr>
        <w:t>，不会出现任何第三方以任何方式就现有股东方所持目标公司股权提出任何权利主张；</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5</w:t>
      </w:r>
      <w:r>
        <w:rPr>
          <w:rFonts w:hint="eastAsia" w:cs="Times New Roman" w:asciiTheme="minorEastAsia" w:hAnsiTheme="minorEastAsia" w:eastAsiaTheme="minorEastAsia"/>
          <w:bCs/>
        </w:rPr>
        <w:t>）现有股东方已经依法足额履行对目标公司的</w:t>
      </w:r>
      <w:r>
        <w:rPr>
          <w:rFonts w:hint="eastAsia" w:cs="Times New Roman" w:asciiTheme="minorEastAsia" w:hAnsiTheme="minorEastAsia" w:eastAsiaTheme="minorEastAsia"/>
        </w:rPr>
        <w:t>全部</w:t>
      </w:r>
      <w:r>
        <w:rPr>
          <w:rFonts w:hint="eastAsia" w:cs="Times New Roman" w:asciiTheme="minorEastAsia" w:hAnsiTheme="minorEastAsia" w:eastAsiaTheme="minorEastAsia"/>
          <w:bCs/>
        </w:rPr>
        <w:t>出资义务，出资资产均为现有股东方合法拥有的自有资产，不存在任何虚假出资、延期出资、抽逃出资等违反作为股东应承担的义务及责任的行为，出资行为均已履行内外部必要的审批程序；</w:t>
      </w:r>
      <w:r>
        <w:rPr>
          <w:rFonts w:cs="Times New Roman" w:asciiTheme="minorEastAsia" w:hAnsiTheme="minorEastAsia" w:eastAsiaTheme="minorEastAsia"/>
          <w:bCs/>
        </w:rPr>
        <w:t xml:space="preserve"> </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6</w:t>
      </w:r>
      <w:r>
        <w:rPr>
          <w:rFonts w:hint="eastAsia" w:cs="Times New Roman" w:asciiTheme="minorEastAsia" w:hAnsiTheme="minorEastAsia" w:eastAsiaTheme="minorEastAsia"/>
          <w:bCs/>
        </w:rPr>
        <w:t>）目标公司</w:t>
      </w:r>
      <w:r>
        <w:rPr>
          <w:rFonts w:hint="eastAsia" w:cs="Times New Roman" w:asciiTheme="minorEastAsia" w:hAnsiTheme="minorEastAsia" w:eastAsiaTheme="minorEastAsia"/>
        </w:rPr>
        <w:t>及其</w:t>
      </w:r>
      <w:r>
        <w:rPr>
          <w:rFonts w:hint="eastAsia" w:cs="Times New Roman" w:asciiTheme="minorEastAsia" w:hAnsiTheme="minorEastAsia" w:eastAsiaTheme="minorEastAsia"/>
          <w:bCs/>
        </w:rPr>
        <w:t>控股子公司合法拥有对其生产经营有重大影响的财产及权益，权属清晰，没有受任何抵押、质押、留置、优先购买权或第三者的权利所限制；</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7</w:t>
      </w:r>
      <w:r>
        <w:rPr>
          <w:rFonts w:hint="eastAsia" w:cs="Times New Roman" w:asciiTheme="minorEastAsia" w:hAnsiTheme="minorEastAsia" w:eastAsiaTheme="minorEastAsia"/>
          <w:bCs/>
        </w:rPr>
        <w:t>）除本协议另有约定或现有股东方另行书面承诺外，对于因目标公司及其控股子公司在本次交易交割日前的行为或事项导致的、在交割日后产生的目标公司及其控股子公司的负债、损失及责任，包括：(a</w:t>
      </w:r>
      <w:r>
        <w:rPr>
          <w:rFonts w:cs="Times New Roman" w:asciiTheme="minorEastAsia" w:hAnsiTheme="minorEastAsia" w:eastAsiaTheme="minorEastAsia"/>
          <w:bCs/>
        </w:rPr>
        <w:t>)</w:t>
      </w:r>
      <w:r>
        <w:rPr>
          <w:rFonts w:hint="eastAsia" w:cs="Times New Roman" w:asciiTheme="minorEastAsia" w:hAnsiTheme="minorEastAsia" w:eastAsiaTheme="minorEastAsia"/>
          <w:bCs/>
        </w:rPr>
        <w:t>因交割日前的生产经营、项目建设等违反法律法规及相关规定的行为受到的处罚及由此导致的负债、损失及责任；(</w:t>
      </w:r>
      <w:r>
        <w:rPr>
          <w:rFonts w:cs="Times New Roman" w:asciiTheme="minorEastAsia" w:hAnsiTheme="minorEastAsia" w:eastAsiaTheme="minorEastAsia"/>
          <w:bCs/>
        </w:rPr>
        <w:t>b)</w:t>
      </w:r>
      <w:r>
        <w:rPr>
          <w:rFonts w:hint="eastAsia" w:cs="Times New Roman" w:asciiTheme="minorEastAsia" w:hAnsiTheme="minorEastAsia" w:eastAsiaTheme="minorEastAsia"/>
          <w:bCs/>
        </w:rPr>
        <w:t>因交割日前行为而引发的诉讼纠纷所产生的支出或赔偿等；(</w:t>
      </w:r>
      <w:r>
        <w:rPr>
          <w:rFonts w:cs="Times New Roman" w:asciiTheme="minorEastAsia" w:hAnsiTheme="minorEastAsia" w:eastAsiaTheme="minorEastAsia"/>
          <w:bCs/>
        </w:rPr>
        <w:t>c)</w:t>
      </w:r>
      <w:r>
        <w:rPr>
          <w:rFonts w:hint="eastAsia" w:cs="Times New Roman" w:asciiTheme="minorEastAsia" w:hAnsiTheme="minorEastAsia" w:eastAsiaTheme="minorEastAsia"/>
          <w:bCs/>
        </w:rPr>
        <w:t>目标公司及其控股子公司交割日前因违反与第三方的合同约定而产生的违约责任、赔偿责任；(</w:t>
      </w:r>
      <w:r>
        <w:rPr>
          <w:rFonts w:cs="Times New Roman" w:asciiTheme="minorEastAsia" w:hAnsiTheme="minorEastAsia" w:eastAsiaTheme="minorEastAsia"/>
          <w:bCs/>
        </w:rPr>
        <w:t>d)</w:t>
      </w:r>
      <w:r>
        <w:rPr>
          <w:rFonts w:hint="eastAsia" w:cs="Times New Roman" w:asciiTheme="minorEastAsia" w:hAnsiTheme="minorEastAsia" w:eastAsiaTheme="minorEastAsia"/>
          <w:bCs/>
        </w:rPr>
        <w:t>因截至交割日的资产（包括土地使用权、房产、矿业权等）存在权属瑕疵或纠纷而受到的损失或承担的赔偿责任；现有股东方将承担前述损失的金额并对投资方予以补偿，但前述负债、损失及责任已在目标公司或其控股子公司的《审计报告》中足额计提的除外。</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（2）投资方</w:t>
      </w:r>
      <w:r>
        <w:rPr>
          <w:rFonts w:cs="Times New Roman" w:asciiTheme="minorEastAsia" w:hAnsiTheme="minorEastAsia" w:eastAsiaTheme="minorEastAsia"/>
          <w:bCs/>
        </w:rPr>
        <w:t>向</w:t>
      </w:r>
      <w:r>
        <w:rPr>
          <w:rFonts w:hint="eastAsia" w:cs="Times New Roman" w:asciiTheme="minorEastAsia" w:hAnsiTheme="minorEastAsia" w:eastAsiaTheme="minorEastAsia"/>
          <w:bCs/>
        </w:rPr>
        <w:t>现有股东方</w:t>
      </w:r>
      <w:r>
        <w:rPr>
          <w:rFonts w:cs="Times New Roman" w:asciiTheme="minorEastAsia" w:hAnsiTheme="minorEastAsia" w:eastAsiaTheme="minorEastAsia"/>
          <w:bCs/>
        </w:rPr>
        <w:t>作出如下声明</w:t>
      </w:r>
      <w:r>
        <w:rPr>
          <w:rFonts w:hint="eastAsia" w:cs="Times New Roman" w:asciiTheme="minorEastAsia" w:hAnsiTheme="minorEastAsia" w:eastAsiaTheme="minorEastAsia"/>
          <w:bCs/>
        </w:rPr>
        <w:t>与</w:t>
      </w:r>
      <w:r>
        <w:rPr>
          <w:rFonts w:cs="Times New Roman" w:asciiTheme="minorEastAsia" w:hAnsiTheme="minorEastAsia" w:eastAsiaTheme="minorEastAsia"/>
          <w:bCs/>
        </w:rPr>
        <w:t>保证</w:t>
      </w:r>
      <w:r>
        <w:rPr>
          <w:rFonts w:hint="eastAsia" w:cs="Times New Roman" w:asciiTheme="minorEastAsia" w:hAnsiTheme="minorEastAsia" w:eastAsiaTheme="minorEastAsia"/>
          <w:bCs/>
        </w:rPr>
        <w:t>：</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1）投资方</w:t>
      </w:r>
      <w:r>
        <w:rPr>
          <w:rFonts w:cs="Times New Roman" w:asciiTheme="minorEastAsia" w:hAnsiTheme="minorEastAsia" w:eastAsiaTheme="minorEastAsia"/>
          <w:bCs/>
        </w:rPr>
        <w:t>是依据中国</w:t>
      </w:r>
      <w:r>
        <w:rPr>
          <w:rFonts w:hint="eastAsia" w:cs="Times New Roman" w:asciiTheme="minorEastAsia" w:hAnsiTheme="minorEastAsia" w:eastAsiaTheme="minorEastAsia"/>
          <w:bCs/>
        </w:rPr>
        <w:t>境内</w:t>
      </w:r>
      <w:r>
        <w:rPr>
          <w:rFonts w:cs="Times New Roman" w:asciiTheme="minorEastAsia" w:hAnsiTheme="minorEastAsia" w:eastAsiaTheme="minorEastAsia"/>
          <w:bCs/>
        </w:rPr>
        <w:t>法律合法设立并有效存续的股份有限公司，依照中国</w:t>
      </w:r>
      <w:r>
        <w:rPr>
          <w:rFonts w:hint="eastAsia" w:cs="Times New Roman" w:asciiTheme="minorEastAsia" w:hAnsiTheme="minorEastAsia" w:eastAsiaTheme="minorEastAsia"/>
          <w:bCs/>
        </w:rPr>
        <w:t>境内</w:t>
      </w:r>
      <w:r>
        <w:rPr>
          <w:rFonts w:cs="Times New Roman" w:asciiTheme="minorEastAsia" w:hAnsiTheme="minorEastAsia" w:eastAsiaTheme="minorEastAsia"/>
          <w:bCs/>
        </w:rPr>
        <w:t>法律具有独立的法人资格</w:t>
      </w:r>
      <w:r>
        <w:rPr>
          <w:rFonts w:hint="eastAsia" w:cs="Times New Roman" w:asciiTheme="minorEastAsia" w:hAnsiTheme="minorEastAsia" w:eastAsiaTheme="minorEastAsia"/>
          <w:bCs/>
        </w:rPr>
        <w:t>；</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2）投资方</w:t>
      </w:r>
      <w:r>
        <w:rPr>
          <w:rFonts w:cs="Times New Roman" w:asciiTheme="minorEastAsia" w:hAnsiTheme="minorEastAsia" w:eastAsiaTheme="minorEastAsia"/>
          <w:bCs/>
        </w:rPr>
        <w:t>具有签署及履行本协议的权力和权限</w:t>
      </w:r>
      <w:r>
        <w:rPr>
          <w:rFonts w:hint="eastAsia" w:cs="Times New Roman" w:asciiTheme="minorEastAsia" w:hAnsiTheme="minorEastAsia" w:eastAsiaTheme="minorEastAsia"/>
          <w:bCs/>
        </w:rPr>
        <w:t>；</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3）</w:t>
      </w:r>
      <w:r>
        <w:rPr>
          <w:rFonts w:cs="Times New Roman" w:asciiTheme="minorEastAsia" w:hAnsiTheme="minorEastAsia" w:eastAsiaTheme="minorEastAsia"/>
          <w:bCs/>
        </w:rPr>
        <w:t>本协议的签署和履行不会：(a)违反</w:t>
      </w:r>
      <w:r>
        <w:rPr>
          <w:rFonts w:hint="eastAsia" w:cs="Times New Roman" w:asciiTheme="minorEastAsia" w:hAnsiTheme="minorEastAsia" w:eastAsiaTheme="minorEastAsia"/>
          <w:bCs/>
        </w:rPr>
        <w:t>投资方</w:t>
      </w:r>
      <w:r>
        <w:rPr>
          <w:rFonts w:cs="Times New Roman" w:asciiTheme="minorEastAsia" w:hAnsiTheme="minorEastAsia" w:eastAsiaTheme="minorEastAsia"/>
          <w:bCs/>
        </w:rPr>
        <w:t>现行有效的组织性文件，或(b)违反任何中国</w:t>
      </w:r>
      <w:r>
        <w:rPr>
          <w:rFonts w:hint="eastAsia" w:cs="Times New Roman" w:asciiTheme="minorEastAsia" w:hAnsiTheme="minorEastAsia" w:eastAsiaTheme="minorEastAsia"/>
          <w:bCs/>
        </w:rPr>
        <w:t>境内</w:t>
      </w:r>
      <w:r>
        <w:rPr>
          <w:rFonts w:cs="Times New Roman" w:asciiTheme="minorEastAsia" w:hAnsiTheme="minorEastAsia" w:eastAsiaTheme="minorEastAsia"/>
          <w:bCs/>
        </w:rPr>
        <w:t>法律，或(c)违反</w:t>
      </w:r>
      <w:r>
        <w:rPr>
          <w:rFonts w:hint="eastAsia" w:cs="Times New Roman" w:asciiTheme="minorEastAsia" w:hAnsiTheme="minorEastAsia" w:eastAsiaTheme="minorEastAsia"/>
          <w:bCs/>
        </w:rPr>
        <w:t>投资方</w:t>
      </w:r>
      <w:r>
        <w:rPr>
          <w:rFonts w:cs="Times New Roman" w:asciiTheme="minorEastAsia" w:hAnsiTheme="minorEastAsia" w:eastAsiaTheme="minorEastAsia"/>
          <w:bCs/>
        </w:rPr>
        <w:t>为一方的有法律约束力的合同或协议，或(d)导致</w:t>
      </w:r>
      <w:r>
        <w:rPr>
          <w:rFonts w:hint="eastAsia" w:cs="Times New Roman" w:asciiTheme="minorEastAsia" w:hAnsiTheme="minorEastAsia" w:eastAsiaTheme="minorEastAsia"/>
          <w:bCs/>
        </w:rPr>
        <w:t>投资方</w:t>
      </w:r>
      <w:r>
        <w:rPr>
          <w:rFonts w:cs="Times New Roman" w:asciiTheme="minorEastAsia" w:hAnsiTheme="minorEastAsia" w:eastAsiaTheme="minorEastAsia"/>
          <w:bCs/>
        </w:rPr>
        <w:t>已经签署的协议或安排下的合同对方可以主张解除其义务或获得其它权利主张</w:t>
      </w:r>
      <w:r>
        <w:rPr>
          <w:rFonts w:hint="eastAsia" w:cs="Times New Roman" w:asciiTheme="minorEastAsia" w:hAnsiTheme="minorEastAsia" w:eastAsiaTheme="minorEastAsia"/>
          <w:bCs/>
        </w:rPr>
        <w:t>。</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3）各方同意，如目标公司下属煤矿在历史流转过程中，第三方对出让收益或其他矿业权相关费用的缴纳及煤炭资源转化项目的落实应承担赔偿或补偿等责任的，现有股东方在本次交易交割日后有权代替西北矿业或其下属子公司向第三方进行追偿，投资方应当予以配合。如西北矿业或其下属子公司取得了第三方相关赔偿或补偿款项的，应当将赔偿或补偿款项相应从现有股东方前述需补偿的款项中进行扣除或者及时通知并返还给现有股东方，扣除或返还金额的计算参照现有股东方与投资方签署的《矿业权相关事项的承诺函》。</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4</w:t>
      </w:r>
      <w:r>
        <w:rPr>
          <w:rFonts w:hint="eastAsia" w:cs="Times New Roman" w:asciiTheme="minorEastAsia" w:hAnsiTheme="minorEastAsia" w:eastAsiaTheme="minorEastAsia"/>
          <w:bCs/>
        </w:rPr>
        <w:t>）各方同意，截至本协议签署日，以下煤炭资源压覆情况已在《资产评估报告》所引用的矿业权评估报告中充分考虑，并将估算的压覆资源量在矿业权评估中予以扣除，但相关公司尚未与建设单位或相关政府部门签署补偿协议或收到补偿款：（</w:t>
      </w:r>
      <w:r>
        <w:rPr>
          <w:rFonts w:cs="Times New Roman" w:asciiTheme="minorEastAsia" w:hAnsiTheme="minorEastAsia" w:eastAsiaTheme="minorEastAsia"/>
          <w:bCs/>
        </w:rPr>
        <w:t>1）陕西长武亭南煤业有限责任公司长武县亭南煤矿采矿权：亭口水库工程及其反调节蓄水工程压覆资源储量共计10,684.47万吨；（2）甘肃省环县沙井子矿区马福川井田勘探（保留）探矿权：G341环线二车段公路压覆资源储量4,800.73万吨（新分类）；（3）陕西正通煤业有限责任公司长武县高家堡煤矿采矿权：新建“甲醇</w:t>
      </w:r>
      <w:r>
        <w:rPr>
          <w:rFonts w:hint="eastAsia" w:cs="Times New Roman" w:asciiTheme="minorEastAsia" w:hAnsiTheme="minorEastAsia" w:eastAsiaTheme="minorEastAsia"/>
          <w:bCs/>
        </w:rPr>
        <w:t>制甘氨酸、乙二胺</w:t>
      </w:r>
      <w:r>
        <w:rPr>
          <w:rFonts w:cs="Times New Roman" w:asciiTheme="minorEastAsia" w:hAnsiTheme="minorEastAsia" w:eastAsiaTheme="minorEastAsia"/>
          <w:bCs/>
        </w:rPr>
        <w:t>10万吨/年项目”压覆资源储量625.7万吨。如本次交易交割日后陕西长武亭南煤业有限责任公司、甘肃华能天竣能源有限公司、陕西正通煤业有限责任公司就该等压覆情况收到建设单位或相关政府部门等第三方的补偿，且该等补偿未在本次交易相关审计报告中体现，则投资方应当在该等公司收到补偿款之日起30日内向现有股东方返还，扣除或返还金额的计算参照现有股东方与投资方签署的《矿业权相关事项的承诺函》</w:t>
      </w:r>
      <w:r>
        <w:rPr>
          <w:rFonts w:hint="eastAsia" w:cs="Times New Roman" w:asciiTheme="minorEastAsia" w:hAnsiTheme="minorEastAsia" w:eastAsiaTheme="minorEastAsia"/>
          <w:bCs/>
        </w:rPr>
        <w:t>。</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人员安置</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交割日后，目标公司员工的劳动合同关系不因本次交易发生变动。本次交易已对目标公司及其控股子公司需承担的相关离退休人员、遗属等各类人员统筹外费用进行精算，并根据相关会计准则进行计提。</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债权、债务处理</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交割日后，目标公司的债权、债务以及其他或有负债仍由目标公司享有或承担。</w:t>
      </w:r>
      <w:r>
        <w:rPr>
          <w:rFonts w:cs="Times New Roman" w:asciiTheme="minorEastAsia" w:hAnsiTheme="minorEastAsia" w:eastAsiaTheme="minorEastAsia"/>
        </w:rPr>
        <w:t>目标公司应根据其签署合同的约定就本次交易履行通知债权人或取得债权人同意等义务，各方应当给予目标公司必要的协助或配合。</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生效条件</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《股权收购及增资协议》在以下条件全部成就之日起生效，并以最后取得本条所列示的同意或批准之日为生效日：</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（1）</w:t>
      </w:r>
      <w:r>
        <w:rPr>
          <w:rFonts w:hint="eastAsia" w:ascii="Arial" w:hAnsi="Arial" w:cs="Arial"/>
          <w:bCs/>
        </w:rPr>
        <w:t>协议经各方法定代表人或其授权代表签字或盖章并加盖各方公章</w:t>
      </w:r>
      <w:r>
        <w:rPr>
          <w:rFonts w:hint="eastAsia" w:cs="Times New Roman" w:asciiTheme="minorEastAsia" w:hAnsiTheme="minorEastAsia" w:eastAsiaTheme="minorEastAsia"/>
        </w:rPr>
        <w:t>；</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（2）</w:t>
      </w:r>
      <w:r>
        <w:rPr>
          <w:rFonts w:cs="Times New Roman" w:asciiTheme="minorEastAsia" w:hAnsiTheme="minorEastAsia" w:eastAsiaTheme="minorEastAsia"/>
        </w:rPr>
        <w:t>本次交易取得所有必要的同意或批准，包括但不限于：</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1）有权国资监管机构或其授权单位对目标公司全部股东权益评估结果的备案；</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2）有权国资监管机构或其授权单位审议批准本次</w:t>
      </w:r>
      <w:r>
        <w:rPr>
          <w:rFonts w:hint="eastAsia" w:cs="Times New Roman" w:asciiTheme="minorEastAsia" w:hAnsiTheme="minorEastAsia" w:eastAsiaTheme="minorEastAsia"/>
        </w:rPr>
        <w:t>交易</w:t>
      </w:r>
      <w:r>
        <w:rPr>
          <w:rFonts w:cs="Times New Roman" w:asciiTheme="minorEastAsia" w:hAnsiTheme="minorEastAsia" w:eastAsiaTheme="minorEastAsia"/>
        </w:rPr>
        <w:t>；</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3）</w:t>
      </w:r>
      <w:r>
        <w:rPr>
          <w:rFonts w:hint="eastAsia" w:ascii="Arial" w:hAnsi="Arial" w:cs="Arial"/>
          <w:bCs/>
        </w:rPr>
        <w:t>各现有股东方、目标公司履行内部程序批准本次交易</w:t>
      </w:r>
      <w:r>
        <w:rPr>
          <w:rFonts w:cs="Times New Roman" w:asciiTheme="minorEastAsia" w:hAnsiTheme="minorEastAsia" w:eastAsiaTheme="minorEastAsia"/>
        </w:rPr>
        <w:t>；</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4）</w:t>
      </w:r>
      <w:r>
        <w:rPr>
          <w:rFonts w:hint="eastAsia" w:cs="Times New Roman" w:asciiTheme="minorEastAsia" w:hAnsiTheme="minorEastAsia" w:eastAsiaTheme="minorEastAsia"/>
        </w:rPr>
        <w:t>投资方</w:t>
      </w:r>
      <w:r>
        <w:rPr>
          <w:rFonts w:cs="Times New Roman" w:asciiTheme="minorEastAsia" w:hAnsiTheme="minorEastAsia" w:eastAsiaTheme="minorEastAsia"/>
        </w:rPr>
        <w:t>董事会、股东大会等有权决策机构审议批准本次转让。</w:t>
      </w:r>
    </w:p>
    <w:p>
      <w:pPr>
        <w:pStyle w:val="39"/>
        <w:numPr>
          <w:ilvl w:val="0"/>
          <w:numId w:val="4"/>
        </w:numPr>
        <w:spacing w:line="520" w:lineRule="exact"/>
        <w:ind w:left="0"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bCs/>
        </w:rPr>
        <w:t>本协议的变更和解除</w:t>
      </w:r>
    </w:p>
    <w:p>
      <w:pPr>
        <w:pStyle w:val="39"/>
        <w:spacing w:line="520" w:lineRule="exact"/>
        <w:jc w:val="both"/>
        <w:rPr>
          <w:rFonts w:ascii="Times New Roman" w:hAnsi="Times New Roman" w:cs="Times New Roman"/>
          <w:bCs/>
        </w:rPr>
      </w:pPr>
      <w:r>
        <w:rPr>
          <w:rFonts w:hint="eastAsia"/>
          <w:bCs/>
        </w:rPr>
        <w:t>（1）如本协议生效后</w:t>
      </w:r>
      <w:r>
        <w:rPr>
          <w:bCs/>
        </w:rPr>
        <w:t>12</w:t>
      </w:r>
      <w:r>
        <w:rPr>
          <w:rFonts w:hint="eastAsia"/>
          <w:bCs/>
        </w:rPr>
        <w:t>个月内，因现有股东方、目标公司的过错，导致未完成本次增资涉及的工商变更登记，则投资方有权</w:t>
      </w:r>
      <w:r>
        <w:rPr>
          <w:rFonts w:hint="eastAsia"/>
        </w:rPr>
        <w:t>解除</w:t>
      </w:r>
      <w:r>
        <w:rPr>
          <w:rFonts w:hint="eastAsia"/>
          <w:bCs/>
        </w:rPr>
        <w:t>本协议，本协议自投资方向各现有股东方发出书面解除通知之日起解除</w:t>
      </w:r>
      <w:r>
        <w:rPr>
          <w:rFonts w:ascii="Times New Roman" w:hAnsi="Times New Roman" w:cs="Times New Roman"/>
          <w:bCs/>
        </w:rPr>
        <w:t>。</w:t>
      </w:r>
    </w:p>
    <w:p>
      <w:pPr>
        <w:pStyle w:val="39"/>
        <w:spacing w:line="520" w:lineRule="exact"/>
        <w:jc w:val="both"/>
        <w:rPr>
          <w:rFonts w:ascii="Times New Roman" w:hAnsi="Times New Roman" w:cs="Times New Roman"/>
          <w:bCs/>
        </w:rPr>
      </w:pPr>
      <w:r>
        <w:rPr>
          <w:rFonts w:hint="eastAsia" w:ascii="Times New Roman" w:hAnsi="Times New Roman" w:cs="Times New Roman"/>
          <w:bCs/>
        </w:rPr>
        <w:t>（2）</w:t>
      </w:r>
      <w:r>
        <w:rPr>
          <w:rFonts w:ascii="Times New Roman" w:hAnsi="Times New Roman" w:cs="Times New Roman"/>
          <w:bCs/>
        </w:rPr>
        <w:t>本协议</w:t>
      </w:r>
      <w:r>
        <w:rPr>
          <w:rFonts w:hint="eastAsia" w:ascii="Times New Roman" w:hAnsi="Times New Roman" w:cs="Times New Roman"/>
          <w:bCs/>
        </w:rPr>
        <w:t>根据上述情况</w:t>
      </w:r>
      <w:r>
        <w:rPr>
          <w:rFonts w:ascii="Times New Roman" w:hAnsi="Times New Roman" w:cs="Times New Roman"/>
          <w:bCs/>
        </w:rPr>
        <w:t>解除时，各现有股东方应当将其各自收到的转让价款及其收到的利息（如有）</w:t>
      </w:r>
      <w:r>
        <w:rPr>
          <w:rFonts w:hint="eastAsia" w:ascii="Times New Roman" w:hAnsi="Times New Roman" w:cs="Times New Roman"/>
          <w:bCs/>
        </w:rPr>
        <w:t>自本协议解除之日起</w:t>
      </w:r>
      <w:r>
        <w:rPr>
          <w:rFonts w:ascii="Times New Roman" w:hAnsi="Times New Roman" w:cs="Times New Roman"/>
          <w:bCs/>
        </w:rPr>
        <w:t>3</w:t>
      </w:r>
      <w:r>
        <w:rPr>
          <w:rFonts w:hint="eastAsia" w:ascii="Times New Roman" w:hAnsi="Times New Roman" w:cs="Times New Roman"/>
          <w:bCs/>
        </w:rPr>
        <w:t>个月内</w:t>
      </w:r>
      <w:r>
        <w:rPr>
          <w:rFonts w:ascii="Times New Roman" w:hAnsi="Times New Roman" w:cs="Times New Roman"/>
          <w:bCs/>
        </w:rPr>
        <w:t>退还给投资方</w:t>
      </w:r>
      <w:r>
        <w:rPr>
          <w:rFonts w:hint="eastAsia" w:ascii="Times New Roman" w:hAnsi="Times New Roman" w:cs="Times New Roman"/>
          <w:bCs/>
        </w:rPr>
        <w:t>；</w:t>
      </w:r>
      <w:r>
        <w:rPr>
          <w:rFonts w:ascii="Times New Roman" w:hAnsi="Times New Roman" w:cs="Times New Roman"/>
          <w:bCs/>
        </w:rPr>
        <w:t>如转让股权已经登记在投资方名下，则</w:t>
      </w:r>
      <w:r>
        <w:rPr>
          <w:rFonts w:hint="eastAsia" w:ascii="Times New Roman" w:hAnsi="Times New Roman" w:cs="Times New Roman"/>
          <w:bCs/>
        </w:rPr>
        <w:t>自投资方收到各现有股东方退还的前述资金之日起</w:t>
      </w:r>
      <w:r>
        <w:rPr>
          <w:rFonts w:ascii="Times New Roman" w:hAnsi="Times New Roman" w:cs="Times New Roman"/>
          <w:bCs/>
        </w:rPr>
        <w:t>1个月内，投资方应当将转让股权变更登记至各现有股东方名下。</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（二）《矿业权相关事项承诺函》</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目标公司现有股东方出具了《矿业权相关事项承诺函》，对矿业权相关事项进行承诺，具体如下：</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1</w:t>
      </w:r>
      <w:r>
        <w:rPr>
          <w:rFonts w:cs="Times New Roman" w:asciiTheme="minorEastAsia" w:hAnsiTheme="minorEastAsia" w:eastAsiaTheme="minorEastAsia"/>
        </w:rPr>
        <w:t>.</w:t>
      </w:r>
      <w:r>
        <w:rPr>
          <w:rFonts w:hint="eastAsia" w:cs="Times New Roman" w:asciiTheme="minorEastAsia" w:hAnsiTheme="minorEastAsia" w:eastAsiaTheme="minorEastAsia"/>
        </w:rPr>
        <w:t>《股权收购及增资协议》生效后，股东方承诺将积极敦促并协助天竣能源在</w:t>
      </w:r>
      <w:r>
        <w:rPr>
          <w:rFonts w:hint="eastAsia" w:cs="Times New Roman" w:asciiTheme="minorEastAsia" w:hAnsiTheme="minorEastAsia" w:eastAsiaTheme="minorEastAsia"/>
          <w:bCs/>
        </w:rPr>
        <w:t>毛家川</w:t>
      </w:r>
      <w:r>
        <w:rPr>
          <w:rFonts w:hint="eastAsia" w:cs="Times New Roman" w:asciiTheme="minorEastAsia" w:hAnsiTheme="minorEastAsia" w:eastAsiaTheme="minorEastAsia"/>
        </w:rPr>
        <w:t>井田探矿权、马福川井田探矿权对应矿产资源勘查许可证现存有效期内办理探矿权转为采矿权手续或探矿权保留手续：</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如马福川井田探矿权、毛家川井田探矿权勘查许可证到期后因不满足办理探转采条件或办理探矿权保留条件，在办理探矿权延续手续后被核减勘查区域面积，因勘查面积缩减导致的资源储量较《资产评估报告》</w:t>
      </w:r>
      <w:r>
        <w:rPr>
          <w:rFonts w:hint="eastAsia" w:cs="Times New Roman" w:asciiTheme="minorEastAsia" w:hAnsiTheme="minorEastAsia" w:eastAsiaTheme="minorEastAsia"/>
        </w:rPr>
        <w:t>及其中引用的矿业权评估报告（“《评估报告》”）</w:t>
      </w:r>
      <w:r>
        <w:rPr>
          <w:rFonts w:cs="Times New Roman" w:asciiTheme="minorEastAsia" w:hAnsiTheme="minorEastAsia" w:eastAsiaTheme="minorEastAsia"/>
        </w:rPr>
        <w:t>中所载资源储量减少部分，由股东方向投资方予以补偿，具体补偿金额=按照本次交易</w:t>
      </w:r>
      <w:r>
        <w:rPr>
          <w:rFonts w:hint="eastAsia" w:cs="Times New Roman" w:asciiTheme="minorEastAsia" w:hAnsiTheme="minorEastAsia" w:eastAsiaTheme="minorEastAsia"/>
        </w:rPr>
        <w:t>《评估报告》</w:t>
      </w:r>
      <w:r>
        <w:rPr>
          <w:rFonts w:cs="Times New Roman" w:asciiTheme="minorEastAsia" w:hAnsiTheme="minorEastAsia" w:eastAsiaTheme="minorEastAsia"/>
        </w:rPr>
        <w:t>所使用参数评估确定的探矿权减少价值×55%×51%。</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如马福川井田探矿权、毛家川井田探矿权勘查许可证到期后因不满足办理探转采条件、办理探矿权保留或延续手续条件，相关主管部门依法不予续期或收回探矿权导致探矿权消灭的，则届时由股东方向投资方予以补偿，具体补偿金额为本次交易中相应探矿权的评估价值×55%×51%（如相关主管部门对收回探矿权给予补偿的，该等补偿金额应从前述补偿金额中扣减）。</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rPr>
        <w:t>（</w:t>
      </w:r>
      <w:r>
        <w:rPr>
          <w:rFonts w:cs="Times New Roman" w:asciiTheme="minorEastAsia" w:hAnsiTheme="minorEastAsia" w:eastAsiaTheme="minorEastAsia"/>
        </w:rPr>
        <w:t>3）因投资方自身原因导致无法转采、无法办理探矿权保留或延续手续、被核减勘查区域面积，股东方不承担补偿责任。</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2</w:t>
      </w:r>
      <w:r>
        <w:rPr>
          <w:rFonts w:hint="eastAsia" w:cs="Times New Roman" w:asciiTheme="minorEastAsia" w:hAnsiTheme="minorEastAsia" w:eastAsiaTheme="minorEastAsia"/>
          <w:bCs/>
        </w:rPr>
        <w:t>．</w:t>
      </w:r>
      <w:r>
        <w:rPr>
          <w:rFonts w:cs="Times New Roman" w:asciiTheme="minorEastAsia" w:hAnsiTheme="minorEastAsia" w:eastAsiaTheme="minorEastAsia"/>
          <w:bCs/>
        </w:rPr>
        <w:t>除《评估报告》中已扣减矿业权出让收益外的资源储量外，本次交易交割日后，如相关主管部门基于《矿业权出让收益征收办法》（“《10号文》”）等截至</w:t>
      </w:r>
      <w:r>
        <w:rPr>
          <w:rFonts w:hint="eastAsia" w:cs="Times New Roman" w:asciiTheme="minorEastAsia" w:hAnsiTheme="minorEastAsia" w:eastAsiaTheme="minorEastAsia"/>
        </w:rPr>
        <w:t>《评估报告》</w:t>
      </w:r>
      <w:r>
        <w:rPr>
          <w:rFonts w:cs="Times New Roman" w:asciiTheme="minorEastAsia" w:hAnsiTheme="minorEastAsia" w:eastAsiaTheme="minorEastAsia"/>
          <w:bCs/>
        </w:rPr>
        <w:t>出具日现行有效的相关规定，认定本次交易评估基准日前某一西北矿业下属煤矿已动用的资源储量及本次交易对应资源储量（即在本次交易中相关采矿权评估范围内的资源储量，以符合《10号文》所载未完成有偿处置的资源储量为上限，下同）存在应缴未缴的其他矿业权出让收益（“应缴未缴出让收益金额”），且应缴未缴出让收益金额亦未在</w:t>
      </w:r>
      <w:r>
        <w:rPr>
          <w:rFonts w:hint="eastAsia" w:cs="Times New Roman" w:asciiTheme="minorEastAsia" w:hAnsiTheme="minorEastAsia" w:eastAsiaTheme="minorEastAsia"/>
        </w:rPr>
        <w:t>《评估报告》</w:t>
      </w:r>
      <w:r>
        <w:rPr>
          <w:rFonts w:cs="Times New Roman" w:asciiTheme="minorEastAsia" w:hAnsiTheme="minorEastAsia" w:eastAsiaTheme="minorEastAsia"/>
          <w:bCs/>
        </w:rPr>
        <w:t>或本次交易相关审计报告中予以考虑</w:t>
      </w:r>
      <w:r>
        <w:rPr>
          <w:rFonts w:hint="eastAsia" w:cs="Times New Roman" w:asciiTheme="minorEastAsia" w:hAnsiTheme="minorEastAsia" w:eastAsiaTheme="minorEastAsia"/>
          <w:bCs/>
        </w:rPr>
        <w:t>，则：</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1）在相关主管部门明确缴纳义务后，投资方应当将拟实际缴纳被征收出让收益的具体金额及日期及时通知各股东方，各股东方应于该等下属子公司拟实际缴纳被征收出让收益金额之日前5个工作日内，向投资方支付现金补偿，补偿金额=拟实际缴纳被征收出让收益金额×51%×西北矿业持有该等下属子公司的股权比例；</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2）除前述（1）中所述被征收出让收益金额外，就届时本次交易对应资源储量中剩余的被相关主管部门认定为尚未按矿产品销售时的矿业权出让收益率计算征收的部分（如涉及），应当基于</w:t>
      </w:r>
      <w:r>
        <w:rPr>
          <w:rFonts w:hint="eastAsia" w:cs="Times New Roman" w:asciiTheme="minorEastAsia" w:hAnsiTheme="minorEastAsia" w:eastAsiaTheme="minorEastAsia"/>
        </w:rPr>
        <w:t>《评估报告》</w:t>
      </w:r>
      <w:r>
        <w:rPr>
          <w:rFonts w:cs="Times New Roman" w:asciiTheme="minorEastAsia" w:hAnsiTheme="minorEastAsia" w:eastAsiaTheme="minorEastAsia"/>
          <w:bCs/>
        </w:rPr>
        <w:t>中载明的/测算应扣减出让收益使用的测算方法及相关参数，按照《10号文》及其配套政策折现至前述明确缴纳义务之日计算剩余需缴纳金额，由股东方一次性向投资方现金补偿，补偿金额=折现后需缴纳出让收益金额×51%×西北矿业持有该等下属子公司的股权比例。</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3</w:t>
      </w:r>
      <w:r>
        <w:rPr>
          <w:rFonts w:cs="Times New Roman" w:asciiTheme="minorEastAsia" w:hAnsiTheme="minorEastAsia" w:eastAsiaTheme="minorEastAsia"/>
          <w:bCs/>
        </w:rPr>
        <w:t>.就杨家村煤矿采矿权、油房壕煤矿采矿权及巴彦高勒煤矿采矿权等3宗历史上涉及以落实转化项目配置煤炭资源、并在有偿处置时扣减转化项目的配置资源储量对应的出让收益的采矿权，如本次交易交割日后相关政府主管部门因该等转化项目未落实或未全部落实到位等原因，就转化项目配置的资源储量，除向西北矿业或其下属公司征收出让收益外：</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1）如被收回配置的资源量的，则股东方向投资方予以补偿，具体补偿金额=被收回配置资源量÷该采矿权本次交易对应资源储量×本次交易中相应矿业权的评估价值×51%×西北矿业持有该等下属子公司的股权比例。</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2）如被追究其他责任而导致西北矿业或持有该采矿权的公司受到损失，则由股东方向投资方予以相应补偿，具体补偿金额由各方友好协商并以书面方式确定。</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4</w:t>
      </w:r>
      <w:r>
        <w:rPr>
          <w:rFonts w:cs="Times New Roman" w:asciiTheme="minorEastAsia" w:hAnsiTheme="minorEastAsia" w:eastAsiaTheme="minorEastAsia"/>
          <w:bCs/>
        </w:rPr>
        <w:t>.</w:t>
      </w:r>
      <w:r>
        <w:rPr>
          <w:rFonts w:hint="eastAsia" w:cs="Times New Roman" w:asciiTheme="minorEastAsia" w:hAnsiTheme="minorEastAsia" w:eastAsiaTheme="minorEastAsia"/>
          <w:bCs/>
        </w:rPr>
        <w:t>《矿业权相关事项承诺函》</w:t>
      </w:r>
      <w:r>
        <w:rPr>
          <w:rFonts w:cs="Times New Roman" w:asciiTheme="minorEastAsia" w:hAnsiTheme="minorEastAsia" w:eastAsiaTheme="minorEastAsia"/>
          <w:bCs/>
        </w:rPr>
        <w:t>项下，股东方向投资方就某一西北矿业下属煤矿相关事项的合计补偿金额，以本次交易中相应矿业权的评估价值×51%×西北矿业持有该矿业权所属子公司的股权比例为限。</w:t>
      </w:r>
      <w:r>
        <w:rPr>
          <w:rFonts w:hint="eastAsia" w:cs="Times New Roman" w:asciiTheme="minorEastAsia" w:hAnsiTheme="minorEastAsia" w:eastAsiaTheme="minorEastAsia"/>
          <w:bCs/>
        </w:rPr>
        <w:t>淄矿集团</w:t>
      </w:r>
      <w:r>
        <w:rPr>
          <w:rFonts w:cs="Times New Roman" w:asciiTheme="minorEastAsia" w:hAnsiTheme="minorEastAsia" w:eastAsiaTheme="minorEastAsia"/>
          <w:bCs/>
        </w:rPr>
        <w:t>就</w:t>
      </w:r>
      <w:r>
        <w:rPr>
          <w:rFonts w:hint="eastAsia" w:cs="Times New Roman" w:asciiTheme="minorEastAsia" w:hAnsiTheme="minorEastAsia" w:eastAsiaTheme="minorEastAsia"/>
          <w:bCs/>
        </w:rPr>
        <w:t>《矿业权相关事项承诺函》</w:t>
      </w:r>
      <w:r>
        <w:rPr>
          <w:rFonts w:cs="Times New Roman" w:asciiTheme="minorEastAsia" w:hAnsiTheme="minorEastAsia" w:eastAsiaTheme="minorEastAsia"/>
          <w:bCs/>
        </w:rPr>
        <w:t>所承担的补偿金额及基于《业绩补偿承诺函》所承担的补偿金额合计不超过</w:t>
      </w:r>
      <w:r>
        <w:rPr>
          <w:rFonts w:hint="eastAsia" w:cs="Times New Roman" w:asciiTheme="minorEastAsia" w:hAnsiTheme="minorEastAsia" w:eastAsiaTheme="minorEastAsia"/>
          <w:bCs/>
        </w:rPr>
        <w:t>淄矿集团</w:t>
      </w:r>
      <w:r>
        <w:rPr>
          <w:rFonts w:cs="Times New Roman" w:asciiTheme="minorEastAsia" w:hAnsiTheme="minorEastAsia" w:eastAsiaTheme="minorEastAsia"/>
          <w:bCs/>
        </w:rPr>
        <w:t>对应转让价款及增资价款之和。</w:t>
      </w:r>
      <w:r>
        <w:rPr>
          <w:rFonts w:hint="eastAsia" w:cs="Times New Roman" w:asciiTheme="minorEastAsia" w:hAnsiTheme="minorEastAsia" w:eastAsiaTheme="minorEastAsia"/>
          <w:bCs/>
        </w:rPr>
        <w:t>龙矿集团</w:t>
      </w:r>
      <w:r>
        <w:rPr>
          <w:rFonts w:cs="Times New Roman" w:asciiTheme="minorEastAsia" w:hAnsiTheme="minorEastAsia" w:eastAsiaTheme="minorEastAsia"/>
          <w:bCs/>
        </w:rPr>
        <w:t>、</w:t>
      </w:r>
      <w:r>
        <w:rPr>
          <w:rFonts w:hint="eastAsia" w:cs="Times New Roman" w:asciiTheme="minorEastAsia" w:hAnsiTheme="minorEastAsia" w:eastAsiaTheme="minorEastAsia"/>
          <w:bCs/>
        </w:rPr>
        <w:t>新矿集团</w:t>
      </w:r>
      <w:r>
        <w:rPr>
          <w:rFonts w:cs="Times New Roman" w:asciiTheme="minorEastAsia" w:hAnsiTheme="minorEastAsia" w:eastAsiaTheme="minorEastAsia"/>
          <w:bCs/>
        </w:rPr>
        <w:t>及</w:t>
      </w:r>
      <w:r>
        <w:rPr>
          <w:rFonts w:hint="eastAsia" w:cs="Times New Roman" w:asciiTheme="minorEastAsia" w:hAnsiTheme="minorEastAsia" w:eastAsiaTheme="minorEastAsia"/>
          <w:bCs/>
        </w:rPr>
        <w:t>肥城煤业</w:t>
      </w:r>
      <w:r>
        <w:rPr>
          <w:rFonts w:cs="Times New Roman" w:asciiTheme="minorEastAsia" w:hAnsiTheme="minorEastAsia" w:eastAsiaTheme="minorEastAsia"/>
          <w:bCs/>
        </w:rPr>
        <w:t>就</w:t>
      </w:r>
      <w:r>
        <w:rPr>
          <w:rFonts w:hint="eastAsia" w:cs="Times New Roman" w:asciiTheme="minorEastAsia" w:hAnsiTheme="minorEastAsia" w:eastAsiaTheme="minorEastAsia"/>
          <w:bCs/>
        </w:rPr>
        <w:t>《矿业权相关事项承诺函》</w:t>
      </w:r>
      <w:r>
        <w:rPr>
          <w:rFonts w:cs="Times New Roman" w:asciiTheme="minorEastAsia" w:hAnsiTheme="minorEastAsia" w:eastAsiaTheme="minorEastAsia"/>
          <w:bCs/>
        </w:rPr>
        <w:t>所承担的补偿金额及基于《业绩补偿承诺函》所承担的补偿金额合计不超过各股东方对应转让价款（前述对应转让价款及增资价款的金额以《股权收购及增资协议》中的约定为准）。</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（三）《业绩补偿承诺函》</w:t>
      </w:r>
    </w:p>
    <w:p>
      <w:pPr>
        <w:pStyle w:val="41"/>
        <w:spacing w:after="0" w:line="520" w:lineRule="exact"/>
        <w:ind w:firstLine="560" w:firstLineChars="200"/>
        <w:rPr>
          <w:rFonts w:hint="eastAsia" w:cs="Arial" w:asciiTheme="minorEastAsia" w:hAnsiTheme="minorEastAsia" w:eastAsiaTheme="minorEastAsia"/>
          <w:sz w:val="28"/>
          <w:szCs w:val="28"/>
        </w:rPr>
      </w:pPr>
      <w:r>
        <w:rPr>
          <w:rFonts w:hint="eastAsia" w:cs="Arial" w:asciiTheme="minorEastAsia" w:hAnsiTheme="minorEastAsia" w:eastAsiaTheme="minorEastAsia"/>
          <w:sz w:val="28"/>
          <w:szCs w:val="28"/>
        </w:rPr>
        <w:t>目标公司现有股东方出具《业绩补偿承诺函》，对目标公司2025年度至2027年度业绩实现情况进行承诺，具体如下：</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1.2025</w:t>
      </w:r>
      <w:r>
        <w:rPr>
          <w:rFonts w:hint="eastAsia" w:cs="Times New Roman" w:asciiTheme="minorEastAsia" w:hAnsiTheme="minorEastAsia" w:eastAsiaTheme="minorEastAsia"/>
          <w:bCs/>
        </w:rPr>
        <w:t>年度、</w:t>
      </w:r>
      <w:r>
        <w:rPr>
          <w:rFonts w:cs="Times New Roman" w:asciiTheme="minorEastAsia" w:hAnsiTheme="minorEastAsia" w:eastAsiaTheme="minorEastAsia"/>
          <w:bCs/>
        </w:rPr>
        <w:t>2026</w:t>
      </w:r>
      <w:r>
        <w:rPr>
          <w:rFonts w:hint="eastAsia" w:cs="Times New Roman" w:asciiTheme="minorEastAsia" w:hAnsiTheme="minorEastAsia" w:eastAsiaTheme="minorEastAsia"/>
          <w:bCs/>
        </w:rPr>
        <w:t>年度、</w:t>
      </w:r>
      <w:r>
        <w:rPr>
          <w:rFonts w:cs="Times New Roman" w:asciiTheme="minorEastAsia" w:hAnsiTheme="minorEastAsia" w:eastAsiaTheme="minorEastAsia"/>
          <w:bCs/>
        </w:rPr>
        <w:t>2027</w:t>
      </w:r>
      <w:r>
        <w:rPr>
          <w:rFonts w:hint="eastAsia" w:cs="Times New Roman" w:asciiTheme="minorEastAsia" w:hAnsiTheme="minorEastAsia" w:eastAsiaTheme="minorEastAsia"/>
          <w:bCs/>
        </w:rPr>
        <w:t>年度（“承诺期”），按中国会计准则计算，目标公司对应的经审计的扣除非经常性损益后归属于母公司股东的净利润（“净利润”）承诺期累计不低于人民币</w:t>
      </w:r>
      <w:r>
        <w:rPr>
          <w:rFonts w:cs="Times New Roman" w:asciiTheme="minorEastAsia" w:hAnsiTheme="minorEastAsia" w:eastAsiaTheme="minorEastAsia"/>
          <w:bCs/>
        </w:rPr>
        <w:t>712,193.41</w:t>
      </w:r>
      <w:r>
        <w:rPr>
          <w:rFonts w:hint="eastAsia" w:cs="Times New Roman" w:asciiTheme="minorEastAsia" w:hAnsiTheme="minorEastAsia" w:eastAsiaTheme="minorEastAsia"/>
          <w:bCs/>
        </w:rPr>
        <w:t>万元（“承诺期累计承诺净利润”）。承诺期累计承诺净利润参考经有权国资监管部门备案的资产评估报告确定，前述资产评估报告中对部分西北矿业下属子公司采用了收益法进行评估，并预测了净利润，具体情况如下：</w:t>
      </w:r>
      <w:bookmarkStart w:id="80" w:name="_GoBack"/>
      <w:bookmarkEnd w:id="80"/>
    </w:p>
    <w:p>
      <w:pPr>
        <w:pStyle w:val="39"/>
        <w:spacing w:line="520" w:lineRule="exact"/>
        <w:jc w:val="both"/>
        <w:rPr>
          <w:rFonts w:hint="eastAsia" w:cs="Times New Roman" w:asciiTheme="minorEastAsia" w:hAnsiTheme="minorEastAsia" w:eastAsiaTheme="minorEastAsia"/>
          <w:bCs/>
        </w:rPr>
      </w:pPr>
    </w:p>
    <w:p>
      <w:pPr>
        <w:pStyle w:val="39"/>
        <w:spacing w:line="520" w:lineRule="exact"/>
        <w:jc w:val="both"/>
        <w:rPr>
          <w:rFonts w:hint="eastAsia" w:cs="Times New Roman" w:asciiTheme="minorEastAsia" w:hAnsiTheme="minorEastAsia" w:eastAsiaTheme="minorEastAsia"/>
          <w:bCs/>
        </w:rPr>
      </w:pPr>
    </w:p>
    <w:p>
      <w:pPr>
        <w:pStyle w:val="39"/>
        <w:spacing w:line="520" w:lineRule="exact"/>
        <w:ind w:left="0" w:leftChars="0" w:firstLine="0" w:firstLineChars="0"/>
        <w:jc w:val="both"/>
        <w:rPr>
          <w:rFonts w:hint="eastAsia" w:cs="Times New Roman" w:asciiTheme="minorEastAsia" w:hAnsiTheme="minorEastAsia" w:eastAsiaTheme="minorEastAsia"/>
          <w:bCs/>
        </w:rPr>
      </w:pPr>
    </w:p>
    <w:p>
      <w:pPr>
        <w:pStyle w:val="39"/>
        <w:spacing w:line="520" w:lineRule="exact"/>
        <w:ind w:left="0" w:leftChars="0" w:firstLine="0" w:firstLineChars="0"/>
        <w:jc w:val="both"/>
        <w:rPr>
          <w:rFonts w:hint="eastAsia" w:cs="Times New Roman" w:asciiTheme="minorEastAsia" w:hAnsiTheme="minorEastAsia" w:eastAsiaTheme="minorEastAsia"/>
          <w:bCs/>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16"/>
        <w:gridCol w:w="1860"/>
        <w:gridCol w:w="18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pct"/>
            <w:vMerge w:val="restart"/>
            <w:shd w:val="clear" w:color="auto" w:fill="auto"/>
            <w:noWrap/>
            <w:vAlign w:val="center"/>
          </w:tcPr>
          <w:p>
            <w:pPr>
              <w:adjustRightInd w:val="0"/>
              <w:snapToGrid w:val="0"/>
              <w:jc w:val="center"/>
              <w:rPr>
                <w:rFonts w:ascii="宋体" w:hAnsi="宋体" w:eastAsia="宋体" w:cs="宋体"/>
                <w:b/>
                <w:bCs w:val="0"/>
                <w:color w:val="000000"/>
                <w:sz w:val="21"/>
                <w:szCs w:val="21"/>
              </w:rPr>
            </w:pPr>
            <w:r>
              <w:rPr>
                <w:rFonts w:hint="eastAsia"/>
                <w:b/>
                <w:color w:val="000000"/>
                <w:sz w:val="21"/>
                <w:szCs w:val="21"/>
              </w:rPr>
              <w:t>子</w:t>
            </w:r>
            <w:r>
              <w:rPr>
                <w:rFonts w:hint="eastAsia" w:ascii="宋体" w:hAnsi="宋体" w:eastAsia="宋体" w:cs="宋体"/>
                <w:b/>
                <w:bCs w:val="0"/>
                <w:color w:val="000000"/>
                <w:sz w:val="21"/>
                <w:szCs w:val="21"/>
              </w:rPr>
              <w:t>公司名称</w:t>
            </w:r>
          </w:p>
        </w:tc>
        <w:tc>
          <w:tcPr>
            <w:tcW w:w="831" w:type="pct"/>
            <w:vMerge w:val="restart"/>
            <w:shd w:val="clear" w:color="auto" w:fill="auto"/>
            <w:noWrap/>
            <w:vAlign w:val="center"/>
          </w:tcPr>
          <w:p>
            <w:pPr>
              <w:adjustRightInd w:val="0"/>
              <w:snapToGrid w:val="0"/>
              <w:jc w:val="center"/>
              <w:rPr>
                <w:rFonts w:ascii="宋体" w:hAnsi="宋体" w:eastAsia="宋体" w:cs="宋体"/>
                <w:b/>
                <w:bCs w:val="0"/>
                <w:color w:val="000000"/>
                <w:sz w:val="21"/>
                <w:szCs w:val="21"/>
              </w:rPr>
            </w:pPr>
            <w:r>
              <w:rPr>
                <w:rFonts w:hint="eastAsia" w:ascii="宋体" w:hAnsi="宋体" w:eastAsia="宋体" w:cs="宋体"/>
                <w:b/>
                <w:bCs w:val="0"/>
                <w:color w:val="000000"/>
                <w:sz w:val="21"/>
                <w:szCs w:val="21"/>
              </w:rPr>
              <w:t>西北矿业持股比例</w:t>
            </w:r>
          </w:p>
        </w:tc>
        <w:tc>
          <w:tcPr>
            <w:tcW w:w="3274" w:type="pct"/>
            <w:gridSpan w:val="3"/>
            <w:shd w:val="clear" w:color="auto" w:fill="auto"/>
            <w:noWrap/>
            <w:vAlign w:val="center"/>
          </w:tcPr>
          <w:p>
            <w:pPr>
              <w:adjustRightInd w:val="0"/>
              <w:snapToGrid w:val="0"/>
              <w:jc w:val="center"/>
              <w:rPr>
                <w:rFonts w:ascii="宋体" w:hAnsi="宋体" w:eastAsia="宋体" w:cs="宋体"/>
                <w:b/>
                <w:bCs w:val="0"/>
                <w:color w:val="000000"/>
                <w:sz w:val="21"/>
                <w:szCs w:val="21"/>
              </w:rPr>
            </w:pPr>
            <w:r>
              <w:rPr>
                <w:rFonts w:hint="eastAsia" w:ascii="宋体" w:hAnsi="宋体" w:eastAsia="宋体" w:cs="宋体"/>
                <w:b/>
                <w:bCs w:val="0"/>
                <w:color w:val="000000"/>
                <w:sz w:val="21"/>
                <w:szCs w:val="21"/>
              </w:rPr>
              <w:t>预测净利润（单位：万元）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pct"/>
            <w:vMerge w:val="continue"/>
            <w:vAlign w:val="center"/>
          </w:tcPr>
          <w:p>
            <w:pPr>
              <w:adjustRightInd w:val="0"/>
              <w:snapToGrid w:val="0"/>
              <w:rPr>
                <w:rFonts w:ascii="宋体" w:hAnsi="宋体" w:eastAsia="宋体" w:cs="宋体"/>
                <w:b/>
                <w:bCs w:val="0"/>
                <w:color w:val="000000"/>
                <w:sz w:val="21"/>
                <w:szCs w:val="21"/>
              </w:rPr>
            </w:pPr>
          </w:p>
        </w:tc>
        <w:tc>
          <w:tcPr>
            <w:tcW w:w="831" w:type="pct"/>
            <w:vMerge w:val="continue"/>
            <w:vAlign w:val="center"/>
          </w:tcPr>
          <w:p>
            <w:pPr>
              <w:adjustRightInd w:val="0"/>
              <w:snapToGrid w:val="0"/>
              <w:rPr>
                <w:rFonts w:ascii="宋体" w:hAnsi="宋体" w:eastAsia="宋体" w:cs="宋体"/>
                <w:b/>
                <w:bCs w:val="0"/>
                <w:color w:val="000000"/>
                <w:sz w:val="21"/>
                <w:szCs w:val="21"/>
              </w:rPr>
            </w:pPr>
          </w:p>
        </w:tc>
        <w:tc>
          <w:tcPr>
            <w:tcW w:w="1091" w:type="pct"/>
            <w:vMerge w:val="restart"/>
            <w:shd w:val="clear" w:color="auto" w:fill="auto"/>
            <w:noWrap/>
            <w:vAlign w:val="center"/>
          </w:tcPr>
          <w:p>
            <w:pPr>
              <w:adjustRightInd w:val="0"/>
              <w:snapToGrid w:val="0"/>
              <w:jc w:val="center"/>
              <w:rPr>
                <w:rFonts w:ascii="宋体" w:hAnsi="宋体" w:eastAsia="宋体" w:cs="宋体"/>
                <w:b/>
                <w:bCs w:val="0"/>
                <w:color w:val="000000"/>
                <w:sz w:val="21"/>
                <w:szCs w:val="21"/>
              </w:rPr>
            </w:pPr>
            <w:r>
              <w:rPr>
                <w:rFonts w:ascii="宋体" w:hAnsi="宋体" w:eastAsia="宋体" w:cs="宋体"/>
                <w:b/>
                <w:bCs w:val="0"/>
                <w:color w:val="000000"/>
                <w:sz w:val="21"/>
                <w:szCs w:val="21"/>
              </w:rPr>
              <w:t>2025</w:t>
            </w:r>
            <w:r>
              <w:rPr>
                <w:rFonts w:hint="eastAsia" w:ascii="宋体" w:hAnsi="宋体" w:eastAsia="宋体" w:cs="宋体"/>
                <w:b/>
                <w:bCs w:val="0"/>
                <w:color w:val="000000"/>
                <w:sz w:val="21"/>
                <w:szCs w:val="21"/>
              </w:rPr>
              <w:t>年度</w:t>
            </w:r>
          </w:p>
        </w:tc>
        <w:tc>
          <w:tcPr>
            <w:tcW w:w="1091" w:type="pct"/>
            <w:vMerge w:val="restart"/>
            <w:shd w:val="clear" w:color="auto" w:fill="auto"/>
            <w:noWrap/>
            <w:vAlign w:val="center"/>
          </w:tcPr>
          <w:p>
            <w:pPr>
              <w:adjustRightInd w:val="0"/>
              <w:snapToGrid w:val="0"/>
              <w:jc w:val="center"/>
              <w:rPr>
                <w:rFonts w:ascii="宋体" w:hAnsi="宋体" w:eastAsia="宋体" w:cs="宋体"/>
                <w:b/>
                <w:bCs w:val="0"/>
                <w:color w:val="000000"/>
                <w:sz w:val="21"/>
                <w:szCs w:val="21"/>
              </w:rPr>
            </w:pPr>
            <w:r>
              <w:rPr>
                <w:rFonts w:ascii="宋体" w:hAnsi="宋体" w:eastAsia="宋体" w:cs="宋体"/>
                <w:b/>
                <w:bCs w:val="0"/>
                <w:color w:val="000000"/>
                <w:sz w:val="21"/>
                <w:szCs w:val="21"/>
              </w:rPr>
              <w:t>2026</w:t>
            </w:r>
            <w:r>
              <w:rPr>
                <w:rFonts w:hint="eastAsia" w:ascii="宋体" w:hAnsi="宋体" w:eastAsia="宋体" w:cs="宋体"/>
                <w:b/>
                <w:bCs w:val="0"/>
                <w:color w:val="000000"/>
                <w:sz w:val="21"/>
                <w:szCs w:val="21"/>
              </w:rPr>
              <w:t>年度</w:t>
            </w:r>
          </w:p>
        </w:tc>
        <w:tc>
          <w:tcPr>
            <w:tcW w:w="1092" w:type="pct"/>
            <w:vMerge w:val="restart"/>
            <w:shd w:val="clear" w:color="auto" w:fill="auto"/>
            <w:noWrap/>
            <w:vAlign w:val="center"/>
          </w:tcPr>
          <w:p>
            <w:pPr>
              <w:adjustRightInd w:val="0"/>
              <w:snapToGrid w:val="0"/>
              <w:jc w:val="center"/>
              <w:rPr>
                <w:rFonts w:ascii="宋体" w:hAnsi="宋体" w:eastAsia="宋体" w:cs="宋体"/>
                <w:b/>
                <w:bCs w:val="0"/>
                <w:color w:val="000000"/>
                <w:sz w:val="21"/>
                <w:szCs w:val="21"/>
              </w:rPr>
            </w:pPr>
            <w:r>
              <w:rPr>
                <w:rFonts w:ascii="宋体" w:hAnsi="宋体" w:eastAsia="宋体" w:cs="宋体"/>
                <w:b/>
                <w:bCs w:val="0"/>
                <w:color w:val="000000"/>
                <w:sz w:val="21"/>
                <w:szCs w:val="21"/>
              </w:rPr>
              <w:t>2027</w:t>
            </w:r>
            <w:r>
              <w:rPr>
                <w:rFonts w:hint="eastAsia" w:ascii="宋体" w:hAnsi="宋体" w:eastAsia="宋体" w:cs="宋体"/>
                <w:b/>
                <w:bCs w:val="0"/>
                <w:color w:val="000000"/>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vMerge w:val="continue"/>
            <w:vAlign w:val="center"/>
          </w:tcPr>
          <w:p>
            <w:pPr>
              <w:adjustRightInd w:val="0"/>
              <w:snapToGrid w:val="0"/>
              <w:rPr>
                <w:rFonts w:ascii="宋体" w:hAnsi="宋体" w:eastAsia="宋体" w:cs="宋体"/>
                <w:color w:val="000000"/>
                <w:sz w:val="21"/>
                <w:szCs w:val="21"/>
              </w:rPr>
            </w:pPr>
          </w:p>
        </w:tc>
        <w:tc>
          <w:tcPr>
            <w:tcW w:w="831" w:type="pct"/>
            <w:vMerge w:val="continue"/>
            <w:vAlign w:val="center"/>
          </w:tcPr>
          <w:p>
            <w:pPr>
              <w:adjustRightInd w:val="0"/>
              <w:snapToGrid w:val="0"/>
              <w:rPr>
                <w:rFonts w:ascii="宋体" w:hAnsi="宋体" w:eastAsia="宋体" w:cs="宋体"/>
                <w:color w:val="000000"/>
                <w:sz w:val="21"/>
                <w:szCs w:val="21"/>
              </w:rPr>
            </w:pPr>
          </w:p>
        </w:tc>
        <w:tc>
          <w:tcPr>
            <w:tcW w:w="1091" w:type="pct"/>
            <w:vMerge w:val="continue"/>
            <w:vAlign w:val="center"/>
          </w:tcPr>
          <w:p>
            <w:pPr>
              <w:adjustRightInd w:val="0"/>
              <w:snapToGrid w:val="0"/>
              <w:rPr>
                <w:rFonts w:ascii="宋体" w:hAnsi="宋体" w:eastAsia="宋体" w:cs="宋体"/>
                <w:color w:val="000000"/>
                <w:sz w:val="21"/>
                <w:szCs w:val="21"/>
              </w:rPr>
            </w:pPr>
          </w:p>
        </w:tc>
        <w:tc>
          <w:tcPr>
            <w:tcW w:w="1091" w:type="pct"/>
            <w:vMerge w:val="continue"/>
            <w:vAlign w:val="center"/>
          </w:tcPr>
          <w:p>
            <w:pPr>
              <w:adjustRightInd w:val="0"/>
              <w:snapToGrid w:val="0"/>
              <w:rPr>
                <w:rFonts w:ascii="宋体" w:hAnsi="宋体" w:eastAsia="宋体" w:cs="宋体"/>
                <w:color w:val="000000"/>
                <w:sz w:val="21"/>
                <w:szCs w:val="21"/>
              </w:rPr>
            </w:pPr>
          </w:p>
        </w:tc>
        <w:tc>
          <w:tcPr>
            <w:tcW w:w="1092" w:type="pct"/>
            <w:vMerge w:val="continue"/>
            <w:vAlign w:val="center"/>
          </w:tcPr>
          <w:p>
            <w:pPr>
              <w:adjustRightInd w:val="0"/>
              <w:snapToGrid w:val="0"/>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亭南煤业</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100%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54,917.61</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54,592.29</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54,420.39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正通煤业</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100%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35,054.72</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38,548.54</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39,957.16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邵寨煤业</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100%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20,345.88</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20,532.06</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20,564.07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双欣矿业</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55%</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35,883.48</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26,126.44</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41,996.58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五举煤业</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60%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498.22</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14,709.06</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17,336.26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永明煤矿</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51%</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4,237.74</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4,086.04</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4,016.78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大恒煤业</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80%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29,495.77</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29,562.28</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17,531.38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望田煤业</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55%</w:t>
            </w:r>
          </w:p>
        </w:tc>
        <w:tc>
          <w:tcPr>
            <w:tcW w:w="1091" w:type="pct"/>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-2,427.34</w:t>
            </w:r>
          </w:p>
        </w:tc>
        <w:tc>
          <w:tcPr>
            <w:tcW w:w="1091" w:type="pct"/>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-2,480.47</w:t>
            </w:r>
          </w:p>
        </w:tc>
        <w:tc>
          <w:tcPr>
            <w:tcW w:w="1092" w:type="pct"/>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10,990.85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黄陶勒盖</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60%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110,675.41</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112,770.55</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116,175.98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天竣能源</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55%</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341.29</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14,064.76</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13,553.51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博选科技</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100%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646.73</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946.65</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960.59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爱科工矿</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100%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1,299.94</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1,670.67</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2,037.81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蚂蚁城</w:t>
            </w:r>
          </w:p>
        </w:tc>
        <w:tc>
          <w:tcPr>
            <w:tcW w:w="831" w:type="pct"/>
            <w:shd w:val="clear" w:color="auto" w:fill="auto"/>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100%</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66.84</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156.81</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226.41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noWrap/>
            <w:vAlign w:val="center"/>
          </w:tcPr>
          <w:p>
            <w:pPr>
              <w:adjustRightInd w:val="0"/>
              <w:snapToGrid w:val="0"/>
              <w:jc w:val="center"/>
              <w:rPr>
                <w:rFonts w:ascii="宋体" w:hAnsi="宋体" w:eastAsia="宋体" w:cs="宋体"/>
                <w:color w:val="000000"/>
                <w:sz w:val="21"/>
                <w:szCs w:val="21"/>
              </w:rPr>
            </w:pPr>
            <w:r>
              <w:rPr>
                <w:rFonts w:hint="eastAsia" w:ascii="宋体" w:hAnsi="宋体" w:eastAsia="宋体"/>
                <w:color w:val="000000"/>
                <w:sz w:val="21"/>
                <w:szCs w:val="21"/>
              </w:rPr>
              <w:t>山东康格能源科技有限公司</w:t>
            </w:r>
          </w:p>
        </w:tc>
        <w:tc>
          <w:tcPr>
            <w:tcW w:w="831" w:type="pct"/>
            <w:shd w:val="clear" w:color="auto" w:fill="auto"/>
            <w:noWrap/>
            <w:vAlign w:val="center"/>
          </w:tcPr>
          <w:p>
            <w:pPr>
              <w:adjustRightInd w:val="0"/>
              <w:snapToGrid w:val="0"/>
              <w:jc w:val="center"/>
              <w:rPr>
                <w:rFonts w:ascii="宋体" w:hAnsi="宋体" w:eastAsia="宋体" w:cs="宋体"/>
                <w:color w:val="000000"/>
                <w:sz w:val="21"/>
                <w:szCs w:val="21"/>
              </w:rPr>
            </w:pPr>
            <w:r>
              <w:rPr>
                <w:rFonts w:ascii="宋体" w:hAnsi="宋体" w:eastAsia="宋体" w:cs="宋体"/>
                <w:color w:val="000000"/>
                <w:sz w:val="21"/>
                <w:szCs w:val="21"/>
              </w:rPr>
              <w:t>49%</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73.24</w:t>
            </w:r>
          </w:p>
        </w:tc>
        <w:tc>
          <w:tcPr>
            <w:tcW w:w="1091"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472.73</w:t>
            </w:r>
          </w:p>
        </w:tc>
        <w:tc>
          <w:tcPr>
            <w:tcW w:w="1092" w:type="pct"/>
            <w:shd w:val="clear" w:color="auto" w:fill="auto"/>
            <w:noWrap/>
            <w:vAlign w:val="center"/>
          </w:tcPr>
          <w:p>
            <w:pPr>
              <w:adjustRightInd w:val="0"/>
              <w:snapToGrid w:val="0"/>
              <w:jc w:val="right"/>
              <w:rPr>
                <w:rFonts w:ascii="宋体" w:hAnsi="宋体" w:eastAsia="宋体" w:cs="宋体"/>
                <w:color w:val="000000"/>
                <w:sz w:val="21"/>
                <w:szCs w:val="21"/>
              </w:rPr>
            </w:pPr>
            <w:r>
              <w:rPr>
                <w:rFonts w:ascii="宋体" w:hAnsi="宋体" w:eastAsia="宋体" w:cs="宋体"/>
                <w:color w:val="000000"/>
                <w:sz w:val="21"/>
                <w:szCs w:val="21"/>
              </w:rPr>
              <w:t>811.62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shd w:val="clear" w:color="auto" w:fill="auto"/>
            <w:noWrap/>
            <w:vAlign w:val="center"/>
          </w:tcPr>
          <w:p>
            <w:pPr>
              <w:adjustRightInd w:val="0"/>
              <w:snapToGrid w:val="0"/>
              <w:jc w:val="center"/>
              <w:rPr>
                <w:rFonts w:ascii="宋体" w:hAnsi="宋体" w:eastAsia="宋体" w:cs="宋体"/>
                <w:b/>
                <w:color w:val="000000"/>
                <w:sz w:val="21"/>
                <w:szCs w:val="21"/>
              </w:rPr>
            </w:pPr>
            <w:r>
              <w:rPr>
                <w:rFonts w:hint="eastAsia" w:ascii="宋体" w:hAnsi="宋体" w:eastAsia="宋体" w:cs="宋体"/>
                <w:b/>
                <w:color w:val="000000"/>
                <w:sz w:val="21"/>
                <w:szCs w:val="21"/>
              </w:rPr>
              <w:t>合计</w:t>
            </w:r>
          </w:p>
        </w:tc>
        <w:tc>
          <w:tcPr>
            <w:tcW w:w="831" w:type="pct"/>
            <w:shd w:val="clear" w:color="auto" w:fill="auto"/>
            <w:noWrap/>
            <w:vAlign w:val="center"/>
          </w:tcPr>
          <w:p>
            <w:pPr>
              <w:adjustRightInd w:val="0"/>
              <w:snapToGrid w:val="0"/>
              <w:jc w:val="center"/>
              <w:rPr>
                <w:rFonts w:ascii="宋体" w:hAnsi="宋体" w:eastAsia="宋体" w:cs="宋体"/>
                <w:b/>
                <w:color w:val="000000"/>
                <w:sz w:val="21"/>
                <w:szCs w:val="21"/>
              </w:rPr>
            </w:pPr>
            <w:r>
              <w:rPr>
                <w:rFonts w:ascii="宋体" w:hAnsi="宋体" w:eastAsia="宋体" w:cs="宋体"/>
                <w:b/>
                <w:color w:val="000000"/>
                <w:sz w:val="21"/>
                <w:szCs w:val="21"/>
              </w:rPr>
              <w:t>-</w:t>
            </w:r>
          </w:p>
        </w:tc>
        <w:tc>
          <w:tcPr>
            <w:tcW w:w="1091" w:type="pct"/>
            <w:shd w:val="clear" w:color="auto" w:fill="auto"/>
            <w:noWrap/>
            <w:vAlign w:val="center"/>
          </w:tcPr>
          <w:p>
            <w:pPr>
              <w:adjustRightInd w:val="0"/>
              <w:snapToGrid w:val="0"/>
              <w:jc w:val="right"/>
              <w:rPr>
                <w:rFonts w:ascii="宋体" w:hAnsi="宋体" w:eastAsia="宋体" w:cs="宋体"/>
                <w:b/>
                <w:color w:val="000000"/>
                <w:sz w:val="21"/>
                <w:szCs w:val="21"/>
              </w:rPr>
            </w:pPr>
            <w:r>
              <w:rPr>
                <w:rFonts w:ascii="宋体" w:hAnsi="宋体" w:eastAsia="宋体" w:cs="宋体"/>
                <w:b/>
                <w:color w:val="000000"/>
                <w:sz w:val="21"/>
                <w:szCs w:val="21"/>
              </w:rPr>
              <w:t>222,325.94</w:t>
            </w:r>
          </w:p>
        </w:tc>
        <w:tc>
          <w:tcPr>
            <w:tcW w:w="1091" w:type="pct"/>
            <w:shd w:val="clear" w:color="auto" w:fill="auto"/>
            <w:noWrap/>
            <w:vAlign w:val="center"/>
          </w:tcPr>
          <w:p>
            <w:pPr>
              <w:adjustRightInd w:val="0"/>
              <w:snapToGrid w:val="0"/>
              <w:jc w:val="right"/>
              <w:rPr>
                <w:rFonts w:ascii="宋体" w:hAnsi="宋体" w:eastAsia="宋体" w:cs="宋体"/>
                <w:b/>
                <w:color w:val="000000"/>
                <w:sz w:val="21"/>
                <w:szCs w:val="21"/>
              </w:rPr>
            </w:pPr>
            <w:r>
              <w:rPr>
                <w:rFonts w:ascii="宋体" w:hAnsi="宋体" w:eastAsia="宋体" w:cs="宋体"/>
                <w:b/>
                <w:color w:val="000000"/>
                <w:sz w:val="21"/>
                <w:szCs w:val="21"/>
              </w:rPr>
              <w:t>238,524.81</w:t>
            </w:r>
          </w:p>
        </w:tc>
        <w:tc>
          <w:tcPr>
            <w:tcW w:w="1092" w:type="pct"/>
            <w:shd w:val="clear" w:color="auto" w:fill="auto"/>
            <w:noWrap/>
            <w:vAlign w:val="center"/>
          </w:tcPr>
          <w:p>
            <w:pPr>
              <w:adjustRightInd w:val="0"/>
              <w:snapToGrid w:val="0"/>
              <w:jc w:val="right"/>
              <w:rPr>
                <w:rFonts w:ascii="宋体" w:hAnsi="宋体" w:eastAsia="宋体" w:cs="宋体"/>
                <w:b/>
                <w:color w:val="000000"/>
                <w:sz w:val="21"/>
                <w:szCs w:val="21"/>
              </w:rPr>
            </w:pPr>
            <w:r>
              <w:rPr>
                <w:rFonts w:ascii="宋体" w:hAnsi="宋体" w:eastAsia="宋体" w:cs="宋体"/>
                <w:b/>
                <w:color w:val="000000"/>
                <w:sz w:val="21"/>
                <w:szCs w:val="21"/>
              </w:rPr>
              <w:t>251,342.66</w:t>
            </w:r>
          </w:p>
        </w:tc>
      </w:tr>
    </w:tbl>
    <w:p>
      <w:pPr>
        <w:pStyle w:val="39"/>
        <w:spacing w:line="400" w:lineRule="exact"/>
        <w:ind w:firstLine="480"/>
        <w:jc w:val="both"/>
        <w:rPr>
          <w:rFonts w:hint="eastAsia" w:ascii="楷体_GB2312" w:hAnsi="楷体_GB2312" w:eastAsia="楷体_GB2312" w:cs="楷体_GB2312"/>
          <w:bCs w:val="0"/>
          <w:sz w:val="24"/>
          <w:szCs w:val="24"/>
        </w:rPr>
      </w:pPr>
      <w:r>
        <w:rPr>
          <w:rFonts w:hint="eastAsia" w:ascii="楷体_GB2312" w:hAnsi="楷体_GB2312" w:eastAsia="楷体_GB2312" w:cs="楷体_GB2312"/>
          <w:bCs w:val="0"/>
          <w:sz w:val="24"/>
          <w:szCs w:val="24"/>
        </w:rPr>
        <w:t>注</w:t>
      </w:r>
      <w:r>
        <w:rPr>
          <w:rFonts w:hint="eastAsia" w:ascii="楷体_GB2312" w:hAnsi="楷体_GB2312" w:eastAsia="楷体_GB2312" w:cs="楷体_GB2312"/>
          <w:sz w:val="24"/>
          <w:szCs w:val="24"/>
        </w:rPr>
        <w:t>1</w:t>
      </w:r>
      <w:r>
        <w:rPr>
          <w:rFonts w:hint="eastAsia" w:ascii="楷体_GB2312" w:hAnsi="楷体_GB2312" w:eastAsia="楷体_GB2312" w:cs="楷体_GB2312"/>
          <w:bCs w:val="0"/>
          <w:sz w:val="24"/>
          <w:szCs w:val="24"/>
        </w:rPr>
        <w:t>：上述各个</w:t>
      </w:r>
      <w:r>
        <w:rPr>
          <w:rFonts w:hint="eastAsia" w:ascii="楷体_GB2312" w:hAnsi="楷体_GB2312" w:eastAsia="楷体_GB2312" w:cs="楷体_GB2312"/>
          <w:sz w:val="24"/>
          <w:szCs w:val="24"/>
        </w:rPr>
        <w:t>子</w:t>
      </w:r>
      <w:r>
        <w:rPr>
          <w:rFonts w:hint="eastAsia" w:ascii="楷体_GB2312" w:hAnsi="楷体_GB2312" w:eastAsia="楷体_GB2312" w:cs="楷体_GB2312"/>
          <w:bCs w:val="0"/>
          <w:sz w:val="24"/>
          <w:szCs w:val="24"/>
        </w:rPr>
        <w:t>公司</w:t>
      </w:r>
      <w:r>
        <w:rPr>
          <w:rFonts w:hint="eastAsia" w:ascii="楷体_GB2312" w:hAnsi="楷体_GB2312" w:eastAsia="楷体_GB2312" w:cs="楷体_GB2312"/>
          <w:sz w:val="24"/>
          <w:szCs w:val="24"/>
        </w:rPr>
        <w:t>预测</w:t>
      </w:r>
      <w:r>
        <w:rPr>
          <w:rFonts w:hint="eastAsia" w:ascii="楷体_GB2312" w:hAnsi="楷体_GB2312" w:eastAsia="楷体_GB2312" w:cs="楷体_GB2312"/>
          <w:bCs w:val="0"/>
          <w:sz w:val="24"/>
          <w:szCs w:val="24"/>
        </w:rPr>
        <w:t>净利润金额</w:t>
      </w:r>
      <w:r>
        <w:rPr>
          <w:rFonts w:hint="eastAsia" w:ascii="楷体_GB2312" w:hAnsi="楷体_GB2312" w:eastAsia="楷体_GB2312" w:cs="楷体_GB2312"/>
          <w:sz w:val="24"/>
          <w:szCs w:val="24"/>
        </w:rPr>
        <w:t>来源于</w:t>
      </w:r>
      <w:r>
        <w:rPr>
          <w:rFonts w:hint="eastAsia" w:ascii="楷体_GB2312" w:hAnsi="楷体_GB2312" w:eastAsia="楷体_GB2312" w:cs="楷体_GB2312"/>
          <w:bCs w:val="0"/>
          <w:sz w:val="24"/>
          <w:szCs w:val="24"/>
        </w:rPr>
        <w:t>《资产评估报告》</w:t>
      </w:r>
      <w:r>
        <w:rPr>
          <w:rFonts w:hint="eastAsia" w:ascii="楷体_GB2312" w:hAnsi="楷体_GB2312" w:eastAsia="楷体_GB2312" w:cs="楷体_GB2312"/>
          <w:sz w:val="24"/>
          <w:szCs w:val="24"/>
        </w:rPr>
        <w:t>对应的《资产评估明细表》之</w:t>
      </w:r>
      <w:r>
        <w:rPr>
          <w:rFonts w:hint="eastAsia" w:ascii="楷体_GB2312" w:hAnsi="楷体_GB2312" w:eastAsia="楷体_GB2312" w:cs="楷体_GB2312"/>
          <w:bCs w:val="0"/>
          <w:sz w:val="24"/>
          <w:szCs w:val="24"/>
        </w:rPr>
        <w:t>“收益法测算汇总表”中预测</w:t>
      </w:r>
      <w:r>
        <w:rPr>
          <w:rFonts w:hint="eastAsia" w:ascii="楷体_GB2312" w:hAnsi="楷体_GB2312" w:eastAsia="楷体_GB2312" w:cs="楷体_GB2312"/>
          <w:sz w:val="24"/>
          <w:szCs w:val="24"/>
        </w:rPr>
        <w:t>的2</w:t>
      </w:r>
      <w:r>
        <w:rPr>
          <w:rFonts w:ascii="楷体_GB2312" w:hAnsi="楷体_GB2312" w:eastAsia="楷体_GB2312" w:cs="楷体_GB2312"/>
          <w:sz w:val="24"/>
          <w:szCs w:val="24"/>
        </w:rPr>
        <w:t>025-2027</w:t>
      </w:r>
      <w:r>
        <w:rPr>
          <w:rFonts w:hint="eastAsia" w:ascii="楷体_GB2312" w:hAnsi="楷体_GB2312" w:eastAsia="楷体_GB2312" w:cs="楷体_GB2312"/>
          <w:sz w:val="24"/>
          <w:szCs w:val="24"/>
        </w:rPr>
        <w:t>年</w:t>
      </w:r>
      <w:r>
        <w:rPr>
          <w:rFonts w:hint="eastAsia" w:ascii="楷体_GB2312" w:hAnsi="楷体_GB2312" w:eastAsia="楷体_GB2312" w:cs="楷体_GB2312"/>
          <w:bCs w:val="0"/>
          <w:sz w:val="24"/>
          <w:szCs w:val="24"/>
        </w:rPr>
        <w:t>净利润金额。</w:t>
      </w:r>
    </w:p>
    <w:p>
      <w:pPr>
        <w:pStyle w:val="39"/>
        <w:spacing w:line="400" w:lineRule="exact"/>
        <w:ind w:firstLine="480"/>
        <w:jc w:val="both"/>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注</w:t>
      </w:r>
      <w:r>
        <w:rPr>
          <w:rFonts w:hint="eastAsia" w:ascii="楷体_GB2312" w:hAnsi="楷体_GB2312" w:eastAsia="楷体_GB2312" w:cs="楷体_GB2312"/>
          <w:sz w:val="24"/>
          <w:szCs w:val="24"/>
        </w:rPr>
        <w:t>2</w:t>
      </w:r>
      <w:r>
        <w:rPr>
          <w:rFonts w:hint="eastAsia" w:ascii="楷体_GB2312" w:hAnsi="楷体_GB2312" w:eastAsia="楷体_GB2312" w:cs="楷体_GB2312"/>
          <w:bCs w:val="0"/>
          <w:sz w:val="24"/>
          <w:szCs w:val="24"/>
        </w:rPr>
        <w:t>：</w:t>
      </w:r>
      <w:r>
        <w:rPr>
          <w:rFonts w:hint="eastAsia" w:ascii="楷体_GB2312" w:hAnsi="楷体_GB2312" w:eastAsia="楷体_GB2312" w:cs="楷体_GB2312"/>
          <w:sz w:val="24"/>
          <w:szCs w:val="24"/>
        </w:rPr>
        <w:t>鉴于《资产评估报告》中评估假设望田煤业《内部合作经营协议》于2026年12月31日期满不再续期，上表中2025年及2026年预测净利润合计金额为</w:t>
      </w:r>
      <w:r>
        <w:rPr>
          <w:rFonts w:hint="eastAsia" w:ascii="楷体_GB2312" w:hAnsi="楷体_GB2312" w:eastAsia="楷体_GB2312" w:cs="楷体_GB2312"/>
          <w:bCs w:val="0"/>
          <w:sz w:val="24"/>
          <w:szCs w:val="24"/>
        </w:rPr>
        <w:t>各</w:t>
      </w:r>
      <w:r>
        <w:rPr>
          <w:rFonts w:hint="eastAsia" w:ascii="楷体_GB2312" w:hAnsi="楷体_GB2312" w:eastAsia="楷体_GB2312" w:cs="楷体_GB2312"/>
          <w:sz w:val="24"/>
          <w:szCs w:val="24"/>
        </w:rPr>
        <w:t>子公司（除望田煤业）预测</w:t>
      </w:r>
      <w:r>
        <w:rPr>
          <w:rFonts w:hint="eastAsia" w:ascii="楷体_GB2312" w:hAnsi="楷体_GB2312" w:eastAsia="楷体_GB2312" w:cs="楷体_GB2312"/>
          <w:bCs w:val="0"/>
          <w:sz w:val="24"/>
          <w:szCs w:val="24"/>
        </w:rPr>
        <w:t>净利润金额×西北矿业对其持股比例</w:t>
      </w:r>
      <w:r>
        <w:rPr>
          <w:rFonts w:hint="eastAsia" w:ascii="楷体_GB2312" w:hAnsi="楷体_GB2312" w:eastAsia="楷体_GB2312" w:cs="楷体_GB2312"/>
          <w:sz w:val="24"/>
          <w:szCs w:val="24"/>
        </w:rPr>
        <w:t>的加总数+望田煤业预测净利润，2027年预计净利润合计金额为各子公司预测净利润金额×西北矿业对其持股比例的加总数。</w:t>
      </w:r>
    </w:p>
    <w:p>
      <w:pPr>
        <w:pStyle w:val="39"/>
        <w:spacing w:line="400" w:lineRule="exact"/>
        <w:ind w:firstLine="480"/>
        <w:jc w:val="both"/>
        <w:rPr>
          <w:rFonts w:hint="eastAsia" w:ascii="楷体_GB2312" w:hAnsi="楷体_GB2312" w:eastAsia="楷体_GB2312" w:cs="楷体_GB2312"/>
          <w:bCs w:val="0"/>
          <w:sz w:val="24"/>
          <w:szCs w:val="24"/>
        </w:rPr>
      </w:pPr>
      <w:r>
        <w:rPr>
          <w:rFonts w:hint="eastAsia" w:ascii="楷体_GB2312" w:hAnsi="楷体_GB2312" w:eastAsia="楷体_GB2312" w:cs="楷体_GB2312"/>
          <w:sz w:val="24"/>
          <w:szCs w:val="24"/>
        </w:rPr>
        <w:t>注3：上表仅用于说明承诺期累计承诺净利润金额的计算过程，目标公司现有股东方未对各年度利润实现情况进行承诺，亦不对上述各子公司利润实现情况进行承诺。</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2</w:t>
      </w:r>
      <w:r>
        <w:rPr>
          <w:rFonts w:cs="Times New Roman" w:asciiTheme="minorEastAsia" w:hAnsiTheme="minorEastAsia" w:eastAsiaTheme="minorEastAsia"/>
          <w:bCs/>
        </w:rPr>
        <w:t>.</w:t>
      </w:r>
      <w:r>
        <w:rPr>
          <w:rFonts w:hint="eastAsia" w:cs="Times New Roman" w:asciiTheme="minorEastAsia" w:hAnsiTheme="minorEastAsia" w:eastAsiaTheme="minorEastAsia"/>
          <w:bCs/>
        </w:rPr>
        <w:t>承诺期满后，上市公司将聘请股东方与兖矿能源等各方认可的符合《中华人民共和国证券法》要求的会计师事务所出具承诺期专项审核报告，并以前述审核报告确认承诺期累计实现净利润。</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3</w:t>
      </w:r>
      <w:r>
        <w:rPr>
          <w:rFonts w:cs="Times New Roman" w:asciiTheme="minorEastAsia" w:hAnsiTheme="minorEastAsia" w:eastAsiaTheme="minorEastAsia"/>
          <w:bCs/>
        </w:rPr>
        <w:t>.</w:t>
      </w:r>
      <w:r>
        <w:rPr>
          <w:rFonts w:hint="eastAsia" w:cs="Times New Roman" w:asciiTheme="minorEastAsia" w:hAnsiTheme="minorEastAsia" w:eastAsiaTheme="minorEastAsia"/>
          <w:bCs/>
        </w:rPr>
        <w:t>承诺期满后，由上市公司聘请符合《中华人民共和国证券法》要求的评估机构，以</w:t>
      </w:r>
      <w:r>
        <w:rPr>
          <w:rFonts w:cs="Times New Roman" w:asciiTheme="minorEastAsia" w:hAnsiTheme="minorEastAsia" w:eastAsiaTheme="minorEastAsia"/>
          <w:bCs/>
        </w:rPr>
        <w:t>2027</w:t>
      </w:r>
      <w:r>
        <w:rPr>
          <w:rFonts w:hint="eastAsia" w:cs="Times New Roman" w:asciiTheme="minorEastAsia" w:hAnsiTheme="minorEastAsia" w:eastAsiaTheme="minorEastAsia"/>
          <w:bCs/>
        </w:rPr>
        <w:t>年</w:t>
      </w:r>
      <w:r>
        <w:rPr>
          <w:rFonts w:cs="Times New Roman" w:asciiTheme="minorEastAsia" w:hAnsiTheme="minorEastAsia" w:eastAsiaTheme="minorEastAsia"/>
          <w:bCs/>
        </w:rPr>
        <w:t>12</w:t>
      </w:r>
      <w:r>
        <w:rPr>
          <w:rFonts w:hint="eastAsia" w:cs="Times New Roman" w:asciiTheme="minorEastAsia" w:hAnsiTheme="minorEastAsia" w:eastAsiaTheme="minorEastAsia"/>
          <w:bCs/>
        </w:rPr>
        <w:t>月</w:t>
      </w:r>
      <w:r>
        <w:rPr>
          <w:rFonts w:cs="Times New Roman" w:asciiTheme="minorEastAsia" w:hAnsiTheme="minorEastAsia" w:eastAsiaTheme="minorEastAsia"/>
          <w:bCs/>
        </w:rPr>
        <w:t>31</w:t>
      </w:r>
      <w:r>
        <w:rPr>
          <w:rFonts w:hint="eastAsia" w:cs="Times New Roman" w:asciiTheme="minorEastAsia" w:hAnsiTheme="minorEastAsia" w:eastAsiaTheme="minorEastAsia"/>
          <w:bCs/>
        </w:rPr>
        <w:t>日为基准日对西北矿业进行重新评估，并出具评估报告确认承诺期末目标公司全部股东权益评估价值（“承诺期末评估值”）。除适用法律法规有强制性规定外，前述评估报告采取的估值方法应与本次交易的《资产评估报告》保持一致，承诺期末评估值应当为可比口径评估价值，并扣除承诺期内西北矿业股东增资、减资、接受赠与以及利润分配对承诺期末评估值的影响。</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4</w:t>
      </w:r>
      <w:r>
        <w:rPr>
          <w:rFonts w:cs="Times New Roman" w:asciiTheme="minorEastAsia" w:hAnsiTheme="minorEastAsia" w:eastAsiaTheme="minorEastAsia"/>
          <w:bCs/>
        </w:rPr>
        <w:t>.</w:t>
      </w:r>
      <w:r>
        <w:rPr>
          <w:rFonts w:hint="eastAsia" w:cs="Times New Roman" w:asciiTheme="minorEastAsia" w:hAnsiTheme="minorEastAsia" w:eastAsiaTheme="minorEastAsia"/>
          <w:bCs/>
        </w:rPr>
        <w:t>本次交易涉及的业绩承诺补偿由股东方以现金方式向兖矿能源进行补偿，具体补偿金额为按照以下两种方式计算补偿金额孰高者：</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1</w:t>
      </w:r>
      <w:r>
        <w:rPr>
          <w:rFonts w:hint="eastAsia" w:cs="Times New Roman" w:asciiTheme="minorEastAsia" w:hAnsiTheme="minorEastAsia" w:eastAsiaTheme="minorEastAsia"/>
          <w:bCs/>
        </w:rPr>
        <w:t>）承诺期应补偿金额</w:t>
      </w:r>
      <w:r>
        <w:rPr>
          <w:rFonts w:cs="Times New Roman" w:asciiTheme="minorEastAsia" w:hAnsiTheme="minorEastAsia" w:eastAsiaTheme="minorEastAsia"/>
          <w:bCs/>
        </w:rPr>
        <w:t>=</w:t>
      </w:r>
      <w:r>
        <w:rPr>
          <w:rFonts w:hint="eastAsia" w:cs="Times New Roman" w:asciiTheme="minorEastAsia" w:hAnsiTheme="minorEastAsia" w:eastAsiaTheme="minorEastAsia"/>
          <w:bCs/>
        </w:rPr>
        <w:t>（承诺期累计承诺净利润</w:t>
      </w:r>
      <w:r>
        <w:rPr>
          <w:rFonts w:cs="Times New Roman" w:asciiTheme="minorEastAsia" w:hAnsiTheme="minorEastAsia" w:eastAsiaTheme="minorEastAsia"/>
          <w:bCs/>
        </w:rPr>
        <w:t>-</w:t>
      </w:r>
      <w:r>
        <w:rPr>
          <w:rFonts w:hint="eastAsia" w:cs="Times New Roman" w:asciiTheme="minorEastAsia" w:hAnsiTheme="minorEastAsia" w:eastAsiaTheme="minorEastAsia"/>
          <w:bCs/>
        </w:rPr>
        <w:t>承诺期累计实现净利润）</w:t>
      </w:r>
      <w:r>
        <w:rPr>
          <w:rFonts w:cs="Times New Roman" w:asciiTheme="minorEastAsia" w:hAnsiTheme="minorEastAsia" w:eastAsiaTheme="minorEastAsia"/>
          <w:bCs/>
        </w:rPr>
        <w:t>×51%</w:t>
      </w:r>
      <w:r>
        <w:rPr>
          <w:rFonts w:hint="eastAsia" w:cs="Times New Roman" w:asciiTheme="minorEastAsia" w:hAnsiTheme="minorEastAsia" w:eastAsiaTheme="minorEastAsia"/>
          <w:bCs/>
        </w:rPr>
        <w:t>（承诺期应补偿金额小于</w:t>
      </w:r>
      <w:r>
        <w:rPr>
          <w:rFonts w:cs="Times New Roman" w:asciiTheme="minorEastAsia" w:hAnsiTheme="minorEastAsia" w:eastAsiaTheme="minorEastAsia"/>
          <w:bCs/>
        </w:rPr>
        <w:t>0</w:t>
      </w:r>
      <w:r>
        <w:rPr>
          <w:rFonts w:hint="eastAsia" w:cs="Times New Roman" w:asciiTheme="minorEastAsia" w:hAnsiTheme="minorEastAsia" w:eastAsiaTheme="minorEastAsia"/>
          <w:bCs/>
        </w:rPr>
        <w:t>时，按</w:t>
      </w:r>
      <w:r>
        <w:rPr>
          <w:rFonts w:cs="Times New Roman" w:asciiTheme="minorEastAsia" w:hAnsiTheme="minorEastAsia" w:eastAsiaTheme="minorEastAsia"/>
          <w:bCs/>
        </w:rPr>
        <w:t>0</w:t>
      </w:r>
      <w:r>
        <w:rPr>
          <w:rFonts w:hint="eastAsia" w:cs="Times New Roman" w:asciiTheme="minorEastAsia" w:hAnsiTheme="minorEastAsia" w:eastAsiaTheme="minorEastAsia"/>
          <w:bCs/>
        </w:rPr>
        <w:t>取值）；或者</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2</w:t>
      </w:r>
      <w:r>
        <w:rPr>
          <w:rFonts w:hint="eastAsia" w:cs="Times New Roman" w:asciiTheme="minorEastAsia" w:hAnsiTheme="minorEastAsia" w:eastAsiaTheme="minorEastAsia"/>
          <w:bCs/>
        </w:rPr>
        <w:t>）承诺期应补偿金额</w:t>
      </w:r>
      <w:r>
        <w:rPr>
          <w:rFonts w:cs="Times New Roman" w:asciiTheme="minorEastAsia" w:hAnsiTheme="minorEastAsia" w:eastAsiaTheme="minorEastAsia"/>
          <w:bCs/>
        </w:rPr>
        <w:t>=</w:t>
      </w:r>
      <w:r>
        <w:rPr>
          <w:rFonts w:hint="eastAsia" w:cs="Times New Roman" w:asciiTheme="minorEastAsia" w:hAnsiTheme="minorEastAsia" w:eastAsiaTheme="minorEastAsia"/>
          <w:bCs/>
        </w:rPr>
        <w:t>（本次交易评估值</w:t>
      </w:r>
      <w:r>
        <w:rPr>
          <w:rFonts w:cs="Times New Roman" w:asciiTheme="minorEastAsia" w:hAnsiTheme="minorEastAsia" w:eastAsiaTheme="minorEastAsia"/>
          <w:bCs/>
        </w:rPr>
        <w:t>-</w:t>
      </w:r>
      <w:r>
        <w:rPr>
          <w:rFonts w:hint="eastAsia" w:cs="Times New Roman" w:asciiTheme="minorEastAsia" w:hAnsiTheme="minorEastAsia" w:eastAsiaTheme="minorEastAsia"/>
          <w:bCs/>
        </w:rPr>
        <w:t>承诺期末评估值）</w:t>
      </w:r>
      <w:r>
        <w:rPr>
          <w:rFonts w:cs="Times New Roman" w:asciiTheme="minorEastAsia" w:hAnsiTheme="minorEastAsia" w:eastAsiaTheme="minorEastAsia"/>
          <w:bCs/>
        </w:rPr>
        <w:t>×51%</w:t>
      </w:r>
      <w:r>
        <w:rPr>
          <w:rFonts w:hint="eastAsia" w:cs="Times New Roman" w:asciiTheme="minorEastAsia" w:hAnsiTheme="minorEastAsia" w:eastAsiaTheme="minorEastAsia"/>
          <w:bCs/>
        </w:rPr>
        <w:t>（承诺期应补偿金额小于</w:t>
      </w:r>
      <w:r>
        <w:rPr>
          <w:rFonts w:cs="Times New Roman" w:asciiTheme="minorEastAsia" w:hAnsiTheme="minorEastAsia" w:eastAsiaTheme="minorEastAsia"/>
          <w:bCs/>
        </w:rPr>
        <w:t>0</w:t>
      </w:r>
      <w:r>
        <w:rPr>
          <w:rFonts w:hint="eastAsia" w:cs="Times New Roman" w:asciiTheme="minorEastAsia" w:hAnsiTheme="minorEastAsia" w:eastAsiaTheme="minorEastAsia"/>
          <w:bCs/>
        </w:rPr>
        <w:t>时，按</w:t>
      </w:r>
      <w:r>
        <w:rPr>
          <w:rFonts w:cs="Times New Roman" w:asciiTheme="minorEastAsia" w:hAnsiTheme="minorEastAsia" w:eastAsiaTheme="minorEastAsia"/>
          <w:bCs/>
        </w:rPr>
        <w:t>0</w:t>
      </w:r>
      <w:r>
        <w:rPr>
          <w:rFonts w:hint="eastAsia" w:cs="Times New Roman" w:asciiTheme="minorEastAsia" w:hAnsiTheme="minorEastAsia" w:eastAsiaTheme="minorEastAsia"/>
          <w:bCs/>
        </w:rPr>
        <w:t>取值）。</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5</w:t>
      </w:r>
      <w:r>
        <w:rPr>
          <w:rFonts w:hint="eastAsia" w:cs="Times New Roman" w:asciiTheme="minorEastAsia" w:hAnsiTheme="minorEastAsia" w:eastAsiaTheme="minorEastAsia"/>
          <w:bCs/>
        </w:rPr>
        <w:t>.就按照上述方式确认的承诺期应补偿金额，股东方各自应承担的金额如下：</w:t>
      </w:r>
    </w:p>
    <w:p>
      <w:pPr>
        <w:pStyle w:val="39"/>
        <w:spacing w:line="520" w:lineRule="exact"/>
        <w:jc w:val="both"/>
        <w:rPr>
          <w:rFonts w:hint="eastAsia"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1</w:t>
      </w:r>
      <w:r>
        <w:rPr>
          <w:rFonts w:hint="eastAsia" w:cs="Times New Roman" w:asciiTheme="minorEastAsia" w:hAnsiTheme="minorEastAsia" w:eastAsiaTheme="minorEastAsia"/>
          <w:bCs/>
        </w:rPr>
        <w:t>）淄矿集团承担的补偿金额</w:t>
      </w:r>
      <w:r>
        <w:rPr>
          <w:rFonts w:cs="Times New Roman" w:asciiTheme="minorEastAsia" w:hAnsiTheme="minorEastAsia" w:eastAsiaTheme="minorEastAsia"/>
          <w:bCs/>
        </w:rPr>
        <w:t>=</w:t>
      </w:r>
      <w:r>
        <w:rPr>
          <w:rFonts w:hint="eastAsia" w:cs="Times New Roman" w:asciiTheme="minorEastAsia" w:hAnsiTheme="minorEastAsia" w:eastAsiaTheme="minorEastAsia"/>
          <w:bCs/>
        </w:rPr>
        <w:t>（淄矿集团对应转让价款</w:t>
      </w:r>
      <w:r>
        <w:rPr>
          <w:rFonts w:cs="Times New Roman" w:asciiTheme="minorEastAsia" w:hAnsiTheme="minorEastAsia" w:eastAsiaTheme="minorEastAsia"/>
          <w:bCs/>
        </w:rPr>
        <w:t>+</w:t>
      </w:r>
      <w:r>
        <w:rPr>
          <w:rFonts w:hint="eastAsia" w:cs="Times New Roman" w:asciiTheme="minorEastAsia" w:hAnsiTheme="minorEastAsia" w:eastAsiaTheme="minorEastAsia"/>
          <w:bCs/>
        </w:rPr>
        <w:t>增资价款）÷《股权收购及增资协议》项下的本次交易总价款</w:t>
      </w:r>
      <w:r>
        <w:rPr>
          <w:rFonts w:cs="Times New Roman" w:asciiTheme="minorEastAsia" w:hAnsiTheme="minorEastAsia" w:eastAsiaTheme="minorEastAsia"/>
          <w:bCs/>
        </w:rPr>
        <w:t>×</w:t>
      </w:r>
      <w:r>
        <w:rPr>
          <w:rFonts w:hint="eastAsia" w:cs="Times New Roman" w:asciiTheme="minorEastAsia" w:hAnsiTheme="minorEastAsia" w:eastAsiaTheme="minorEastAsia"/>
          <w:bCs/>
        </w:rPr>
        <w:t>承诺期应补偿金额。</w:t>
      </w:r>
    </w:p>
    <w:p>
      <w:pPr>
        <w:pStyle w:val="39"/>
        <w:spacing w:line="520" w:lineRule="exact"/>
        <w:jc w:val="both"/>
        <w:rPr>
          <w:rFonts w:hint="eastAsia" w:asciiTheme="minorEastAsia" w:hAnsiTheme="minorEastAsia" w:eastAsiaTheme="minorEastAsia"/>
          <w:bCs/>
        </w:rPr>
      </w:pPr>
      <w:r>
        <w:rPr>
          <w:rFonts w:hint="eastAsia" w:cs="Times New Roman" w:asciiTheme="minorEastAsia" w:hAnsiTheme="minorEastAsia" w:eastAsiaTheme="minorEastAsia"/>
          <w:bCs/>
        </w:rPr>
        <w:t>（</w:t>
      </w:r>
      <w:r>
        <w:rPr>
          <w:rFonts w:cs="Times New Roman" w:asciiTheme="minorEastAsia" w:hAnsiTheme="minorEastAsia" w:eastAsiaTheme="minorEastAsia"/>
          <w:bCs/>
        </w:rPr>
        <w:t>2</w:t>
      </w:r>
      <w:r>
        <w:rPr>
          <w:rFonts w:hint="eastAsia" w:cs="Times New Roman" w:asciiTheme="minorEastAsia" w:hAnsiTheme="minorEastAsia" w:eastAsiaTheme="minorEastAsia"/>
          <w:bCs/>
        </w:rPr>
        <w:t>）龙矿集团</w:t>
      </w:r>
      <w:r>
        <w:rPr>
          <w:rFonts w:cs="Times New Roman" w:asciiTheme="minorEastAsia" w:hAnsiTheme="minorEastAsia" w:eastAsiaTheme="minorEastAsia"/>
          <w:bCs/>
        </w:rPr>
        <w:t>、</w:t>
      </w:r>
      <w:r>
        <w:rPr>
          <w:rFonts w:hint="eastAsia" w:cs="Times New Roman" w:asciiTheme="minorEastAsia" w:hAnsiTheme="minorEastAsia" w:eastAsiaTheme="minorEastAsia"/>
          <w:bCs/>
        </w:rPr>
        <w:t>新矿集团</w:t>
      </w:r>
      <w:r>
        <w:rPr>
          <w:rFonts w:cs="Times New Roman" w:asciiTheme="minorEastAsia" w:hAnsiTheme="minorEastAsia" w:eastAsiaTheme="minorEastAsia"/>
          <w:bCs/>
        </w:rPr>
        <w:t>及</w:t>
      </w:r>
      <w:r>
        <w:rPr>
          <w:rFonts w:hint="eastAsia" w:cs="Times New Roman" w:asciiTheme="minorEastAsia" w:hAnsiTheme="minorEastAsia" w:eastAsiaTheme="minorEastAsia"/>
          <w:bCs/>
        </w:rPr>
        <w:t>肥城煤业承担的补偿金额=各自对应转让价款÷《股权收购及增资协议》项下的本次交易总价款×承诺期应补偿金额。</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6</w:t>
      </w:r>
      <w:r>
        <w:rPr>
          <w:rFonts w:hint="eastAsia" w:cs="Times New Roman" w:asciiTheme="minorEastAsia" w:hAnsiTheme="minorEastAsia" w:eastAsiaTheme="minorEastAsia"/>
          <w:bCs/>
        </w:rPr>
        <w:t>.如承诺期内《股权收购及增资协议》被解除，则股东方无需继续履行《业绩补偿承诺函》，如承诺期届满后《股权收购及增资协议》被解除，则兖矿能源应当在《股权收购及增资协议》解除之日起</w:t>
      </w:r>
      <w:r>
        <w:rPr>
          <w:rFonts w:cs="Times New Roman" w:asciiTheme="minorEastAsia" w:hAnsiTheme="minorEastAsia" w:eastAsiaTheme="minorEastAsia"/>
          <w:bCs/>
        </w:rPr>
        <w:t>30</w:t>
      </w:r>
      <w:r>
        <w:rPr>
          <w:rFonts w:hint="eastAsia" w:cs="Times New Roman" w:asciiTheme="minorEastAsia" w:hAnsiTheme="minorEastAsia" w:eastAsiaTheme="minorEastAsia"/>
          <w:bCs/>
        </w:rPr>
        <w:t>日内向股东方返还已经支付的承诺期业绩补偿款项。</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7</w:t>
      </w:r>
      <w:r>
        <w:rPr>
          <w:rFonts w:hint="eastAsia" w:cs="Times New Roman" w:asciiTheme="minorEastAsia" w:hAnsiTheme="minorEastAsia" w:eastAsiaTheme="minorEastAsia"/>
          <w:bCs/>
        </w:rPr>
        <w:t>.股东方承诺将于目标公司的专项审计报告及专项评估报告出具后且在接到兖矿能源通知明确承诺期需补偿的具体金额之后的</w:t>
      </w:r>
      <w:r>
        <w:rPr>
          <w:rFonts w:cs="Times New Roman" w:asciiTheme="minorEastAsia" w:hAnsiTheme="minorEastAsia" w:eastAsiaTheme="minorEastAsia"/>
          <w:bCs/>
        </w:rPr>
        <w:t>30</w:t>
      </w:r>
      <w:r>
        <w:rPr>
          <w:rFonts w:hint="eastAsia" w:cs="Times New Roman" w:asciiTheme="minorEastAsia" w:hAnsiTheme="minorEastAsia" w:eastAsiaTheme="minorEastAsia"/>
          <w:bCs/>
        </w:rPr>
        <w:t>日内履行全部补偿义务。</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8</w:t>
      </w:r>
      <w:r>
        <w:rPr>
          <w:rFonts w:hint="eastAsia" w:cs="Times New Roman" w:asciiTheme="minorEastAsia" w:hAnsiTheme="minorEastAsia" w:eastAsiaTheme="minorEastAsia"/>
          <w:bCs/>
        </w:rPr>
        <w:t>.如承诺期内由于股权转让、增资或其他原因，导致为本次交易之目的所出具的中兴财光华审专字（</w:t>
      </w:r>
      <w:r>
        <w:rPr>
          <w:rFonts w:cs="Times New Roman" w:asciiTheme="minorEastAsia" w:hAnsiTheme="minorEastAsia" w:eastAsiaTheme="minorEastAsia"/>
          <w:bCs/>
        </w:rPr>
        <w:t>2025</w:t>
      </w:r>
      <w:r>
        <w:rPr>
          <w:rFonts w:hint="eastAsia" w:cs="Times New Roman" w:asciiTheme="minorEastAsia" w:hAnsiTheme="minorEastAsia" w:eastAsiaTheme="minorEastAsia"/>
          <w:bCs/>
        </w:rPr>
        <w:t>）第</w:t>
      </w:r>
      <w:r>
        <w:rPr>
          <w:rFonts w:cs="Times New Roman" w:asciiTheme="minorEastAsia" w:hAnsiTheme="minorEastAsia" w:eastAsiaTheme="minorEastAsia"/>
          <w:bCs/>
        </w:rPr>
        <w:t>31602</w:t>
      </w:r>
      <w:r>
        <w:rPr>
          <w:rFonts w:hint="eastAsia" w:cs="Times New Roman" w:asciiTheme="minorEastAsia" w:hAnsiTheme="minorEastAsia" w:eastAsiaTheme="minorEastAsia"/>
          <w:bCs/>
        </w:rPr>
        <w:t>8号《山东能源集团西北矿业有限公司审计报告》所载的目标公司合并报表子公司范围发生变化或者西北矿业不再持有山东康格能源科技有限公司股权，则自该年度起（含该年度）承诺净利润数和实现净利润数在股东方与兖矿能源协商一致后可以予以调整。</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9.</w:t>
      </w:r>
      <w:r>
        <w:rPr>
          <w:rFonts w:hint="eastAsia" w:cs="Times New Roman" w:asciiTheme="minorEastAsia" w:hAnsiTheme="minorEastAsia" w:eastAsiaTheme="minorEastAsia"/>
          <w:bCs/>
        </w:rPr>
        <w:t>股东方合计就《业绩补偿承诺函》所承担的业绩补偿金额及基于《矿业权相关事项承诺函》所承担的补偿金额不超过《股权收购及增资协议》项下的本次交易总价款。</w:t>
      </w:r>
    </w:p>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bookmarkStart w:id="13" w:name="_Toc193762497"/>
      <w:bookmarkEnd w:id="13"/>
      <w:bookmarkStart w:id="14" w:name="_Toc193762518"/>
      <w:bookmarkEnd w:id="14"/>
      <w:bookmarkStart w:id="15" w:name="_Toc193759731"/>
      <w:bookmarkEnd w:id="15"/>
      <w:bookmarkStart w:id="16" w:name="_Toc193759633"/>
      <w:bookmarkEnd w:id="16"/>
      <w:bookmarkStart w:id="17" w:name="_Toc193759543"/>
      <w:bookmarkEnd w:id="17"/>
      <w:bookmarkStart w:id="18" w:name="_Toc193759560"/>
      <w:bookmarkEnd w:id="18"/>
      <w:bookmarkStart w:id="19" w:name="_Toc193762187"/>
      <w:bookmarkEnd w:id="19"/>
      <w:bookmarkStart w:id="20" w:name="_Toc193759857"/>
      <w:bookmarkEnd w:id="20"/>
      <w:bookmarkStart w:id="21" w:name="_Toc193759636"/>
      <w:bookmarkEnd w:id="21"/>
      <w:bookmarkStart w:id="22" w:name="_Toc118198276"/>
      <w:bookmarkEnd w:id="22"/>
      <w:bookmarkStart w:id="23" w:name="_Toc193759833"/>
      <w:bookmarkEnd w:id="23"/>
      <w:bookmarkStart w:id="24" w:name="_Toc193762519"/>
      <w:bookmarkEnd w:id="24"/>
      <w:bookmarkStart w:id="25" w:name="_Toc193759542"/>
      <w:bookmarkEnd w:id="25"/>
      <w:bookmarkStart w:id="26" w:name="_Toc193759540"/>
      <w:bookmarkEnd w:id="26"/>
      <w:bookmarkStart w:id="27" w:name="_Toc193762495"/>
      <w:bookmarkEnd w:id="27"/>
      <w:bookmarkStart w:id="28" w:name="_Toc193759836"/>
      <w:bookmarkEnd w:id="28"/>
      <w:bookmarkStart w:id="29" w:name="_Toc193759635"/>
      <w:bookmarkEnd w:id="29"/>
      <w:bookmarkStart w:id="30" w:name="_Toc118198275"/>
      <w:bookmarkEnd w:id="30"/>
      <w:bookmarkStart w:id="31" w:name="_Toc193759563"/>
      <w:bookmarkEnd w:id="31"/>
      <w:bookmarkStart w:id="32" w:name="_Toc193762186"/>
      <w:bookmarkEnd w:id="32"/>
      <w:bookmarkStart w:id="33" w:name="_Toc193762207"/>
      <w:bookmarkEnd w:id="33"/>
      <w:bookmarkStart w:id="34" w:name="_Toc193762190"/>
      <w:bookmarkEnd w:id="34"/>
      <w:bookmarkStart w:id="35" w:name="_Toc193759631"/>
      <w:bookmarkEnd w:id="35"/>
      <w:bookmarkStart w:id="36" w:name="_Toc193759837"/>
      <w:bookmarkEnd w:id="36"/>
      <w:bookmarkStart w:id="37" w:name="_Toc118198281"/>
      <w:bookmarkEnd w:id="37"/>
      <w:bookmarkStart w:id="38" w:name="_Toc193759838"/>
      <w:bookmarkEnd w:id="38"/>
      <w:bookmarkStart w:id="39" w:name="_Toc193759729"/>
      <w:bookmarkEnd w:id="39"/>
      <w:bookmarkStart w:id="40" w:name="_Toc193762188"/>
      <w:bookmarkEnd w:id="40"/>
      <w:bookmarkStart w:id="41" w:name="_Toc193762516"/>
      <w:bookmarkEnd w:id="41"/>
      <w:bookmarkStart w:id="42" w:name="_Toc118198277"/>
      <w:bookmarkEnd w:id="42"/>
      <w:bookmarkStart w:id="43" w:name="_Toc193762499"/>
      <w:bookmarkEnd w:id="43"/>
      <w:bookmarkStart w:id="44" w:name="_Toc193762498"/>
      <w:bookmarkEnd w:id="44"/>
      <w:bookmarkStart w:id="45" w:name="_Toc193762496"/>
      <w:bookmarkEnd w:id="45"/>
      <w:bookmarkStart w:id="46" w:name="_Toc193759730"/>
      <w:bookmarkEnd w:id="46"/>
      <w:bookmarkStart w:id="47" w:name="_Toc193759652"/>
      <w:bookmarkEnd w:id="47"/>
      <w:bookmarkStart w:id="48" w:name="_Toc193762191"/>
      <w:bookmarkEnd w:id="48"/>
      <w:bookmarkStart w:id="49" w:name="_Toc193759562"/>
      <w:bookmarkEnd w:id="49"/>
      <w:bookmarkStart w:id="50" w:name="_Toc193759733"/>
      <w:bookmarkEnd w:id="50"/>
      <w:bookmarkStart w:id="51" w:name="_Toc118198282"/>
      <w:bookmarkEnd w:id="51"/>
      <w:bookmarkStart w:id="52" w:name="_Toc193762189"/>
      <w:bookmarkEnd w:id="52"/>
      <w:bookmarkStart w:id="53" w:name="_Toc193759753"/>
      <w:bookmarkEnd w:id="53"/>
      <w:bookmarkStart w:id="54" w:name="_Toc193759541"/>
      <w:bookmarkEnd w:id="54"/>
      <w:bookmarkStart w:id="55" w:name="_Toc193762209"/>
      <w:bookmarkEnd w:id="55"/>
      <w:bookmarkStart w:id="56" w:name="_Toc193759854"/>
      <w:bookmarkEnd w:id="56"/>
      <w:bookmarkStart w:id="57" w:name="_Toc193759734"/>
      <w:bookmarkEnd w:id="57"/>
      <w:bookmarkStart w:id="58" w:name="_Toc193762500"/>
      <w:bookmarkEnd w:id="58"/>
      <w:bookmarkStart w:id="59" w:name="_Toc193759732"/>
      <w:bookmarkEnd w:id="59"/>
      <w:bookmarkStart w:id="60" w:name="_Toc193759856"/>
      <w:bookmarkEnd w:id="60"/>
      <w:bookmarkStart w:id="61" w:name="_Toc193759752"/>
      <w:bookmarkEnd w:id="61"/>
      <w:bookmarkStart w:id="62" w:name="_Toc193759634"/>
      <w:bookmarkEnd w:id="62"/>
      <w:bookmarkStart w:id="63" w:name="_Toc118198279"/>
      <w:bookmarkEnd w:id="63"/>
      <w:bookmarkStart w:id="64" w:name="_Toc193759750"/>
      <w:bookmarkEnd w:id="64"/>
      <w:bookmarkStart w:id="65" w:name="_Toc193759655"/>
      <w:bookmarkEnd w:id="65"/>
      <w:bookmarkStart w:id="66" w:name="_Toc193759632"/>
      <w:bookmarkEnd w:id="66"/>
      <w:bookmarkStart w:id="67" w:name="_Toc193762210"/>
      <w:bookmarkEnd w:id="67"/>
      <w:bookmarkStart w:id="68" w:name="_Toc193759654"/>
      <w:bookmarkEnd w:id="68"/>
      <w:bookmarkStart w:id="69" w:name="_Toc118198278"/>
      <w:bookmarkEnd w:id="69"/>
      <w:bookmarkStart w:id="70" w:name="_Toc193759544"/>
      <w:bookmarkEnd w:id="70"/>
      <w:bookmarkStart w:id="71" w:name="_Toc118198280"/>
      <w:bookmarkEnd w:id="71"/>
      <w:bookmarkStart w:id="72" w:name="_Toc193759539"/>
      <w:bookmarkEnd w:id="72"/>
      <w:bookmarkStart w:id="73" w:name="_Toc193759835"/>
      <w:bookmarkEnd w:id="73"/>
      <w:bookmarkStart w:id="74" w:name="_Toc193759834"/>
      <w:bookmarkEnd w:id="74"/>
      <w:r>
        <w:rPr>
          <w:rFonts w:ascii="黑体" w:hAnsi="黑体" w:eastAsia="黑体" w:cs="Times New Roman"/>
          <w:bCs/>
          <w:color w:val="000000"/>
          <w:sz w:val="28"/>
          <w:szCs w:val="28"/>
        </w:rPr>
        <w:t>六、关联交易对公司的影响</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（一）关联交易的必要性</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w:t>
      </w:r>
      <w:r>
        <w:rPr>
          <w:rFonts w:cs="Times New Roman" w:asciiTheme="minorEastAsia" w:hAnsiTheme="minorEastAsia" w:eastAsiaTheme="minorEastAsia"/>
          <w:b/>
        </w:rPr>
        <w:t>减少同业竞争，促进规范运营</w:t>
      </w:r>
    </w:p>
    <w:p>
      <w:pPr>
        <w:pStyle w:val="39"/>
        <w:spacing w:line="520" w:lineRule="exact"/>
        <w:jc w:val="both"/>
        <w:rPr>
          <w:rFonts w:hint="eastAsia" w:cs="Times New Roman" w:asciiTheme="minorEastAsia" w:hAnsiTheme="minorEastAsia" w:eastAsiaTheme="minorEastAsia"/>
          <w:bCs/>
        </w:rPr>
      </w:pPr>
      <w:r>
        <w:rPr>
          <w:rFonts w:cs="Times New Roman" w:asciiTheme="minorEastAsia" w:hAnsiTheme="minorEastAsia" w:eastAsiaTheme="minorEastAsia"/>
          <w:bCs/>
        </w:rPr>
        <w:t>西北矿业是</w:t>
      </w:r>
      <w:r>
        <w:rPr>
          <w:rFonts w:hint="eastAsia" w:cs="Times New Roman" w:asciiTheme="minorEastAsia" w:hAnsiTheme="minorEastAsia" w:eastAsiaTheme="minorEastAsia"/>
          <w:bCs/>
        </w:rPr>
        <w:t>公司控股股东山能集团</w:t>
      </w:r>
      <w:r>
        <w:rPr>
          <w:rFonts w:cs="Times New Roman" w:asciiTheme="minorEastAsia" w:hAnsiTheme="minorEastAsia" w:eastAsiaTheme="minorEastAsia"/>
          <w:bCs/>
        </w:rPr>
        <w:t>在西部的区域总部，承担陕西、甘肃、山西、内蒙古部分区域的煤炭业务运营等</w:t>
      </w:r>
      <w:r>
        <w:rPr>
          <w:rFonts w:hint="eastAsia" w:cs="Times New Roman" w:asciiTheme="minorEastAsia" w:hAnsiTheme="minorEastAsia" w:eastAsiaTheme="minorEastAsia"/>
          <w:bCs/>
        </w:rPr>
        <w:t>职能。</w:t>
      </w:r>
      <w:r>
        <w:rPr>
          <w:rFonts w:cs="Times New Roman" w:asciiTheme="minorEastAsia" w:hAnsiTheme="minorEastAsia" w:eastAsiaTheme="minorEastAsia"/>
          <w:bCs/>
        </w:rPr>
        <w:t>西北矿业股权、矿</w:t>
      </w:r>
      <w:r>
        <w:rPr>
          <w:rFonts w:hint="eastAsia" w:cs="Times New Roman" w:asciiTheme="minorEastAsia" w:hAnsiTheme="minorEastAsia" w:eastAsiaTheme="minorEastAsia"/>
          <w:bCs/>
        </w:rPr>
        <w:t>业</w:t>
      </w:r>
      <w:r>
        <w:rPr>
          <w:rFonts w:cs="Times New Roman" w:asciiTheme="minorEastAsia" w:hAnsiTheme="minorEastAsia" w:eastAsiaTheme="minorEastAsia"/>
          <w:bCs/>
        </w:rPr>
        <w:t>权资产权属清晰，运营规范。</w:t>
      </w:r>
      <w:r>
        <w:rPr>
          <w:rFonts w:hint="eastAsia" w:cs="Times New Roman" w:asciiTheme="minorEastAsia" w:hAnsiTheme="minorEastAsia" w:eastAsiaTheme="minorEastAsia"/>
          <w:bCs/>
        </w:rPr>
        <w:t>通过本次交易进行煤炭资产注入，有利于减少公司与山能集团之间的同业竞争，促进规范运营。</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w:t>
      </w:r>
      <w:r>
        <w:rPr>
          <w:rFonts w:cs="Times New Roman" w:asciiTheme="minorEastAsia" w:hAnsiTheme="minorEastAsia" w:eastAsiaTheme="minorEastAsia"/>
          <w:b/>
        </w:rPr>
        <w:t>增强盈利能力，提升股东回报</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本次交易拟注入资产为山能集团下属优质资产，交易完成后，公司的盈利能力将得到显著增强，有利于进一步提升股东长期回报。</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3</w:t>
      </w:r>
      <w:r>
        <w:rPr>
          <w:rFonts w:hint="eastAsia" w:cs="Times New Roman" w:asciiTheme="minorEastAsia" w:hAnsiTheme="minorEastAsia" w:eastAsiaTheme="minorEastAsia"/>
          <w:b/>
        </w:rPr>
        <w:t>.</w:t>
      </w:r>
      <w:r>
        <w:rPr>
          <w:rFonts w:cs="Times New Roman" w:asciiTheme="minorEastAsia" w:hAnsiTheme="minorEastAsia" w:eastAsiaTheme="minorEastAsia"/>
          <w:b/>
        </w:rPr>
        <w:t>增厚资源储备，践行发展战略</w:t>
      </w:r>
    </w:p>
    <w:p>
      <w:pPr>
        <w:pStyle w:val="39"/>
        <w:spacing w:line="520" w:lineRule="exact"/>
        <w:jc w:val="both"/>
        <w:rPr>
          <w:rFonts w:hint="eastAsia" w:cs="Times New Roman" w:asciiTheme="minorEastAsia" w:hAnsiTheme="minorEastAsia" w:eastAsiaTheme="minorEastAsia"/>
          <w:bCs/>
        </w:rPr>
      </w:pPr>
      <w:r>
        <w:rPr>
          <w:rFonts w:hint="eastAsia" w:cs="Times New Roman" w:asciiTheme="minorEastAsia" w:hAnsiTheme="minorEastAsia" w:eastAsiaTheme="minorEastAsia"/>
          <w:bCs/>
        </w:rPr>
        <w:t>本次交易是落实公司发展战略的重要举措。通过对山能集团优质煤炭资源的整合，有利于进一步增厚公司在陕西、甘肃、山西、内蒙古等西北地区的煤炭资源储备，做大做强矿业板块，增强核心竞争力。本次交易拟收购的业务范围还包括部分煤化工、矿井专业化、选煤厂运营等煤炭相关业务，助力上市公司主业发展。</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（二）本次交易对公司的财务状况</w:t>
      </w:r>
      <w:r>
        <w:rPr>
          <w:rFonts w:hint="eastAsia" w:ascii="楷体" w:hAnsi="楷体" w:eastAsia="楷体" w:cs="Times New Roman"/>
          <w:b/>
          <w:bCs/>
          <w:sz w:val="28"/>
          <w:szCs w:val="28"/>
        </w:rPr>
        <w:t>、业务情况等</w:t>
      </w:r>
      <w:r>
        <w:rPr>
          <w:rFonts w:ascii="楷体" w:hAnsi="楷体" w:eastAsia="楷体" w:cs="Times New Roman"/>
          <w:b/>
          <w:bCs/>
          <w:sz w:val="28"/>
          <w:szCs w:val="28"/>
        </w:rPr>
        <w:t>的影响</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本次交易完成后，公司将取得西</w:t>
      </w:r>
      <w:r>
        <w:rPr>
          <w:rFonts w:hint="eastAsia" w:cs="Times New Roman" w:asciiTheme="minorEastAsia" w:hAnsiTheme="minorEastAsia" w:eastAsiaTheme="minorEastAsia"/>
        </w:rPr>
        <w:t>北</w:t>
      </w:r>
      <w:r>
        <w:rPr>
          <w:rFonts w:cs="Times New Roman" w:asciiTheme="minorEastAsia" w:hAnsiTheme="minorEastAsia" w:eastAsiaTheme="minorEastAsia"/>
        </w:rPr>
        <w:t>矿业</w:t>
      </w:r>
      <w:r>
        <w:rPr>
          <w:rFonts w:hint="eastAsia" w:cs="Times New Roman" w:asciiTheme="minorEastAsia" w:hAnsiTheme="minorEastAsia" w:eastAsiaTheme="minorEastAsia"/>
        </w:rPr>
        <w:t>51%</w:t>
      </w:r>
      <w:r>
        <w:rPr>
          <w:rFonts w:cs="Times New Roman" w:asciiTheme="minorEastAsia" w:hAnsiTheme="minorEastAsia" w:eastAsiaTheme="minorEastAsia"/>
        </w:rPr>
        <w:t>股权，按照《企业会计准则第20号——企业合并》的相关规定，西</w:t>
      </w:r>
      <w:r>
        <w:rPr>
          <w:rFonts w:hint="eastAsia" w:cs="Times New Roman" w:asciiTheme="minorEastAsia" w:hAnsiTheme="minorEastAsia" w:eastAsiaTheme="minorEastAsia"/>
        </w:rPr>
        <w:t>北</w:t>
      </w:r>
      <w:r>
        <w:rPr>
          <w:rFonts w:cs="Times New Roman" w:asciiTheme="minorEastAsia" w:hAnsiTheme="minorEastAsia" w:eastAsiaTheme="minorEastAsia"/>
        </w:rPr>
        <w:t>矿业将纳入上市公司合并财务报表范围，且为同一控制下的企业合并。本次交易对上市公司的财务状况和业务情况的影响如下：</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w:t>
      </w:r>
      <w:r>
        <w:rPr>
          <w:rFonts w:cs="Times New Roman" w:asciiTheme="minorEastAsia" w:hAnsiTheme="minorEastAsia" w:eastAsiaTheme="minorEastAsia"/>
          <w:b/>
        </w:rPr>
        <w:t>对上市公司财务状况的影响</w:t>
      </w:r>
    </w:p>
    <w:p>
      <w:pPr>
        <w:pStyle w:val="39"/>
        <w:spacing w:line="520" w:lineRule="exact"/>
        <w:jc w:val="both"/>
        <w:rPr>
          <w:rFonts w:hint="eastAsia" w:cs="Times New Roman" w:asciiTheme="minorEastAsia" w:hAnsiTheme="minorEastAsia" w:eastAsiaTheme="minorEastAsia"/>
        </w:rPr>
        <w:sectPr>
          <w:footerReference r:id="rId7" w:type="default"/>
          <w:pgSz w:w="11906" w:h="16838"/>
          <w:pgMar w:top="1440" w:right="1800" w:bottom="1440" w:left="1800" w:header="851" w:footer="992" w:gutter="0"/>
          <w:cols w:space="720" w:num="1"/>
          <w:docGrid w:type="lines" w:linePitch="312" w:charSpace="0"/>
        </w:sectPr>
      </w:pPr>
      <w:r>
        <w:rPr>
          <w:rFonts w:hint="eastAsia" w:cs="Times New Roman" w:asciiTheme="minorEastAsia" w:hAnsiTheme="minorEastAsia" w:eastAsiaTheme="minorEastAsia"/>
        </w:rPr>
        <w:t>本次交易完成后，上市公司的盈利能力将得到显著增强。目标公司2023年营业收入、合并口径净利润和归属于母公司股东的净利润数据分别为159.18亿元、22.66亿元、14.20亿元，本次交易完成后，将</w:t>
      </w:r>
      <w:r>
        <w:rPr>
          <w:rFonts w:cs="Times New Roman" w:asciiTheme="minorEastAsia" w:hAnsiTheme="minorEastAsia" w:eastAsiaTheme="minorEastAsia"/>
        </w:rPr>
        <w:t>有利于提升上市公司经营业绩</w:t>
      </w:r>
      <w:r>
        <w:rPr>
          <w:rFonts w:hint="eastAsia" w:cs="Times New Roman" w:asciiTheme="minorEastAsia" w:hAnsiTheme="minorEastAsia" w:eastAsiaTheme="minorEastAsia"/>
        </w:rPr>
        <w:t>，其中提升上市公司2023年度调整后营业收入、合并口径净利润和归属于母公司股东的净利润的比例分别为10.61%、8.34%和3.60%。目标公司2024年1-11月营业收入、合并口径净利润和归属于母公司股东的净利润数据</w:t>
      </w:r>
      <w:r>
        <w:rPr>
          <w:rFonts w:cs="Times New Roman" w:asciiTheme="minorEastAsia" w:hAnsiTheme="minorEastAsia" w:eastAsiaTheme="minorEastAsia"/>
        </w:rPr>
        <w:t>分别为157.81亿元、14.74亿元、12.29亿元，</w:t>
      </w:r>
      <w:r>
        <w:rPr>
          <w:rFonts w:hint="eastAsia" w:cs="Times New Roman" w:asciiTheme="minorEastAsia" w:hAnsiTheme="minorEastAsia" w:eastAsiaTheme="minorEastAsia"/>
        </w:rPr>
        <w:t>本次交易完成后将提升上市公司2024年度营业收入、合并口径净利润和归属于母公司股东的净利润的比例分别为12.37%、7.68%和4.74%（详见下表）。</w:t>
      </w:r>
    </w:p>
    <w:p>
      <w:pPr>
        <w:keepNext/>
        <w:widowControl w:val="0"/>
        <w:adjustRightInd w:val="0"/>
        <w:snapToGrid w:val="0"/>
        <w:spacing w:before="156" w:beforeLines="50"/>
        <w:ind w:firstLine="11040" w:firstLineChars="4600"/>
        <w:jc w:val="center"/>
        <w:rPr>
          <w:rFonts w:ascii="Times New Roman" w:hAnsi="Times New Roman" w:cs="Times New Roman"/>
        </w:rPr>
      </w:pPr>
      <w:r>
        <w:rPr>
          <w:rFonts w:hint="eastAsia" w:ascii="Times New Roman" w:hAnsi="Times New Roman" w:cs="Times New Roman"/>
        </w:rPr>
        <w:t>单位：万元</w:t>
      </w:r>
    </w:p>
    <w:tbl>
      <w:tblPr>
        <w:tblStyle w:val="20"/>
        <w:tblW w:w="4698"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1184"/>
        <w:gridCol w:w="2107"/>
        <w:gridCol w:w="2197"/>
        <w:gridCol w:w="1945"/>
        <w:gridCol w:w="2024"/>
        <w:gridCol w:w="2016"/>
        <w:gridCol w:w="1787"/>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17" w:hRule="atLeast"/>
          <w:tblHeader/>
          <w:jc w:val="center"/>
        </w:trPr>
        <w:tc>
          <w:tcPr>
            <w:tcW w:w="446" w:type="pct"/>
            <w:vMerge w:val="restart"/>
            <w:tcMar>
              <w:top w:w="72" w:type="dxa"/>
              <w:left w:w="144" w:type="dxa"/>
              <w:bottom w:w="72" w:type="dxa"/>
              <w:right w:w="144" w:type="dxa"/>
            </w:tcMar>
            <w:vAlign w:val="center"/>
          </w:tcPr>
          <w:p>
            <w:pPr>
              <w:keepNext/>
              <w:widowControl w:val="0"/>
              <w:adjustRightInd w:val="0"/>
              <w:snapToGrid w:val="0"/>
              <w:jc w:val="center"/>
              <w:rPr>
                <w:rFonts w:hint="eastAsia"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项目</w:t>
            </w:r>
          </w:p>
        </w:tc>
        <w:tc>
          <w:tcPr>
            <w:tcW w:w="2355" w:type="pct"/>
            <w:gridSpan w:val="3"/>
          </w:tcPr>
          <w:p>
            <w:pPr>
              <w:keepNext/>
              <w:widowControl w:val="0"/>
              <w:adjustRightInd w:val="0"/>
              <w:snapToGrid w:val="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2023年度</w:t>
            </w:r>
          </w:p>
        </w:tc>
        <w:tc>
          <w:tcPr>
            <w:tcW w:w="2197" w:type="pct"/>
            <w:gridSpan w:val="3"/>
            <w:tcMar>
              <w:top w:w="10" w:type="dxa"/>
              <w:left w:w="10" w:type="dxa"/>
              <w:bottom w:w="0" w:type="dxa"/>
              <w:right w:w="10" w:type="dxa"/>
            </w:tcMar>
            <w:vAlign w:val="center"/>
          </w:tcPr>
          <w:p>
            <w:pPr>
              <w:keepNext/>
              <w:widowControl w:val="0"/>
              <w:adjustRightInd w:val="0"/>
              <w:snapToGrid w:val="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2024年度</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472" w:hRule="atLeast"/>
          <w:tblHeader/>
          <w:jc w:val="center"/>
        </w:trPr>
        <w:tc>
          <w:tcPr>
            <w:tcW w:w="446" w:type="pct"/>
            <w:vMerge w:val="continue"/>
            <w:tcMar>
              <w:top w:w="72" w:type="dxa"/>
              <w:left w:w="144" w:type="dxa"/>
              <w:bottom w:w="72" w:type="dxa"/>
              <w:right w:w="144" w:type="dxa"/>
            </w:tcMar>
            <w:vAlign w:val="center"/>
          </w:tcPr>
          <w:p>
            <w:pPr>
              <w:keepNext/>
              <w:widowControl w:val="0"/>
              <w:adjustRightInd w:val="0"/>
              <w:snapToGrid w:val="0"/>
              <w:jc w:val="center"/>
              <w:rPr>
                <w:rFonts w:hint="eastAsia" w:cs="Times New Roman" w:asciiTheme="minorEastAsia" w:hAnsiTheme="minorEastAsia" w:eastAsiaTheme="minorEastAsia"/>
                <w:b/>
                <w:sz w:val="21"/>
                <w:szCs w:val="21"/>
              </w:rPr>
            </w:pPr>
          </w:p>
        </w:tc>
        <w:tc>
          <w:tcPr>
            <w:tcW w:w="794" w:type="pct"/>
            <w:vAlign w:val="center"/>
          </w:tcPr>
          <w:p>
            <w:pPr>
              <w:keepNext/>
              <w:widowControl w:val="0"/>
              <w:adjustRightInd w:val="0"/>
              <w:snapToGrid w:val="0"/>
              <w:jc w:val="center"/>
              <w:rPr>
                <w:rFonts w:hint="eastAsia"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营业收入</w:t>
            </w:r>
          </w:p>
        </w:tc>
        <w:tc>
          <w:tcPr>
            <w:tcW w:w="828" w:type="pct"/>
            <w:vAlign w:val="center"/>
          </w:tcPr>
          <w:p>
            <w:pPr>
              <w:keepNext/>
              <w:widowControl w:val="0"/>
              <w:adjustRightInd w:val="0"/>
              <w:snapToGrid w:val="0"/>
              <w:jc w:val="center"/>
              <w:rPr>
                <w:rFonts w:hint="eastAsia"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净利润</w:t>
            </w:r>
          </w:p>
        </w:tc>
        <w:tc>
          <w:tcPr>
            <w:tcW w:w="731" w:type="pct"/>
            <w:vAlign w:val="center"/>
          </w:tcPr>
          <w:p>
            <w:pPr>
              <w:keepNext/>
              <w:widowControl w:val="0"/>
              <w:adjustRightInd w:val="0"/>
              <w:snapToGrid w:val="0"/>
              <w:jc w:val="center"/>
              <w:rPr>
                <w:rFonts w:hint="eastAsia"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归属于母公司股东的净利润</w:t>
            </w:r>
          </w:p>
        </w:tc>
        <w:tc>
          <w:tcPr>
            <w:tcW w:w="763" w:type="pct"/>
            <w:tcMar>
              <w:top w:w="10" w:type="dxa"/>
              <w:left w:w="10" w:type="dxa"/>
              <w:bottom w:w="0" w:type="dxa"/>
              <w:right w:w="10" w:type="dxa"/>
            </w:tcMar>
            <w:vAlign w:val="center"/>
          </w:tcPr>
          <w:p>
            <w:pPr>
              <w:keepNext/>
              <w:widowControl w:val="0"/>
              <w:adjustRightInd w:val="0"/>
              <w:snapToGrid w:val="0"/>
              <w:jc w:val="center"/>
              <w:rPr>
                <w:rFonts w:hint="eastAsia" w:cs="Times New Roman" w:asciiTheme="minorEastAsia" w:hAnsiTheme="minorEastAsia" w:eastAsiaTheme="minorEastAsia"/>
                <w:b/>
                <w:sz w:val="21"/>
                <w:szCs w:val="21"/>
              </w:rPr>
            </w:pPr>
            <w:r>
              <w:rPr>
                <w:rFonts w:hint="eastAsia" w:cs="Times New Roman" w:asciiTheme="minorEastAsia" w:hAnsiTheme="minorEastAsia" w:eastAsiaTheme="minorEastAsia"/>
                <w:b/>
                <w:bCs/>
                <w:sz w:val="21"/>
                <w:szCs w:val="21"/>
              </w:rPr>
              <w:t>营业收入</w:t>
            </w:r>
          </w:p>
        </w:tc>
        <w:tc>
          <w:tcPr>
            <w:tcW w:w="760" w:type="pct"/>
            <w:tcMar>
              <w:top w:w="10" w:type="dxa"/>
              <w:left w:w="10" w:type="dxa"/>
              <w:bottom w:w="0" w:type="dxa"/>
              <w:right w:w="10" w:type="dxa"/>
            </w:tcMar>
            <w:vAlign w:val="center"/>
          </w:tcPr>
          <w:p>
            <w:pPr>
              <w:keepNext/>
              <w:widowControl w:val="0"/>
              <w:adjustRightInd w:val="0"/>
              <w:snapToGrid w:val="0"/>
              <w:jc w:val="center"/>
              <w:rPr>
                <w:rFonts w:hint="eastAsia" w:cs="Times New Roman" w:asciiTheme="minorEastAsia" w:hAnsiTheme="minorEastAsia" w:eastAsiaTheme="minorEastAsia"/>
                <w:b/>
                <w:sz w:val="21"/>
                <w:szCs w:val="21"/>
              </w:rPr>
            </w:pPr>
            <w:r>
              <w:rPr>
                <w:rFonts w:hint="eastAsia" w:cs="Times New Roman" w:asciiTheme="minorEastAsia" w:hAnsiTheme="minorEastAsia" w:eastAsiaTheme="minorEastAsia"/>
                <w:b/>
                <w:bCs/>
                <w:sz w:val="21"/>
                <w:szCs w:val="21"/>
              </w:rPr>
              <w:t>净利润</w:t>
            </w:r>
          </w:p>
        </w:tc>
        <w:tc>
          <w:tcPr>
            <w:tcW w:w="673" w:type="pct"/>
            <w:tcMar>
              <w:top w:w="72" w:type="dxa"/>
              <w:left w:w="144" w:type="dxa"/>
              <w:bottom w:w="72" w:type="dxa"/>
              <w:right w:w="144" w:type="dxa"/>
            </w:tcMar>
            <w:vAlign w:val="center"/>
          </w:tcPr>
          <w:p>
            <w:pPr>
              <w:keepNext/>
              <w:widowControl w:val="0"/>
              <w:adjustRightInd w:val="0"/>
              <w:snapToGrid w:val="0"/>
              <w:jc w:val="center"/>
              <w:rPr>
                <w:rFonts w:hint="eastAsia" w:cs="Times New Roman" w:asciiTheme="minorEastAsia" w:hAnsiTheme="minorEastAsia" w:eastAsiaTheme="minorEastAsia"/>
                <w:b/>
                <w:sz w:val="21"/>
                <w:szCs w:val="21"/>
              </w:rPr>
            </w:pPr>
            <w:r>
              <w:rPr>
                <w:rFonts w:hint="eastAsia" w:cs="Times New Roman" w:asciiTheme="minorEastAsia" w:hAnsiTheme="minorEastAsia" w:eastAsiaTheme="minorEastAsia"/>
                <w:b/>
                <w:bCs/>
                <w:sz w:val="21"/>
                <w:szCs w:val="21"/>
              </w:rPr>
              <w:t>归属于母公司股东的净利润</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408" w:hRule="atLeast"/>
          <w:jc w:val="center"/>
        </w:trPr>
        <w:tc>
          <w:tcPr>
            <w:tcW w:w="446" w:type="pct"/>
            <w:tcMar>
              <w:top w:w="10" w:type="dxa"/>
              <w:left w:w="10" w:type="dxa"/>
              <w:bottom w:w="0" w:type="dxa"/>
              <w:right w:w="10" w:type="dxa"/>
            </w:tcMar>
            <w:vAlign w:val="center"/>
          </w:tcPr>
          <w:p>
            <w:pPr>
              <w:widowControl w:val="0"/>
              <w:adjustRightInd w:val="0"/>
              <w:snapToGrid w:val="0"/>
              <w:jc w:val="cente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西北矿业</w:t>
            </w:r>
          </w:p>
        </w:tc>
        <w:tc>
          <w:tcPr>
            <w:tcW w:w="794" w:type="pct"/>
            <w:vAlign w:val="center"/>
          </w:tcPr>
          <w:p>
            <w:pPr>
              <w:jc w:val="right"/>
              <w:rPr>
                <w:rFonts w:hint="eastAsia" w:cs="Times New Roman"/>
                <w:color w:val="000000"/>
                <w:kern w:val="2"/>
                <w:sz w:val="21"/>
                <w:szCs w:val="21"/>
              </w:rPr>
            </w:pPr>
            <w:r>
              <w:rPr>
                <w:rFonts w:hint="eastAsia" w:cs="Times New Roman"/>
                <w:color w:val="000000"/>
                <w:kern w:val="2"/>
                <w:sz w:val="21"/>
                <w:szCs w:val="21"/>
              </w:rPr>
              <w:t>1,591,818.87</w:t>
            </w:r>
          </w:p>
        </w:tc>
        <w:tc>
          <w:tcPr>
            <w:tcW w:w="828" w:type="pct"/>
            <w:vAlign w:val="center"/>
          </w:tcPr>
          <w:p>
            <w:pPr>
              <w:jc w:val="right"/>
              <w:rPr>
                <w:rFonts w:hint="eastAsia" w:cs="Times New Roman"/>
                <w:color w:val="000000"/>
                <w:kern w:val="2"/>
                <w:sz w:val="21"/>
                <w:szCs w:val="21"/>
              </w:rPr>
            </w:pPr>
            <w:r>
              <w:rPr>
                <w:rFonts w:hint="eastAsia" w:cs="Times New Roman"/>
                <w:color w:val="000000"/>
                <w:kern w:val="2"/>
                <w:sz w:val="21"/>
                <w:szCs w:val="21"/>
              </w:rPr>
              <w:t>226,575.60</w:t>
            </w:r>
          </w:p>
        </w:tc>
        <w:tc>
          <w:tcPr>
            <w:tcW w:w="731" w:type="pct"/>
            <w:vAlign w:val="center"/>
          </w:tcPr>
          <w:p>
            <w:pPr>
              <w:jc w:val="right"/>
              <w:rPr>
                <w:rFonts w:hint="eastAsia" w:cs="Times New Roman"/>
                <w:color w:val="000000"/>
                <w:kern w:val="2"/>
                <w:sz w:val="21"/>
                <w:szCs w:val="21"/>
              </w:rPr>
            </w:pPr>
            <w:r>
              <w:rPr>
                <w:rFonts w:hint="eastAsia" w:cs="Times New Roman"/>
                <w:color w:val="000000"/>
                <w:kern w:val="2"/>
                <w:sz w:val="21"/>
                <w:szCs w:val="21"/>
              </w:rPr>
              <w:t>142,005.89</w:t>
            </w:r>
          </w:p>
        </w:tc>
        <w:tc>
          <w:tcPr>
            <w:tcW w:w="763" w:type="pct"/>
            <w:tcMar>
              <w:top w:w="15" w:type="dxa"/>
              <w:left w:w="108" w:type="dxa"/>
              <w:bottom w:w="0" w:type="dxa"/>
              <w:right w:w="108" w:type="dxa"/>
            </w:tcMar>
            <w:vAlign w:val="center"/>
          </w:tcPr>
          <w:p>
            <w:pPr>
              <w:jc w:val="right"/>
              <w:rPr>
                <w:rFonts w:hint="eastAsia" w:cs="Times New Roman"/>
                <w:color w:val="000000"/>
                <w:kern w:val="2"/>
                <w:sz w:val="21"/>
                <w:szCs w:val="21"/>
              </w:rPr>
            </w:pPr>
            <w:r>
              <w:rPr>
                <w:rFonts w:hint="eastAsia" w:cs="Times New Roman"/>
                <w:color w:val="000000"/>
                <w:kern w:val="2"/>
                <w:sz w:val="21"/>
                <w:szCs w:val="21"/>
              </w:rPr>
              <w:t>1,721,512.61</w:t>
            </w:r>
          </w:p>
        </w:tc>
        <w:tc>
          <w:tcPr>
            <w:tcW w:w="760" w:type="pct"/>
            <w:tcMar>
              <w:top w:w="15" w:type="dxa"/>
              <w:left w:w="108" w:type="dxa"/>
              <w:bottom w:w="0" w:type="dxa"/>
              <w:right w:w="108" w:type="dxa"/>
            </w:tcMar>
            <w:vAlign w:val="center"/>
          </w:tcPr>
          <w:p>
            <w:pPr>
              <w:jc w:val="right"/>
              <w:rPr>
                <w:rFonts w:hint="eastAsia" w:cs="Times New Roman"/>
                <w:color w:val="000000"/>
                <w:kern w:val="2"/>
                <w:sz w:val="21"/>
                <w:szCs w:val="21"/>
              </w:rPr>
            </w:pPr>
            <w:r>
              <w:rPr>
                <w:rFonts w:hint="eastAsia" w:cs="Times New Roman"/>
                <w:color w:val="000000"/>
                <w:kern w:val="2"/>
                <w:sz w:val="21"/>
                <w:szCs w:val="21"/>
              </w:rPr>
              <w:t>160,809.69</w:t>
            </w:r>
          </w:p>
        </w:tc>
        <w:tc>
          <w:tcPr>
            <w:tcW w:w="673" w:type="pct"/>
            <w:tcMar>
              <w:top w:w="15" w:type="dxa"/>
              <w:left w:w="108" w:type="dxa"/>
              <w:bottom w:w="0" w:type="dxa"/>
              <w:right w:w="108" w:type="dxa"/>
            </w:tcMar>
            <w:vAlign w:val="center"/>
          </w:tcPr>
          <w:p>
            <w:pPr>
              <w:jc w:val="right"/>
              <w:rPr>
                <w:rFonts w:hint="eastAsia" w:cs="Times New Roman"/>
                <w:color w:val="000000"/>
                <w:kern w:val="2"/>
                <w:sz w:val="21"/>
                <w:szCs w:val="21"/>
              </w:rPr>
            </w:pPr>
            <w:r>
              <w:rPr>
                <w:rFonts w:hint="eastAsia" w:cs="Times New Roman"/>
                <w:color w:val="000000"/>
                <w:kern w:val="2"/>
                <w:sz w:val="21"/>
                <w:szCs w:val="21"/>
              </w:rPr>
              <w:t>134,079.21</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408" w:hRule="atLeast"/>
          <w:jc w:val="center"/>
        </w:trPr>
        <w:tc>
          <w:tcPr>
            <w:tcW w:w="446" w:type="pct"/>
            <w:tcMar>
              <w:top w:w="10" w:type="dxa"/>
              <w:left w:w="10" w:type="dxa"/>
              <w:bottom w:w="0" w:type="dxa"/>
              <w:right w:w="10" w:type="dxa"/>
            </w:tcMar>
            <w:vAlign w:val="center"/>
          </w:tcPr>
          <w:p>
            <w:pPr>
              <w:widowControl w:val="0"/>
              <w:adjustRightInd w:val="0"/>
              <w:snapToGrid w:val="0"/>
              <w:jc w:val="cente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上市公司</w:t>
            </w:r>
          </w:p>
        </w:tc>
        <w:tc>
          <w:tcPr>
            <w:tcW w:w="794" w:type="pct"/>
            <w:vAlign w:val="center"/>
          </w:tcPr>
          <w:p>
            <w:pPr>
              <w:jc w:val="right"/>
              <w:rPr>
                <w:rFonts w:hint="eastAsia" w:cs="Times New Roman"/>
                <w:color w:val="000000"/>
                <w:kern w:val="2"/>
                <w:sz w:val="21"/>
                <w:szCs w:val="21"/>
              </w:rPr>
            </w:pPr>
            <w:r>
              <w:rPr>
                <w:rFonts w:hint="eastAsia" w:cs="Times New Roman"/>
                <w:color w:val="000000"/>
                <w:kern w:val="2"/>
                <w:sz w:val="21"/>
                <w:szCs w:val="21"/>
              </w:rPr>
              <w:t>15,006,793.70</w:t>
            </w:r>
          </w:p>
        </w:tc>
        <w:tc>
          <w:tcPr>
            <w:tcW w:w="828" w:type="pct"/>
            <w:vAlign w:val="center"/>
          </w:tcPr>
          <w:p>
            <w:pPr>
              <w:jc w:val="right"/>
              <w:rPr>
                <w:rFonts w:hint="eastAsia" w:cs="Times New Roman"/>
                <w:color w:val="000000"/>
                <w:kern w:val="2"/>
                <w:sz w:val="21"/>
                <w:szCs w:val="21"/>
              </w:rPr>
            </w:pPr>
            <w:r>
              <w:rPr>
                <w:rFonts w:hint="eastAsia" w:cs="Times New Roman"/>
                <w:color w:val="000000"/>
                <w:kern w:val="2"/>
                <w:sz w:val="21"/>
                <w:szCs w:val="21"/>
              </w:rPr>
              <w:t>2,715,633.50</w:t>
            </w:r>
          </w:p>
        </w:tc>
        <w:tc>
          <w:tcPr>
            <w:tcW w:w="731" w:type="pct"/>
            <w:vAlign w:val="center"/>
          </w:tcPr>
          <w:p>
            <w:pPr>
              <w:jc w:val="right"/>
              <w:rPr>
                <w:rFonts w:hint="eastAsia" w:cs="Times New Roman"/>
                <w:color w:val="000000"/>
                <w:kern w:val="2"/>
                <w:sz w:val="21"/>
                <w:szCs w:val="21"/>
              </w:rPr>
            </w:pPr>
            <w:r>
              <w:rPr>
                <w:rFonts w:hint="eastAsia" w:cs="Times New Roman"/>
                <w:color w:val="000000"/>
                <w:kern w:val="2"/>
                <w:sz w:val="21"/>
                <w:szCs w:val="21"/>
              </w:rPr>
              <w:t>2,014,394.70</w:t>
            </w:r>
          </w:p>
        </w:tc>
        <w:tc>
          <w:tcPr>
            <w:tcW w:w="763" w:type="pct"/>
            <w:tcMar>
              <w:top w:w="15" w:type="dxa"/>
              <w:left w:w="108" w:type="dxa"/>
              <w:bottom w:w="0" w:type="dxa"/>
              <w:right w:w="108" w:type="dxa"/>
            </w:tcMar>
            <w:vAlign w:val="center"/>
          </w:tcPr>
          <w:p>
            <w:pPr>
              <w:jc w:val="right"/>
              <w:rPr>
                <w:rFonts w:hint="eastAsia" w:cs="Times New Roman"/>
                <w:color w:val="000000"/>
                <w:kern w:val="2"/>
                <w:sz w:val="21"/>
                <w:szCs w:val="21"/>
              </w:rPr>
            </w:pPr>
            <w:r>
              <w:rPr>
                <w:rFonts w:hint="eastAsia" w:cs="Times New Roman"/>
                <w:color w:val="000000"/>
                <w:kern w:val="2"/>
                <w:sz w:val="21"/>
                <w:szCs w:val="21"/>
              </w:rPr>
              <w:t>13,912,443.40</w:t>
            </w:r>
          </w:p>
        </w:tc>
        <w:tc>
          <w:tcPr>
            <w:tcW w:w="760" w:type="pct"/>
            <w:tcMar>
              <w:top w:w="15" w:type="dxa"/>
              <w:left w:w="108" w:type="dxa"/>
              <w:bottom w:w="0" w:type="dxa"/>
              <w:right w:w="108" w:type="dxa"/>
            </w:tcMar>
            <w:vAlign w:val="center"/>
          </w:tcPr>
          <w:p>
            <w:pPr>
              <w:jc w:val="right"/>
              <w:rPr>
                <w:rFonts w:hint="eastAsia" w:cs="Times New Roman"/>
                <w:color w:val="000000"/>
                <w:sz w:val="21"/>
                <w:szCs w:val="21"/>
              </w:rPr>
            </w:pPr>
            <w:r>
              <w:rPr>
                <w:rFonts w:hint="eastAsia" w:cs="Times New Roman"/>
                <w:color w:val="000000"/>
                <w:kern w:val="2"/>
                <w:sz w:val="21"/>
                <w:szCs w:val="21"/>
              </w:rPr>
              <w:t>2,093,229.20</w:t>
            </w:r>
          </w:p>
        </w:tc>
        <w:tc>
          <w:tcPr>
            <w:tcW w:w="673" w:type="pct"/>
            <w:tcMar>
              <w:top w:w="15" w:type="dxa"/>
              <w:left w:w="108" w:type="dxa"/>
              <w:bottom w:w="0" w:type="dxa"/>
              <w:right w:w="108" w:type="dxa"/>
            </w:tcMar>
            <w:vAlign w:val="center"/>
          </w:tcPr>
          <w:p>
            <w:pPr>
              <w:jc w:val="right"/>
              <w:rPr>
                <w:rFonts w:hint="eastAsia" w:cs="Times New Roman"/>
                <w:color w:val="000000"/>
                <w:sz w:val="21"/>
                <w:szCs w:val="21"/>
              </w:rPr>
            </w:pPr>
            <w:r>
              <w:rPr>
                <w:rFonts w:hint="eastAsia" w:cs="Times New Roman"/>
                <w:color w:val="000000"/>
                <w:kern w:val="2"/>
                <w:sz w:val="21"/>
                <w:szCs w:val="21"/>
              </w:rPr>
              <w:t>1,442,505.10</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408" w:hRule="atLeast"/>
          <w:jc w:val="center"/>
        </w:trPr>
        <w:tc>
          <w:tcPr>
            <w:tcW w:w="446" w:type="pct"/>
            <w:tcMar>
              <w:top w:w="10" w:type="dxa"/>
              <w:left w:w="10" w:type="dxa"/>
              <w:bottom w:w="0" w:type="dxa"/>
              <w:right w:w="10" w:type="dxa"/>
            </w:tcMar>
            <w:vAlign w:val="center"/>
          </w:tcPr>
          <w:p>
            <w:pPr>
              <w:widowControl w:val="0"/>
              <w:adjustRightInd w:val="0"/>
              <w:snapToGrid w:val="0"/>
              <w:jc w:val="cente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交易完成后</w:t>
            </w:r>
          </w:p>
        </w:tc>
        <w:tc>
          <w:tcPr>
            <w:tcW w:w="794" w:type="pct"/>
            <w:vAlign w:val="center"/>
          </w:tcPr>
          <w:p>
            <w:pPr>
              <w:widowControl w:val="0"/>
              <w:adjustRightInd w:val="0"/>
              <w:snapToGrid w:val="0"/>
              <w:jc w:val="righ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16,598,612.57</w:t>
            </w:r>
          </w:p>
        </w:tc>
        <w:tc>
          <w:tcPr>
            <w:tcW w:w="828" w:type="pct"/>
            <w:vAlign w:val="center"/>
          </w:tcPr>
          <w:p>
            <w:pPr>
              <w:widowControl w:val="0"/>
              <w:adjustRightInd w:val="0"/>
              <w:snapToGrid w:val="0"/>
              <w:jc w:val="righ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2,942,209.10</w:t>
            </w:r>
          </w:p>
        </w:tc>
        <w:tc>
          <w:tcPr>
            <w:tcW w:w="731" w:type="pct"/>
            <w:vAlign w:val="center"/>
          </w:tcPr>
          <w:p>
            <w:pPr>
              <w:widowControl w:val="0"/>
              <w:adjustRightInd w:val="0"/>
              <w:snapToGrid w:val="0"/>
              <w:jc w:val="righ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2,086,817.70</w:t>
            </w:r>
          </w:p>
        </w:tc>
        <w:tc>
          <w:tcPr>
            <w:tcW w:w="763" w:type="pct"/>
            <w:tcMar>
              <w:top w:w="15" w:type="dxa"/>
              <w:left w:w="108" w:type="dxa"/>
              <w:bottom w:w="0" w:type="dxa"/>
              <w:right w:w="108" w:type="dxa"/>
            </w:tcMar>
            <w:vAlign w:val="center"/>
          </w:tcPr>
          <w:p>
            <w:pPr>
              <w:widowControl w:val="0"/>
              <w:adjustRightInd w:val="0"/>
              <w:snapToGrid w:val="0"/>
              <w:jc w:val="righ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15,633,956.01</w:t>
            </w:r>
          </w:p>
        </w:tc>
        <w:tc>
          <w:tcPr>
            <w:tcW w:w="760" w:type="pct"/>
            <w:tcMar>
              <w:top w:w="15" w:type="dxa"/>
              <w:left w:w="108" w:type="dxa"/>
              <w:bottom w:w="0" w:type="dxa"/>
              <w:right w:w="108" w:type="dxa"/>
            </w:tcMar>
            <w:vAlign w:val="center"/>
          </w:tcPr>
          <w:p>
            <w:pPr>
              <w:widowControl w:val="0"/>
              <w:adjustRightInd w:val="0"/>
              <w:snapToGrid w:val="0"/>
              <w:jc w:val="righ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2,254,038.89</w:t>
            </w:r>
          </w:p>
        </w:tc>
        <w:tc>
          <w:tcPr>
            <w:tcW w:w="673" w:type="pct"/>
            <w:tcMar>
              <w:top w:w="15" w:type="dxa"/>
              <w:left w:w="108" w:type="dxa"/>
              <w:bottom w:w="0" w:type="dxa"/>
              <w:right w:w="108" w:type="dxa"/>
            </w:tcMar>
            <w:vAlign w:val="center"/>
          </w:tcPr>
          <w:p>
            <w:pPr>
              <w:widowControl w:val="0"/>
              <w:adjustRightInd w:val="0"/>
              <w:snapToGrid w:val="0"/>
              <w:jc w:val="righ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1,510,885.50</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408" w:hRule="atLeast"/>
          <w:jc w:val="center"/>
        </w:trPr>
        <w:tc>
          <w:tcPr>
            <w:tcW w:w="446" w:type="pct"/>
            <w:tcMar>
              <w:top w:w="10" w:type="dxa"/>
              <w:left w:w="10" w:type="dxa"/>
              <w:bottom w:w="0" w:type="dxa"/>
              <w:right w:w="10" w:type="dxa"/>
            </w:tcMar>
            <w:vAlign w:val="center"/>
          </w:tcPr>
          <w:p>
            <w:pPr>
              <w:widowControl w:val="0"/>
              <w:adjustRightInd w:val="0"/>
              <w:snapToGrid w:val="0"/>
              <w:jc w:val="center"/>
              <w:rPr>
                <w:rFonts w:hint="eastAsia"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占比提升</w:t>
            </w:r>
          </w:p>
        </w:tc>
        <w:tc>
          <w:tcPr>
            <w:tcW w:w="794" w:type="pct"/>
            <w:vAlign w:val="center"/>
          </w:tcPr>
          <w:p>
            <w:pPr>
              <w:jc w:val="right"/>
              <w:rPr>
                <w:rFonts w:hint="eastAsia" w:cs="Times New Roman"/>
                <w:color w:val="000000"/>
                <w:kern w:val="2"/>
                <w:sz w:val="21"/>
                <w:szCs w:val="21"/>
              </w:rPr>
            </w:pPr>
            <w:r>
              <w:rPr>
                <w:rFonts w:hint="eastAsia" w:cs="Times New Roman"/>
                <w:color w:val="000000"/>
                <w:kern w:val="2"/>
                <w:sz w:val="21"/>
                <w:szCs w:val="21"/>
              </w:rPr>
              <w:t>10.61%</w:t>
            </w:r>
          </w:p>
        </w:tc>
        <w:tc>
          <w:tcPr>
            <w:tcW w:w="828" w:type="pct"/>
            <w:vAlign w:val="center"/>
          </w:tcPr>
          <w:p>
            <w:pPr>
              <w:jc w:val="right"/>
              <w:rPr>
                <w:rFonts w:hint="eastAsia" w:cs="Times New Roman"/>
                <w:color w:val="000000"/>
                <w:kern w:val="2"/>
                <w:sz w:val="21"/>
                <w:szCs w:val="21"/>
              </w:rPr>
            </w:pPr>
            <w:r>
              <w:rPr>
                <w:rFonts w:hint="eastAsia" w:cs="Times New Roman"/>
                <w:color w:val="000000"/>
                <w:kern w:val="2"/>
                <w:sz w:val="21"/>
                <w:szCs w:val="21"/>
              </w:rPr>
              <w:t>8.34%</w:t>
            </w:r>
          </w:p>
        </w:tc>
        <w:tc>
          <w:tcPr>
            <w:tcW w:w="731" w:type="pct"/>
            <w:vAlign w:val="center"/>
          </w:tcPr>
          <w:p>
            <w:pPr>
              <w:jc w:val="right"/>
              <w:rPr>
                <w:rFonts w:hint="eastAsia" w:cs="Times New Roman"/>
                <w:color w:val="000000"/>
                <w:kern w:val="2"/>
                <w:sz w:val="21"/>
                <w:szCs w:val="21"/>
              </w:rPr>
            </w:pPr>
            <w:r>
              <w:rPr>
                <w:rFonts w:hint="eastAsia" w:cs="Times New Roman"/>
                <w:color w:val="000000"/>
                <w:kern w:val="2"/>
                <w:sz w:val="21"/>
                <w:szCs w:val="21"/>
              </w:rPr>
              <w:t>3.60%</w:t>
            </w:r>
          </w:p>
        </w:tc>
        <w:tc>
          <w:tcPr>
            <w:tcW w:w="763" w:type="pct"/>
            <w:tcMar>
              <w:top w:w="15" w:type="dxa"/>
              <w:left w:w="108" w:type="dxa"/>
              <w:bottom w:w="0" w:type="dxa"/>
              <w:right w:w="108" w:type="dxa"/>
            </w:tcMar>
            <w:vAlign w:val="center"/>
          </w:tcPr>
          <w:p>
            <w:pPr>
              <w:jc w:val="right"/>
              <w:rPr>
                <w:rFonts w:hint="eastAsia" w:cs="Times New Roman"/>
                <w:color w:val="000000"/>
                <w:kern w:val="2"/>
                <w:sz w:val="21"/>
                <w:szCs w:val="21"/>
              </w:rPr>
            </w:pPr>
            <w:r>
              <w:rPr>
                <w:rFonts w:hint="eastAsia" w:cs="Times New Roman"/>
                <w:color w:val="000000"/>
                <w:kern w:val="2"/>
                <w:sz w:val="21"/>
                <w:szCs w:val="21"/>
              </w:rPr>
              <w:t>12.37%</w:t>
            </w:r>
          </w:p>
        </w:tc>
        <w:tc>
          <w:tcPr>
            <w:tcW w:w="760" w:type="pct"/>
            <w:tcMar>
              <w:top w:w="15" w:type="dxa"/>
              <w:left w:w="108" w:type="dxa"/>
              <w:bottom w:w="0" w:type="dxa"/>
              <w:right w:w="108" w:type="dxa"/>
            </w:tcMar>
            <w:vAlign w:val="center"/>
          </w:tcPr>
          <w:p>
            <w:pPr>
              <w:jc w:val="right"/>
              <w:rPr>
                <w:rFonts w:hint="eastAsia" w:cs="Times New Roman"/>
                <w:color w:val="000000"/>
                <w:kern w:val="2"/>
                <w:sz w:val="21"/>
                <w:szCs w:val="21"/>
              </w:rPr>
            </w:pPr>
            <w:r>
              <w:rPr>
                <w:rFonts w:hint="eastAsia" w:cs="Times New Roman"/>
                <w:color w:val="000000"/>
                <w:kern w:val="2"/>
                <w:sz w:val="21"/>
                <w:szCs w:val="21"/>
              </w:rPr>
              <w:t>7.68%</w:t>
            </w:r>
          </w:p>
        </w:tc>
        <w:tc>
          <w:tcPr>
            <w:tcW w:w="673" w:type="pct"/>
            <w:tcMar>
              <w:top w:w="15" w:type="dxa"/>
              <w:left w:w="108" w:type="dxa"/>
              <w:bottom w:w="0" w:type="dxa"/>
              <w:right w:w="108" w:type="dxa"/>
            </w:tcMar>
            <w:vAlign w:val="center"/>
          </w:tcPr>
          <w:p>
            <w:pPr>
              <w:jc w:val="right"/>
              <w:rPr>
                <w:rFonts w:hint="eastAsia" w:cs="Times New Roman"/>
                <w:color w:val="000000"/>
                <w:kern w:val="2"/>
                <w:sz w:val="21"/>
                <w:szCs w:val="21"/>
              </w:rPr>
            </w:pPr>
            <w:r>
              <w:rPr>
                <w:rFonts w:hint="eastAsia" w:cs="Times New Roman"/>
                <w:color w:val="000000"/>
                <w:kern w:val="2"/>
                <w:sz w:val="21"/>
                <w:szCs w:val="21"/>
              </w:rPr>
              <w:t>4.74%</w:t>
            </w:r>
          </w:p>
        </w:tc>
      </w:tr>
    </w:tbl>
    <w:p>
      <w:pPr>
        <w:adjustRightInd w:val="0"/>
        <w:snapToGrid w:val="0"/>
        <w:spacing w:line="34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注1：西北矿业2023年度数据来源于本次交易审计机构中兴财光华会计师事务所（特殊普通合伙）为本次交易之目的所出具的《审计报告》（中兴财光华审专字（2025）第316028号）；西北矿业2024年度数据为《审计报告》2024年1-11月数据经年化后数据。上表中部分合计数与各明细数相加之和在尾数上如有差异，系四舍五入所致。</w:t>
      </w:r>
    </w:p>
    <w:p>
      <w:pPr>
        <w:adjustRightInd w:val="0"/>
        <w:snapToGrid w:val="0"/>
        <w:spacing w:line="34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注2：上市公司数据来源于年度报告。2024年度公司合并了山东兖矿国拓科技工程股份有限公司的财务报表，构成同一控制下企业合并，公司对相关财务数据进行了追溯调整，2023年度数据为经调整后数据。</w:t>
      </w:r>
    </w:p>
    <w:p>
      <w:pPr>
        <w:adjustRightInd w:val="0"/>
        <w:snapToGrid w:val="0"/>
        <w:spacing w:line="340" w:lineRule="exact"/>
        <w:ind w:firstLine="480" w:firstLineChars="200"/>
        <w:jc w:val="both"/>
        <w:rPr>
          <w:rFonts w:hint="eastAsia" w:ascii="楷体_GB2312" w:hAnsi="楷体_GB2312" w:eastAsia="楷体_GB2312" w:cs="楷体_GB2312"/>
        </w:rPr>
      </w:pPr>
      <w:r>
        <w:rPr>
          <w:rFonts w:hint="eastAsia" w:ascii="楷体_GB2312" w:hAnsi="楷体_GB2312" w:eastAsia="楷体_GB2312" w:cs="楷体_GB2312"/>
        </w:rPr>
        <w:t>注3：由于本次交易中上市公司仅收购西北矿业51%股权，因此在计算本次交易完成后将提升上市公司归属于母公司股东的净利润比例的过程中，已在目标公司相关财务数据基础上乘以上述股权比例。</w:t>
      </w:r>
    </w:p>
    <w:p>
      <w:pPr>
        <w:pStyle w:val="39"/>
        <w:keepNext/>
        <w:spacing w:line="520" w:lineRule="exact"/>
        <w:ind w:firstLine="562"/>
        <w:jc w:val="both"/>
        <w:rPr>
          <w:rFonts w:hint="eastAsia" w:cs="Times New Roman" w:asciiTheme="minorEastAsia" w:hAnsiTheme="minorEastAsia" w:eastAsiaTheme="minorEastAsia"/>
          <w:b/>
        </w:rPr>
        <w:sectPr>
          <w:pgSz w:w="16838" w:h="11906" w:orient="landscape"/>
          <w:pgMar w:top="1800" w:right="1440" w:bottom="1800" w:left="1440" w:header="851" w:footer="992" w:gutter="0"/>
          <w:cols w:space="720" w:num="1"/>
          <w:docGrid w:type="lines" w:linePitch="312" w:charSpace="0"/>
        </w:sectPr>
      </w:pP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w:t>
      </w:r>
      <w:r>
        <w:rPr>
          <w:rFonts w:cs="Times New Roman" w:asciiTheme="minorEastAsia" w:hAnsiTheme="minorEastAsia" w:eastAsiaTheme="minorEastAsia"/>
          <w:b/>
        </w:rPr>
        <w:t>对上市公司业务情况的影响</w:t>
      </w:r>
    </w:p>
    <w:p>
      <w:pPr>
        <w:pStyle w:val="39"/>
        <w:spacing w:line="520" w:lineRule="exact"/>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从业务角度看，本次交易完成后，公司煤炭资源量、煤炭储量和商品煤产量均得到大幅提升，经营能力将持续增强。</w:t>
      </w:r>
      <w:bookmarkStart w:id="75" w:name="_Hlk188359302"/>
      <w:r>
        <w:rPr>
          <w:rFonts w:hint="eastAsia" w:cs="Times New Roman" w:asciiTheme="minorEastAsia" w:hAnsiTheme="minorEastAsia" w:eastAsiaTheme="minorEastAsia"/>
          <w:color w:val="000000"/>
        </w:rPr>
        <w:t>根据中企华出具的相关矿业权评估报告，本次交易完成后，公司评估利用口径资源量</w:t>
      </w:r>
      <w:r>
        <w:rPr>
          <w:rFonts w:cs="Times New Roman" w:asciiTheme="minorEastAsia" w:hAnsiTheme="minorEastAsia" w:eastAsiaTheme="minorEastAsia"/>
          <w:color w:val="000000"/>
        </w:rPr>
        <w:t>增加</w:t>
      </w:r>
      <w:r>
        <w:rPr>
          <w:rFonts w:hint="eastAsia" w:cs="Times New Roman" w:asciiTheme="minorEastAsia" w:hAnsiTheme="minorEastAsia" w:eastAsiaTheme="minorEastAsia"/>
          <w:color w:val="000000"/>
        </w:rPr>
        <w:t>约63.52</w:t>
      </w:r>
      <w:r>
        <w:rPr>
          <w:rFonts w:cs="Times New Roman" w:asciiTheme="minorEastAsia" w:hAnsiTheme="minorEastAsia" w:eastAsiaTheme="minorEastAsia"/>
          <w:color w:val="000000"/>
        </w:rPr>
        <w:t>亿吨</w:t>
      </w:r>
      <w:r>
        <w:rPr>
          <w:rFonts w:hint="eastAsia" w:cs="Times New Roman" w:asciiTheme="minorEastAsia" w:hAnsiTheme="minorEastAsia" w:eastAsiaTheme="minorEastAsia"/>
          <w:color w:val="000000"/>
        </w:rPr>
        <w:t>，</w:t>
      </w:r>
      <w:r>
        <w:rPr>
          <w:rFonts w:cs="Times New Roman" w:asciiTheme="minorEastAsia" w:hAnsiTheme="minorEastAsia" w:eastAsiaTheme="minorEastAsia"/>
          <w:color w:val="000000"/>
        </w:rPr>
        <w:t>可采储量</w:t>
      </w:r>
      <w:r>
        <w:rPr>
          <w:rFonts w:hint="eastAsia" w:cs="Times New Roman" w:asciiTheme="minorEastAsia" w:hAnsiTheme="minorEastAsia" w:eastAsiaTheme="minorEastAsia"/>
          <w:color w:val="000000"/>
        </w:rPr>
        <w:t>增加约36.52</w:t>
      </w:r>
      <w:r>
        <w:rPr>
          <w:rFonts w:cs="Times New Roman" w:asciiTheme="minorEastAsia" w:hAnsiTheme="minorEastAsia" w:eastAsiaTheme="minorEastAsia"/>
          <w:color w:val="000000"/>
        </w:rPr>
        <w:t>亿吨，</w:t>
      </w:r>
      <w:r>
        <w:rPr>
          <w:rFonts w:hint="eastAsia" w:cs="Times New Roman" w:asciiTheme="minorEastAsia" w:hAnsiTheme="minorEastAsia" w:eastAsiaTheme="minorEastAsia"/>
          <w:color w:val="000000"/>
        </w:rPr>
        <w:t>商品煤产量增加约3,000万吨。</w:t>
      </w:r>
      <w:bookmarkEnd w:id="75"/>
    </w:p>
    <w:p>
      <w:pPr>
        <w:pStyle w:val="39"/>
        <w:spacing w:line="520" w:lineRule="exact"/>
        <w:ind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3.有利于上市公司资金整体统筹优化</w:t>
      </w:r>
    </w:p>
    <w:p>
      <w:pPr>
        <w:pStyle w:val="39"/>
        <w:spacing w:line="520" w:lineRule="exact"/>
        <w:jc w:val="both"/>
        <w:rPr>
          <w:rFonts w:hint="eastAsia" w:cs="Times New Roman" w:asciiTheme="minorEastAsia" w:hAnsiTheme="minorEastAsia" w:eastAsiaTheme="minorEastAsia"/>
          <w:b/>
        </w:rPr>
      </w:pPr>
      <w:r>
        <w:rPr>
          <w:rFonts w:hint="eastAsia" w:cs="Times New Roman" w:asciiTheme="minorEastAsia" w:hAnsiTheme="minorEastAsia" w:eastAsiaTheme="minorEastAsia"/>
        </w:rPr>
        <w:t>本次交易采用股权收购及现金增资相结合的方式取得目标公司控制权，有利于公司整体统筹优化资金使用：（1）本次交易方案有利于降低股权收购所需支付的现金对价；（2）现金增资有助于优化目标公司股权架构，增资资金在上市公司体系内由公司统筹控制，支持西北矿业下属在建、筹建矿井的建设及开发，优化提升目标公司财务状况，进一步提升目标公司核心竞争力及盈利能力，降低投资风险；（3）相较单一采用股权收购方式，本次交易方案对公司资产负债率变动的影响较小。</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（三）本次交易所涉及的管理层变动、人员安置、土地租赁等情况的说明</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本次交易后各方将根据相关协议安排，依法履行部分管理层人员变动调整程序。本次交易不涉及</w:t>
      </w:r>
      <w:r>
        <w:rPr>
          <w:rFonts w:hint="eastAsia" w:cs="Times New Roman" w:asciiTheme="minorEastAsia" w:hAnsiTheme="minorEastAsia" w:eastAsiaTheme="minorEastAsia"/>
          <w:color w:val="000000"/>
          <w:sz w:val="28"/>
          <w:szCs w:val="28"/>
        </w:rPr>
        <w:t>目标公司的</w:t>
      </w:r>
      <w:r>
        <w:rPr>
          <w:rFonts w:cs="Times New Roman" w:asciiTheme="minorEastAsia" w:hAnsiTheme="minorEastAsia" w:eastAsiaTheme="minorEastAsia"/>
          <w:color w:val="000000"/>
          <w:sz w:val="28"/>
          <w:szCs w:val="28"/>
        </w:rPr>
        <w:t>人员安置</w:t>
      </w:r>
      <w:r>
        <w:rPr>
          <w:rFonts w:hint="eastAsia" w:cs="Times New Roman" w:asciiTheme="minorEastAsia" w:hAnsiTheme="minorEastAsia" w:eastAsiaTheme="minorEastAsia"/>
          <w:color w:val="000000"/>
          <w:sz w:val="28"/>
          <w:szCs w:val="28"/>
        </w:rPr>
        <w:t>及</w:t>
      </w:r>
      <w:r>
        <w:rPr>
          <w:rFonts w:cs="Times New Roman" w:asciiTheme="minorEastAsia" w:hAnsiTheme="minorEastAsia" w:eastAsiaTheme="minorEastAsia"/>
          <w:color w:val="000000"/>
          <w:sz w:val="28"/>
          <w:szCs w:val="28"/>
        </w:rPr>
        <w:t>土地租赁情况。</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截至评估基准日，西北矿业下属控股子公司存在土地租赁情况，共承租土地2</w:t>
      </w:r>
      <w:r>
        <w:rPr>
          <w:rFonts w:cs="Times New Roman" w:asciiTheme="minorEastAsia" w:hAnsiTheme="minorEastAsia" w:eastAsiaTheme="minorEastAsia"/>
          <w:color w:val="000000"/>
          <w:sz w:val="28"/>
          <w:szCs w:val="28"/>
        </w:rPr>
        <w:t>2</w:t>
      </w:r>
      <w:r>
        <w:rPr>
          <w:rFonts w:hint="eastAsia" w:cs="Times New Roman" w:asciiTheme="minorEastAsia" w:hAnsiTheme="minorEastAsia" w:eastAsiaTheme="minorEastAsia"/>
          <w:color w:val="000000"/>
          <w:sz w:val="28"/>
          <w:szCs w:val="28"/>
        </w:rPr>
        <w:t>宗，面积合计</w:t>
      </w:r>
      <w:r>
        <w:rPr>
          <w:rFonts w:cs="Times New Roman" w:asciiTheme="minorEastAsia" w:hAnsiTheme="minorEastAsia" w:eastAsiaTheme="minorEastAsia"/>
          <w:color w:val="000000"/>
          <w:sz w:val="28"/>
          <w:szCs w:val="28"/>
        </w:rPr>
        <w:t>404,917.06</w:t>
      </w:r>
      <w:r>
        <w:rPr>
          <w:rFonts w:hint="eastAsia" w:cs="Times New Roman" w:asciiTheme="minorEastAsia" w:hAnsiTheme="minorEastAsia" w:eastAsiaTheme="minorEastAsia"/>
          <w:color w:val="000000"/>
          <w:sz w:val="28"/>
          <w:szCs w:val="28"/>
        </w:rPr>
        <w:t>㎡，用于工业广场、排矸、铁路专用线、进场道路、建设应急水池等。本次交易后，前述土地租赁由西北矿业下属子公司按原签订的合同继续执行。</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（四）交易完成后新增关联交易情况的说明</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本次交易完成后，西北矿业将成为公司的控股子公司，同时山能集团全资子公司淄矿集团依然持有西北矿业4</w:t>
      </w:r>
      <w:r>
        <w:rPr>
          <w:rFonts w:cs="Times New Roman" w:asciiTheme="minorEastAsia" w:hAnsiTheme="minorEastAsia" w:eastAsiaTheme="minorEastAsia"/>
          <w:color w:val="000000"/>
          <w:sz w:val="28"/>
          <w:szCs w:val="28"/>
        </w:rPr>
        <w:t>9%</w:t>
      </w:r>
      <w:r>
        <w:rPr>
          <w:rFonts w:hint="eastAsia" w:cs="Times New Roman" w:asciiTheme="minorEastAsia" w:hAnsiTheme="minorEastAsia" w:eastAsiaTheme="minorEastAsia"/>
          <w:color w:val="000000"/>
          <w:sz w:val="28"/>
          <w:szCs w:val="28"/>
        </w:rPr>
        <w:t>股权。根据公司上市地监管规则，西北矿业与公司（包括附属公司）、山能集团（包括除上市公司以外的附属公司）发生的交易将构成公司的关联交易。</w:t>
      </w:r>
      <w:r>
        <w:rPr>
          <w:rFonts w:cs="Times New Roman" w:asciiTheme="minorEastAsia" w:hAnsiTheme="minorEastAsia" w:eastAsiaTheme="minorEastAsia"/>
          <w:color w:val="000000"/>
          <w:sz w:val="28"/>
          <w:szCs w:val="28"/>
        </w:rPr>
        <w:t>公司已经根据上市地监管规则履行审议程序并签署</w:t>
      </w:r>
      <w:r>
        <w:rPr>
          <w:rFonts w:hint="eastAsia" w:cs="Times New Roman" w:asciiTheme="minorEastAsia" w:hAnsiTheme="minorEastAsia" w:eastAsiaTheme="minorEastAsia"/>
          <w:color w:val="000000"/>
          <w:sz w:val="28"/>
          <w:szCs w:val="28"/>
        </w:rPr>
        <w:t>有关</w:t>
      </w:r>
      <w:r>
        <w:rPr>
          <w:rFonts w:cs="Times New Roman" w:asciiTheme="minorEastAsia" w:hAnsiTheme="minorEastAsia" w:eastAsiaTheme="minorEastAsia"/>
          <w:color w:val="000000"/>
          <w:sz w:val="28"/>
          <w:szCs w:val="28"/>
        </w:rPr>
        <w:t>持续性关联交易协议，具体</w:t>
      </w:r>
      <w:r>
        <w:rPr>
          <w:rFonts w:hint="eastAsia" w:cs="Times New Roman" w:asciiTheme="minorEastAsia" w:hAnsiTheme="minorEastAsia" w:eastAsiaTheme="minorEastAsia"/>
          <w:color w:val="000000"/>
          <w:sz w:val="28"/>
          <w:szCs w:val="28"/>
        </w:rPr>
        <w:t>请</w:t>
      </w:r>
      <w:r>
        <w:rPr>
          <w:rFonts w:cs="Times New Roman" w:asciiTheme="minorEastAsia" w:hAnsiTheme="minorEastAsia" w:eastAsiaTheme="minorEastAsia"/>
          <w:color w:val="000000"/>
          <w:sz w:val="28"/>
          <w:szCs w:val="28"/>
        </w:rPr>
        <w:t>见公司于同日披露的《</w:t>
      </w:r>
      <w:r>
        <w:rPr>
          <w:rFonts w:hint="eastAsia" w:cs="Times New Roman" w:asciiTheme="minorEastAsia" w:hAnsiTheme="minorEastAsia" w:eastAsiaTheme="minorEastAsia"/>
          <w:color w:val="000000"/>
          <w:sz w:val="28"/>
          <w:szCs w:val="28"/>
        </w:rPr>
        <w:t>关于签署与山能集团持续性关联交易协议的公告</w:t>
      </w:r>
      <w:r>
        <w:rPr>
          <w:rFonts w:cs="Times New Roman" w:asciiTheme="minorEastAsia" w:hAnsiTheme="minorEastAsia" w:eastAsiaTheme="minorEastAsia"/>
          <w:color w:val="000000"/>
          <w:sz w:val="28"/>
          <w:szCs w:val="28"/>
        </w:rPr>
        <w:t>》。</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（五）新增控股子公司对外担保、委托理财情况的说明</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截至本公告日，西北矿业及其下属子公司不存在对外担保和委托理财的情形。</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（六）本次交易导致的控股股东、实际控制人及其关联方对公司形成非经营性资金占用的情况说明</w:t>
      </w:r>
    </w:p>
    <w:p>
      <w:pPr>
        <w:pStyle w:val="39"/>
        <w:spacing w:line="520" w:lineRule="exact"/>
        <w:jc w:val="both"/>
        <w:rPr>
          <w:rFonts w:hint="eastAsia" w:cs="Times New Roman" w:asciiTheme="minorEastAsia" w:hAnsiTheme="minorEastAsia" w:eastAsiaTheme="minorEastAsia"/>
          <w:color w:val="000000"/>
        </w:rPr>
      </w:pPr>
      <w:r>
        <w:rPr>
          <w:rFonts w:cs="Times New Roman" w:asciiTheme="minorEastAsia" w:hAnsiTheme="minorEastAsia" w:eastAsiaTheme="minorEastAsia"/>
        </w:rPr>
        <w:t>本次交易不会导致公司控股股东、实际控制人及其关联</w:t>
      </w:r>
      <w:r>
        <w:rPr>
          <w:rFonts w:hint="eastAsia" w:cs="Times New Roman" w:asciiTheme="minorEastAsia" w:hAnsiTheme="minorEastAsia" w:eastAsiaTheme="minorEastAsia"/>
        </w:rPr>
        <w:t>方</w:t>
      </w:r>
      <w:r>
        <w:rPr>
          <w:rFonts w:cs="Times New Roman" w:asciiTheme="minorEastAsia" w:hAnsiTheme="minorEastAsia" w:eastAsiaTheme="minorEastAsia"/>
        </w:rPr>
        <w:t>对公司形成非经营性资金占用情况。</w:t>
      </w:r>
    </w:p>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七、关联交易履行的程序</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一</w:t>
      </w:r>
      <w:r>
        <w:rPr>
          <w:rFonts w:ascii="楷体" w:hAnsi="楷体" w:eastAsia="楷体" w:cs="Times New Roman"/>
          <w:b/>
          <w:bCs/>
          <w:sz w:val="28"/>
          <w:szCs w:val="28"/>
        </w:rPr>
        <w:t>）</w:t>
      </w:r>
      <w:r>
        <w:rPr>
          <w:rFonts w:hint="eastAsia" w:ascii="楷体" w:hAnsi="楷体" w:eastAsia="楷体" w:cs="Times New Roman"/>
          <w:b/>
          <w:bCs/>
          <w:sz w:val="28"/>
          <w:szCs w:val="28"/>
        </w:rPr>
        <w:t>独立董事专门会议审议情况</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202</w:t>
      </w:r>
      <w:r>
        <w:rPr>
          <w:rFonts w:hint="eastAsia" w:cs="Times New Roman" w:asciiTheme="minorEastAsia" w:hAnsiTheme="minorEastAsia" w:eastAsiaTheme="minorEastAsia"/>
        </w:rPr>
        <w:t>5</w:t>
      </w:r>
      <w:r>
        <w:rPr>
          <w:rFonts w:cs="Times New Roman" w:asciiTheme="minorEastAsia" w:hAnsiTheme="minorEastAsia" w:eastAsiaTheme="minorEastAsia"/>
        </w:rPr>
        <w:t>年</w:t>
      </w:r>
      <w:r>
        <w:rPr>
          <w:rFonts w:hint="eastAsia" w:cs="Times New Roman" w:asciiTheme="minorEastAsia" w:hAnsiTheme="minorEastAsia" w:eastAsiaTheme="minorEastAsia"/>
        </w:rPr>
        <w:t>4</w:t>
      </w:r>
      <w:r>
        <w:rPr>
          <w:rFonts w:cs="Times New Roman" w:asciiTheme="minorEastAsia" w:hAnsiTheme="minorEastAsia" w:eastAsiaTheme="minorEastAsia"/>
        </w:rPr>
        <w:t>月</w:t>
      </w:r>
      <w:r>
        <w:rPr>
          <w:rFonts w:hint="eastAsia" w:cs="Times New Roman" w:asciiTheme="minorEastAsia" w:hAnsiTheme="minorEastAsia" w:eastAsiaTheme="minorEastAsia"/>
        </w:rPr>
        <w:t>7</w:t>
      </w:r>
      <w:r>
        <w:rPr>
          <w:rFonts w:cs="Times New Roman" w:asciiTheme="minorEastAsia" w:hAnsiTheme="minorEastAsia" w:eastAsiaTheme="minorEastAsia"/>
        </w:rPr>
        <w:t>日，</w:t>
      </w:r>
      <w:r>
        <w:rPr>
          <w:rFonts w:hint="eastAsia" w:cs="Times New Roman" w:asciiTheme="minorEastAsia" w:hAnsiTheme="minorEastAsia" w:eastAsiaTheme="minorEastAsia"/>
        </w:rPr>
        <w:t>公司召开第九届董事会独立董事专门会议第四次会议，</w:t>
      </w:r>
      <w:r>
        <w:rPr>
          <w:rFonts w:cs="Times New Roman" w:asciiTheme="minorEastAsia" w:hAnsiTheme="minorEastAsia" w:eastAsiaTheme="minorEastAsia"/>
        </w:rPr>
        <w:t>批准《</w:t>
      </w:r>
      <w:r>
        <w:rPr>
          <w:rFonts w:hint="eastAsia" w:cs="Times New Roman" w:asciiTheme="minorEastAsia" w:hAnsiTheme="minorEastAsia" w:eastAsiaTheme="minorEastAsia"/>
        </w:rPr>
        <w:t>关于以协议受让及增资方式收购西北矿业5</w:t>
      </w:r>
      <w:r>
        <w:rPr>
          <w:rFonts w:cs="Times New Roman" w:asciiTheme="minorEastAsia" w:hAnsiTheme="minorEastAsia" w:eastAsiaTheme="minorEastAsia"/>
        </w:rPr>
        <w:t>1%股权</w:t>
      </w:r>
      <w:r>
        <w:rPr>
          <w:rFonts w:hint="eastAsia" w:cs="Times New Roman" w:asciiTheme="minorEastAsia" w:hAnsiTheme="minorEastAsia" w:eastAsiaTheme="minorEastAsia"/>
        </w:rPr>
        <w:t>的议案</w:t>
      </w:r>
      <w:r>
        <w:rPr>
          <w:rFonts w:cs="Times New Roman" w:asciiTheme="minorEastAsia" w:hAnsiTheme="minorEastAsia" w:eastAsiaTheme="minorEastAsia"/>
        </w:rPr>
        <w:t>》，并提交董事会讨论审议。</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本次会议由全体独立董事共同推举胡家栋先生召集和主持，应出席独立董事四人，实际出席四人，符合《公司章程》及有关规定，会议的召开、表决合法有效。</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二</w:t>
      </w:r>
      <w:r>
        <w:rPr>
          <w:rFonts w:ascii="楷体" w:hAnsi="楷体" w:eastAsia="楷体" w:cs="Times New Roman"/>
          <w:b/>
          <w:bCs/>
          <w:sz w:val="28"/>
          <w:szCs w:val="28"/>
        </w:rPr>
        <w:t>）董事会审议情况</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202</w:t>
      </w:r>
      <w:r>
        <w:rPr>
          <w:rFonts w:hint="eastAsia" w:cs="Times New Roman" w:asciiTheme="minorEastAsia" w:hAnsiTheme="minorEastAsia" w:eastAsiaTheme="minorEastAsia"/>
        </w:rPr>
        <w:t>5</w:t>
      </w:r>
      <w:r>
        <w:rPr>
          <w:rFonts w:cs="Times New Roman" w:asciiTheme="minorEastAsia" w:hAnsiTheme="minorEastAsia" w:eastAsiaTheme="minorEastAsia"/>
        </w:rPr>
        <w:t>年</w:t>
      </w:r>
      <w:r>
        <w:rPr>
          <w:rFonts w:hint="eastAsia" w:cs="Times New Roman" w:asciiTheme="minorEastAsia" w:hAnsiTheme="minorEastAsia" w:eastAsiaTheme="minorEastAsia"/>
        </w:rPr>
        <w:t>4</w:t>
      </w:r>
      <w:r>
        <w:rPr>
          <w:rFonts w:cs="Times New Roman" w:asciiTheme="minorEastAsia" w:hAnsiTheme="minorEastAsia" w:eastAsiaTheme="minorEastAsia"/>
        </w:rPr>
        <w:t>月</w:t>
      </w:r>
      <w:r>
        <w:rPr>
          <w:rFonts w:hint="eastAsia" w:cs="Times New Roman" w:asciiTheme="minorEastAsia" w:hAnsiTheme="minorEastAsia" w:eastAsiaTheme="minorEastAsia"/>
        </w:rPr>
        <w:t>8</w:t>
      </w:r>
      <w:r>
        <w:rPr>
          <w:rFonts w:cs="Times New Roman" w:asciiTheme="minorEastAsia" w:hAnsiTheme="minorEastAsia" w:eastAsiaTheme="minorEastAsia"/>
        </w:rPr>
        <w:t>日，</w:t>
      </w:r>
      <w:r>
        <w:rPr>
          <w:rFonts w:hint="eastAsia" w:cs="Times New Roman" w:asciiTheme="minorEastAsia" w:hAnsiTheme="minorEastAsia" w:eastAsiaTheme="minorEastAsia"/>
        </w:rPr>
        <w:t>公司召开第九届董事会第十五次会议审议</w:t>
      </w:r>
      <w:r>
        <w:rPr>
          <w:rFonts w:cs="Times New Roman" w:asciiTheme="minorEastAsia" w:hAnsiTheme="minorEastAsia" w:eastAsiaTheme="minorEastAsia"/>
        </w:rPr>
        <w:t>通过《</w:t>
      </w:r>
      <w:r>
        <w:rPr>
          <w:rFonts w:hint="eastAsia" w:cs="Times New Roman" w:asciiTheme="minorEastAsia" w:hAnsiTheme="minorEastAsia" w:eastAsiaTheme="minorEastAsia"/>
        </w:rPr>
        <w:t>关于以协议受让及增资方式收购西北矿业5</w:t>
      </w:r>
      <w:r>
        <w:rPr>
          <w:rFonts w:cs="Times New Roman" w:asciiTheme="minorEastAsia" w:hAnsiTheme="minorEastAsia" w:eastAsiaTheme="minorEastAsia"/>
        </w:rPr>
        <w:t>1%股权</w:t>
      </w:r>
      <w:r>
        <w:rPr>
          <w:rFonts w:hint="eastAsia" w:cs="Times New Roman" w:asciiTheme="minorEastAsia" w:hAnsiTheme="minorEastAsia" w:eastAsiaTheme="minorEastAsia"/>
        </w:rPr>
        <w:t>的议案</w:t>
      </w:r>
      <w:r>
        <w:rPr>
          <w:rFonts w:cs="Times New Roman" w:asciiTheme="minorEastAsia" w:hAnsiTheme="minorEastAsia" w:eastAsiaTheme="minorEastAsia"/>
        </w:rPr>
        <w:t>》。</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公司董事会成员共10</w:t>
      </w:r>
      <w:r>
        <w:rPr>
          <w:rFonts w:cs="Times New Roman" w:asciiTheme="minorEastAsia" w:hAnsiTheme="minorEastAsia" w:eastAsiaTheme="minorEastAsia"/>
        </w:rPr>
        <w:t>人，出席董事会会议的董事</w:t>
      </w:r>
      <w:r>
        <w:rPr>
          <w:rFonts w:hint="eastAsia" w:cs="Times New Roman" w:asciiTheme="minorEastAsia" w:hAnsiTheme="minorEastAsia" w:eastAsiaTheme="minorEastAsia"/>
        </w:rPr>
        <w:t>10</w:t>
      </w:r>
      <w:r>
        <w:rPr>
          <w:rFonts w:cs="Times New Roman" w:asciiTheme="minorEastAsia" w:hAnsiTheme="minorEastAsia" w:eastAsiaTheme="minorEastAsia"/>
        </w:rPr>
        <w:t>人，</w:t>
      </w:r>
      <w:r>
        <w:rPr>
          <w:rFonts w:hint="eastAsia" w:cs="Times New Roman" w:asciiTheme="minorEastAsia" w:hAnsiTheme="minorEastAsia" w:eastAsiaTheme="minorEastAsia"/>
        </w:rPr>
        <w:t>4</w:t>
      </w:r>
      <w:r>
        <w:rPr>
          <w:rFonts w:cs="Times New Roman" w:asciiTheme="minorEastAsia" w:hAnsiTheme="minorEastAsia" w:eastAsiaTheme="minorEastAsia"/>
        </w:rPr>
        <w:t>名关联董事回避表决，其他</w:t>
      </w:r>
      <w:r>
        <w:rPr>
          <w:rFonts w:hint="eastAsia" w:cs="Times New Roman" w:asciiTheme="minorEastAsia" w:hAnsiTheme="minorEastAsia" w:eastAsiaTheme="minorEastAsia"/>
        </w:rPr>
        <w:t>6</w:t>
      </w:r>
      <w:r>
        <w:rPr>
          <w:rFonts w:cs="Times New Roman" w:asciiTheme="minorEastAsia" w:hAnsiTheme="minorEastAsia" w:eastAsiaTheme="minorEastAsia"/>
        </w:rPr>
        <w:t>名非关联董事（包括</w:t>
      </w:r>
      <w:r>
        <w:rPr>
          <w:rFonts w:hint="eastAsia" w:cs="Times New Roman" w:asciiTheme="minorEastAsia" w:hAnsiTheme="minorEastAsia" w:eastAsiaTheme="minorEastAsia"/>
        </w:rPr>
        <w:t>4</w:t>
      </w:r>
      <w:r>
        <w:rPr>
          <w:rFonts w:cs="Times New Roman" w:asciiTheme="minorEastAsia" w:hAnsiTheme="minorEastAsia" w:eastAsiaTheme="minorEastAsia"/>
        </w:rPr>
        <w:t>名独立董事）一致同意该议案。参加表决的董事人数符合法定比例，会议的召开及表决合法有效。</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（三）本次交易尚需履行的程序</w:t>
      </w:r>
    </w:p>
    <w:p>
      <w:pPr>
        <w:pStyle w:val="39"/>
        <w:spacing w:line="520" w:lineRule="exact"/>
        <w:jc w:val="both"/>
        <w:rPr>
          <w:rFonts w:hint="eastAsia" w:cs="Times New Roman" w:asciiTheme="minorEastAsia" w:hAnsiTheme="minorEastAsia" w:eastAsiaTheme="minorEastAsia"/>
          <w:color w:val="000000"/>
        </w:rPr>
      </w:pPr>
      <w:r>
        <w:rPr>
          <w:rFonts w:cs="Times New Roman" w:asciiTheme="minorEastAsia" w:hAnsiTheme="minorEastAsia" w:eastAsiaTheme="minorEastAsia"/>
        </w:rPr>
        <w:t>本次交易尚须获得股东大会的批准，与本次交易有利害关系的关联股东将放弃行使在股东大会上对该议案的投票权。</w:t>
      </w:r>
    </w:p>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八、需要特别说明的历史关联交易情况（日常关联交易除外）</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自2</w:t>
      </w:r>
      <w:r>
        <w:rPr>
          <w:rFonts w:cs="Times New Roman" w:asciiTheme="minorEastAsia" w:hAnsiTheme="minorEastAsia" w:eastAsiaTheme="minorEastAsia"/>
        </w:rPr>
        <w:t>025</w:t>
      </w:r>
      <w:r>
        <w:rPr>
          <w:rFonts w:hint="eastAsia" w:cs="Times New Roman" w:asciiTheme="minorEastAsia" w:hAnsiTheme="minorEastAsia" w:eastAsiaTheme="minorEastAsia"/>
        </w:rPr>
        <w:t>年1月1日至本公告日，公司与山能集团及其下属公司累计已发生除日常关联交易外的各类关联交易总金额为</w:t>
      </w:r>
      <w:r>
        <w:rPr>
          <w:rFonts w:cs="Times New Roman" w:asciiTheme="minorEastAsia" w:hAnsiTheme="minorEastAsia" w:eastAsiaTheme="minorEastAsia"/>
        </w:rPr>
        <w:t>109</w:t>
      </w:r>
      <w:r>
        <w:rPr>
          <w:rFonts w:hint="eastAsia" w:cs="Times New Roman" w:asciiTheme="minorEastAsia" w:hAnsiTheme="minorEastAsia" w:eastAsiaTheme="minorEastAsia"/>
        </w:rPr>
        <w:t>,</w:t>
      </w:r>
      <w:r>
        <w:rPr>
          <w:rFonts w:cs="Times New Roman" w:asciiTheme="minorEastAsia" w:hAnsiTheme="minorEastAsia" w:eastAsiaTheme="minorEastAsia"/>
        </w:rPr>
        <w:t>292.57</w:t>
      </w:r>
      <w:r>
        <w:rPr>
          <w:rFonts w:hint="eastAsia" w:cs="Times New Roman" w:asciiTheme="minorEastAsia" w:hAnsiTheme="minorEastAsia" w:eastAsiaTheme="minorEastAsia"/>
        </w:rPr>
        <w:t>万元。本次交易前12个月内，公司与山能集团及其下属公司发生的非日常关联交易情况如下：</w:t>
      </w:r>
      <w:r>
        <w:rPr>
          <w:rFonts w:cs="Times New Roman" w:asciiTheme="minorEastAsia" w:hAnsiTheme="minorEastAsia" w:eastAsiaTheme="minorEastAsia"/>
        </w:rPr>
        <w:t xml:space="preserve"> </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一）经公司2024年5月13日召开的总经理办公会批准，公司以现金出资4,733万元与北京天玛智控科技股份有限公司、山东能源集团装备制造（集团）有限公司合资成立山东天玛智能控制技术有限公司，公司持股比例为47.34%。</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二）经公司总经理办公会批准，2025年2月14日公司全资附属公司兖矿东华重工有限公司（“东华重工”）与山能集团非全资附属公司新风光电子科技股份有限公司（“新风光科技”）及兖州东方机电有限公司（“东方机电”）签署增资协议，新风光科技以现金方式出资约5,592.57万元认缴东方机电新增注册资本，东华重工放弃对东方机电新增注册资本的优先购买权和认缴权。增资完成后，新风光科技持有东方机电50%的股权，公司对东方机电持股比例由94.336%下降至47.168%。</w:t>
      </w:r>
    </w:p>
    <w:p>
      <w:pPr>
        <w:pStyle w:val="39"/>
        <w:spacing w:line="520" w:lineRule="exact"/>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（三）经公司2</w:t>
      </w:r>
      <w:r>
        <w:rPr>
          <w:rFonts w:cs="Times New Roman" w:asciiTheme="minorEastAsia" w:hAnsiTheme="minorEastAsia" w:eastAsiaTheme="minorEastAsia"/>
        </w:rPr>
        <w:t>025</w:t>
      </w:r>
      <w:r>
        <w:rPr>
          <w:rFonts w:hint="eastAsia" w:cs="Times New Roman" w:asciiTheme="minorEastAsia" w:hAnsiTheme="minorEastAsia" w:eastAsiaTheme="minorEastAsia"/>
        </w:rPr>
        <w:t>年3月2</w:t>
      </w:r>
      <w:r>
        <w:rPr>
          <w:rFonts w:cs="Times New Roman" w:asciiTheme="minorEastAsia" w:hAnsiTheme="minorEastAsia" w:eastAsiaTheme="minorEastAsia"/>
        </w:rPr>
        <w:t>8</w:t>
      </w:r>
      <w:r>
        <w:rPr>
          <w:rFonts w:hint="eastAsia" w:cs="Times New Roman" w:asciiTheme="minorEastAsia" w:hAnsiTheme="minorEastAsia" w:eastAsiaTheme="minorEastAsia"/>
        </w:rPr>
        <w:t>日召开的第九届董事会第十四次会议批准，公司控股子公司山东能源集团鲁西矿业有限公司（“鲁西矿业”）与公司关联方临沂矿业集团有限责任公司（“临矿集团”）签署协议，约定共同承担现由鲁西矿业权属单位肥城矿业集团梁宝寺能源有限责任公司、山东新巨龙能源有限责任公司、临沂矿业集团菏泽煤电有限公司郭屯煤矿承担的统筹外费用，鲁西矿业按其持股比例承担相应费用，临矿集团承担剩余部分。其中临矿集团承担的</w:t>
      </w:r>
      <w:r>
        <w:rPr>
          <w:rFonts w:cs="Times New Roman" w:asciiTheme="minorEastAsia" w:hAnsiTheme="minorEastAsia" w:eastAsiaTheme="minorEastAsia"/>
        </w:rPr>
        <w:t>10.37亿元统筹外费用事项构成</w:t>
      </w:r>
      <w:r>
        <w:rPr>
          <w:rFonts w:hint="eastAsia" w:cs="Times New Roman" w:asciiTheme="minorEastAsia" w:hAnsiTheme="minorEastAsia" w:eastAsiaTheme="minorEastAsia"/>
        </w:rPr>
        <w:t>关联交易。具体详情请见公司日期为2</w:t>
      </w:r>
      <w:r>
        <w:rPr>
          <w:rFonts w:cs="Times New Roman" w:asciiTheme="minorEastAsia" w:hAnsiTheme="minorEastAsia" w:eastAsiaTheme="minorEastAsia"/>
        </w:rPr>
        <w:t>025</w:t>
      </w:r>
      <w:r>
        <w:rPr>
          <w:rFonts w:hint="eastAsia" w:cs="Times New Roman" w:asciiTheme="minorEastAsia" w:hAnsiTheme="minorEastAsia" w:eastAsiaTheme="minorEastAsia"/>
        </w:rPr>
        <w:t>年</w:t>
      </w:r>
      <w:r>
        <w:rPr>
          <w:rFonts w:cs="Times New Roman" w:asciiTheme="minorEastAsia" w:hAnsiTheme="minorEastAsia" w:eastAsiaTheme="minorEastAsia"/>
        </w:rPr>
        <w:t>3</w:t>
      </w:r>
      <w:r>
        <w:rPr>
          <w:rFonts w:hint="eastAsia" w:cs="Times New Roman" w:asciiTheme="minorEastAsia" w:hAnsiTheme="minorEastAsia" w:eastAsiaTheme="minorEastAsia"/>
        </w:rPr>
        <w:t>月2</w:t>
      </w:r>
      <w:r>
        <w:rPr>
          <w:rFonts w:cs="Times New Roman" w:asciiTheme="minorEastAsia" w:hAnsiTheme="minorEastAsia" w:eastAsiaTheme="minorEastAsia"/>
        </w:rPr>
        <w:t>8</w:t>
      </w:r>
      <w:r>
        <w:rPr>
          <w:rFonts w:hint="eastAsia" w:cs="Times New Roman" w:asciiTheme="minorEastAsia" w:hAnsiTheme="minorEastAsia" w:eastAsiaTheme="minorEastAsia"/>
        </w:rPr>
        <w:t>日的关联交易公告（临</w:t>
      </w:r>
      <w:r>
        <w:rPr>
          <w:rFonts w:cs="Times New Roman" w:asciiTheme="minorEastAsia" w:hAnsiTheme="minorEastAsia" w:eastAsiaTheme="minorEastAsia"/>
        </w:rPr>
        <w:t>2025-019</w:t>
      </w:r>
      <w:r>
        <w:rPr>
          <w:rFonts w:hint="eastAsia" w:cs="Times New Roman" w:asciiTheme="minorEastAsia" w:hAnsiTheme="minorEastAsia" w:eastAsiaTheme="minorEastAsia"/>
        </w:rPr>
        <w:t>）。</w:t>
      </w:r>
    </w:p>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hint="eastAsia" w:ascii="黑体" w:hAnsi="黑体" w:eastAsia="黑体" w:cs="Times New Roman"/>
          <w:bCs/>
          <w:color w:val="000000"/>
          <w:sz w:val="28"/>
          <w:szCs w:val="28"/>
        </w:rPr>
        <w:t>九</w:t>
      </w:r>
      <w:r>
        <w:rPr>
          <w:rFonts w:ascii="黑体" w:hAnsi="黑体" w:eastAsia="黑体" w:cs="Times New Roman"/>
          <w:bCs/>
          <w:color w:val="000000"/>
          <w:sz w:val="28"/>
          <w:szCs w:val="28"/>
        </w:rPr>
        <w:t>、风险提示及应对措施</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（一）行业波动</w:t>
      </w:r>
      <w:r>
        <w:rPr>
          <w:rFonts w:hint="eastAsia" w:ascii="楷体" w:hAnsi="楷体" w:eastAsia="楷体" w:cs="Times New Roman"/>
          <w:b/>
          <w:bCs/>
          <w:sz w:val="28"/>
          <w:szCs w:val="28"/>
        </w:rPr>
        <w:t>及目标公司经营业绩不及预期风险</w:t>
      </w:r>
    </w:p>
    <w:p>
      <w:pPr>
        <w:pStyle w:val="39"/>
        <w:keepNext/>
        <w:spacing w:line="520" w:lineRule="exact"/>
        <w:ind w:firstLine="562"/>
        <w:jc w:val="both"/>
        <w:rPr>
          <w:rFonts w:hint="eastAsia" w:cs="Times New Roman" w:asciiTheme="minorEastAsia" w:hAnsiTheme="minorEastAsia" w:eastAsiaTheme="minorEastAsia"/>
          <w:b/>
        </w:rPr>
      </w:pPr>
      <w:bookmarkStart w:id="76" w:name="_Hlk126145049"/>
      <w:r>
        <w:rPr>
          <w:rFonts w:cs="Times New Roman" w:asciiTheme="minorEastAsia" w:hAnsiTheme="minorEastAsia" w:eastAsiaTheme="minorEastAsia"/>
          <w:b/>
        </w:rPr>
        <w:t>1</w:t>
      </w:r>
      <w:r>
        <w:rPr>
          <w:rFonts w:hint="eastAsia" w:cs="Times New Roman" w:asciiTheme="minorEastAsia" w:hAnsiTheme="minorEastAsia" w:eastAsiaTheme="minorEastAsia"/>
          <w:b/>
        </w:rPr>
        <w:t>.</w:t>
      </w:r>
      <w:r>
        <w:rPr>
          <w:rFonts w:cs="Times New Roman" w:asciiTheme="minorEastAsia" w:hAnsiTheme="minorEastAsia" w:eastAsiaTheme="minorEastAsia"/>
          <w:b/>
        </w:rPr>
        <w:t>风险提示</w:t>
      </w:r>
    </w:p>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受国际能源供需形势错综复杂、</w:t>
      </w:r>
      <w:r>
        <w:rPr>
          <w:rFonts w:hint="eastAsia" w:cs="Times New Roman" w:asciiTheme="minorEastAsia" w:hAnsiTheme="minorEastAsia" w:eastAsiaTheme="minorEastAsia"/>
        </w:rPr>
        <w:t>煤炭行业周期变动</w:t>
      </w:r>
      <w:r>
        <w:rPr>
          <w:rFonts w:cs="Times New Roman" w:asciiTheme="minorEastAsia" w:hAnsiTheme="minorEastAsia" w:eastAsiaTheme="minorEastAsia"/>
        </w:rPr>
        <w:t>等因素影响，煤炭</w:t>
      </w:r>
      <w:r>
        <w:rPr>
          <w:rFonts w:hint="eastAsia" w:cs="Times New Roman" w:asciiTheme="minorEastAsia" w:hAnsiTheme="minorEastAsia" w:eastAsiaTheme="minorEastAsia"/>
        </w:rPr>
        <w:t>需求端增速回落</w:t>
      </w:r>
      <w:r>
        <w:rPr>
          <w:rFonts w:cs="Times New Roman" w:asciiTheme="minorEastAsia" w:hAnsiTheme="minorEastAsia" w:eastAsiaTheme="minorEastAsia"/>
        </w:rPr>
        <w:t>，价格</w:t>
      </w:r>
      <w:r>
        <w:rPr>
          <w:rFonts w:hint="eastAsia" w:cs="Times New Roman" w:asciiTheme="minorEastAsia" w:hAnsiTheme="minorEastAsia" w:eastAsiaTheme="minorEastAsia"/>
        </w:rPr>
        <w:t>延续高位震荡回落</w:t>
      </w:r>
      <w:r>
        <w:rPr>
          <w:rFonts w:cs="Times New Roman" w:asciiTheme="minorEastAsia" w:hAnsiTheme="minorEastAsia" w:eastAsiaTheme="minorEastAsia"/>
        </w:rPr>
        <w:t>，</w:t>
      </w:r>
      <w:r>
        <w:rPr>
          <w:rFonts w:hint="eastAsia" w:cs="Times New Roman" w:asciiTheme="minorEastAsia" w:hAnsiTheme="minorEastAsia" w:eastAsiaTheme="minorEastAsia"/>
        </w:rPr>
        <w:t>短期内仍呈现周期性波动特征，给煤炭的生产和销售带来风险，煤炭价格走势面临不确定性，若未来煤炭价格下行，则存在西北矿业经营业绩不达预期的风险。</w:t>
      </w:r>
    </w:p>
    <w:p>
      <w:pPr>
        <w:pStyle w:val="39"/>
        <w:keepNext/>
        <w:spacing w:line="520" w:lineRule="exact"/>
        <w:ind w:firstLine="562"/>
        <w:jc w:val="both"/>
        <w:rPr>
          <w:rFonts w:hint="eastAsia" w:cs="Times New Roman" w:asciiTheme="minorEastAsia" w:hAnsiTheme="minorEastAsia" w:eastAsiaTheme="minorEastAsia"/>
          <w:b/>
        </w:rPr>
      </w:pPr>
      <w:bookmarkStart w:id="77" w:name="_Hlk126145545"/>
      <w:r>
        <w:rPr>
          <w:rFonts w:cs="Times New Roman" w:asciiTheme="minorEastAsia" w:hAnsiTheme="minorEastAsia" w:eastAsiaTheme="minorEastAsia"/>
          <w:b/>
        </w:rPr>
        <w:t>2</w:t>
      </w:r>
      <w:r>
        <w:rPr>
          <w:rFonts w:hint="eastAsia" w:cs="Times New Roman" w:asciiTheme="minorEastAsia" w:hAnsiTheme="minorEastAsia" w:eastAsiaTheme="minorEastAsia"/>
          <w:b/>
        </w:rPr>
        <w:t>.</w:t>
      </w:r>
      <w:r>
        <w:rPr>
          <w:rFonts w:cs="Times New Roman" w:asciiTheme="minorEastAsia" w:hAnsiTheme="minorEastAsia" w:eastAsiaTheme="minorEastAsia"/>
          <w:b/>
        </w:rPr>
        <w:t>应对措施</w:t>
      </w:r>
    </w:p>
    <w:bookmarkEnd w:id="77"/>
    <w:p>
      <w:pPr>
        <w:pStyle w:val="39"/>
        <w:spacing w:line="520" w:lineRule="exact"/>
        <w:jc w:val="both"/>
        <w:rPr>
          <w:rFonts w:hint="eastAsia" w:cs="Times New Roman" w:asciiTheme="minorEastAsia" w:hAnsiTheme="minorEastAsia" w:eastAsiaTheme="minorEastAsia"/>
        </w:rPr>
      </w:pPr>
      <w:r>
        <w:rPr>
          <w:rFonts w:cs="Times New Roman" w:asciiTheme="minorEastAsia" w:hAnsiTheme="minorEastAsia" w:eastAsiaTheme="minorEastAsia"/>
        </w:rPr>
        <w:t>公司将密切关注国家政策与宏观经济走势及行业政策变化与波动情况，把握宏观调控政策导向，积极主动调整经营计划、产品结构和市场结构，提升西</w:t>
      </w:r>
      <w:r>
        <w:rPr>
          <w:rFonts w:hint="eastAsia" w:cs="Times New Roman" w:asciiTheme="minorEastAsia" w:hAnsiTheme="minorEastAsia" w:eastAsiaTheme="minorEastAsia"/>
        </w:rPr>
        <w:t>北</w:t>
      </w:r>
      <w:r>
        <w:rPr>
          <w:rFonts w:cs="Times New Roman" w:asciiTheme="minorEastAsia" w:hAnsiTheme="minorEastAsia" w:eastAsiaTheme="minorEastAsia"/>
        </w:rPr>
        <w:t>矿业整体抗风险能力和市场竞争能力；同时与交易对方就可能存在影响的行业政策变化事项及时进行协商并商榷方案。</w:t>
      </w:r>
      <w:r>
        <w:rPr>
          <w:rFonts w:hint="eastAsia" w:cs="Times New Roman" w:asciiTheme="minorEastAsia" w:hAnsiTheme="minorEastAsia" w:eastAsiaTheme="minorEastAsia"/>
        </w:rPr>
        <w:t>同时，为保障上市公司及中小股东利益，由目标公司现有股东方出具业绩承诺，如承诺期内西北矿业累计实现净利润未达累计承诺净利润，将以现金方式对上市公司进行补偿。</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（二）部分矿业权存在需缴纳或补缴出让收益风险</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w:t>
      </w:r>
      <w:r>
        <w:rPr>
          <w:rFonts w:cs="Times New Roman" w:asciiTheme="minorEastAsia" w:hAnsiTheme="minorEastAsia" w:eastAsiaTheme="minorEastAsia"/>
          <w:b/>
        </w:rPr>
        <w:t>基本情况</w:t>
      </w:r>
    </w:p>
    <w:p>
      <w:pPr>
        <w:pStyle w:val="39"/>
        <w:spacing w:line="520" w:lineRule="exact"/>
        <w:ind w:firstLine="548"/>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西北矿业下属部分矿业权存在需缴纳或补缴出让收益的风险。具体情况如下：</w:t>
      </w:r>
    </w:p>
    <w:p>
      <w:pPr>
        <w:pStyle w:val="39"/>
        <w:spacing w:line="520" w:lineRule="exact"/>
        <w:ind w:firstLine="548"/>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（1）2宗矿业权存在新增未有偿处置的资源储量。根据《1</w:t>
      </w:r>
      <w:r>
        <w:rPr>
          <w:rFonts w:cs="Times New Roman" w:asciiTheme="minorEastAsia" w:hAnsiTheme="minorEastAsia" w:eastAsiaTheme="minorEastAsia"/>
          <w:spacing w:val="-6"/>
          <w:kern w:val="2"/>
        </w:rPr>
        <w:t>0</w:t>
      </w:r>
      <w:r>
        <w:rPr>
          <w:rFonts w:hint="eastAsia" w:cs="Times New Roman" w:asciiTheme="minorEastAsia" w:hAnsiTheme="minorEastAsia" w:eastAsiaTheme="minorEastAsia"/>
          <w:spacing w:val="-6"/>
          <w:kern w:val="2"/>
        </w:rPr>
        <w:t>号文》，已设且进行过有偿处置的煤炭采矿权，涉及动用采矿权范围内未有偿处置的资源储量时，比照协议出让方式，按矿产品销售时的矿业权出让收益率逐年征收采矿权出让收益。（2）</w:t>
      </w:r>
      <w:r>
        <w:rPr>
          <w:rFonts w:cs="Times New Roman" w:asciiTheme="minorEastAsia" w:hAnsiTheme="minorEastAsia" w:eastAsiaTheme="minorEastAsia"/>
          <w:spacing w:val="-6"/>
          <w:kern w:val="2"/>
        </w:rPr>
        <w:t>9</w:t>
      </w:r>
      <w:r>
        <w:rPr>
          <w:rFonts w:hint="eastAsia" w:cs="Times New Roman" w:asciiTheme="minorEastAsia" w:hAnsiTheme="minorEastAsia" w:eastAsiaTheme="minorEastAsia"/>
          <w:spacing w:val="-6"/>
          <w:kern w:val="2"/>
        </w:rPr>
        <w:t>宗矿业权已进行过有偿处置，并按照矿业权出让合同、拍卖成交确认书等文件缴纳了全部或部分矿业权价款或出让收益。但其中5宗矿业权有偿处置时间较早，期间国家矿业权价款、出让收益相关政策存在调整情况；2宗矿业权缺失部分历史沿革资料；2宗矿业权涉及资源转化项目。如未来相关政府主管部门根据《1</w:t>
      </w:r>
      <w:r>
        <w:rPr>
          <w:rFonts w:cs="Times New Roman" w:asciiTheme="minorEastAsia" w:hAnsiTheme="minorEastAsia" w:eastAsiaTheme="minorEastAsia"/>
          <w:spacing w:val="-6"/>
          <w:kern w:val="2"/>
        </w:rPr>
        <w:t>0</w:t>
      </w:r>
      <w:r>
        <w:rPr>
          <w:rFonts w:hint="eastAsia" w:cs="Times New Roman" w:asciiTheme="minorEastAsia" w:hAnsiTheme="minorEastAsia" w:eastAsiaTheme="minorEastAsia"/>
          <w:spacing w:val="-6"/>
          <w:kern w:val="2"/>
        </w:rPr>
        <w:t>号文》或届时有效的法律法规认为该等公司需缴纳或补缴出让收益，则存在遭受损失的风险。</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w:t>
      </w:r>
      <w:r>
        <w:rPr>
          <w:rFonts w:cs="Times New Roman" w:asciiTheme="minorEastAsia" w:hAnsiTheme="minorEastAsia" w:eastAsiaTheme="minorEastAsia"/>
          <w:b/>
        </w:rPr>
        <w:t>应对措施</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（1）对于2宗存在新增未有偿处置资源储量的矿业权，本次交易中根据《10号文》规定的矿业权出让收益率，对该等矿业权的新增资源储量未来可能缴纳的出让收益进行了测算，在成本中进行了考虑。</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（2）就其余9宗已经进行过有偿处置的矿业权，为保障上市公司权益，目标公司现有股东方已出具承诺，本次交易交割日后就2024年11月30日</w:t>
      </w:r>
      <w:r>
        <w:rPr>
          <w:rFonts w:cs="Times New Roman" w:asciiTheme="minorEastAsia" w:hAnsiTheme="minorEastAsia" w:eastAsiaTheme="minorEastAsia"/>
          <w:spacing w:val="-6"/>
          <w:kern w:val="2"/>
        </w:rPr>
        <w:t>评估基准日前已动用的及本次交易中相关采矿权评估范围内的资源储量需缴纳出让收益，则由</w:t>
      </w:r>
      <w:r>
        <w:rPr>
          <w:rFonts w:hint="eastAsia" w:cs="Times New Roman" w:asciiTheme="minorEastAsia" w:hAnsiTheme="minorEastAsia" w:eastAsiaTheme="minorEastAsia"/>
          <w:spacing w:val="-6"/>
          <w:kern w:val="2"/>
        </w:rPr>
        <w:t>现有股东方</w:t>
      </w:r>
      <w:r>
        <w:rPr>
          <w:rFonts w:cs="Times New Roman" w:asciiTheme="minorEastAsia" w:hAnsiTheme="minorEastAsia" w:eastAsiaTheme="minorEastAsia"/>
          <w:spacing w:val="-6"/>
          <w:kern w:val="2"/>
        </w:rPr>
        <w:t>予以补偿。</w:t>
      </w:r>
      <w:r>
        <w:rPr>
          <w:rFonts w:hint="eastAsia" w:cs="Times New Roman" w:asciiTheme="minorEastAsia" w:hAnsiTheme="minorEastAsia" w:eastAsiaTheme="minorEastAsia"/>
          <w:spacing w:val="-6"/>
          <w:kern w:val="2"/>
        </w:rPr>
        <w:t>上述承诺具体内容参见本公告之“五、本次交易协议及履约安排”</w:t>
      </w:r>
      <w:r>
        <w:rPr>
          <w:rFonts w:cs="Times New Roman" w:asciiTheme="minorEastAsia" w:hAnsiTheme="minorEastAsia" w:eastAsiaTheme="minorEastAsia"/>
          <w:spacing w:val="-6"/>
          <w:kern w:val="2"/>
        </w:rPr>
        <w:t>之“（二）</w:t>
      </w:r>
      <w:r>
        <w:rPr>
          <w:rFonts w:hint="eastAsia" w:cs="Times New Roman" w:asciiTheme="minorEastAsia" w:hAnsiTheme="minorEastAsia" w:eastAsiaTheme="minorEastAsia"/>
          <w:spacing w:val="-6"/>
          <w:kern w:val="2"/>
        </w:rPr>
        <w:t>《矿业权相关事项承诺函》</w:t>
      </w:r>
      <w:r>
        <w:rPr>
          <w:rFonts w:cs="Times New Roman" w:asciiTheme="minorEastAsia" w:hAnsiTheme="minorEastAsia" w:eastAsiaTheme="minorEastAsia"/>
          <w:spacing w:val="-6"/>
          <w:kern w:val="2"/>
        </w:rPr>
        <w:t>”。</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hint="eastAsia" w:ascii="楷体" w:hAnsi="楷体" w:eastAsia="楷体" w:cs="Times New Roman"/>
          <w:b/>
          <w:bCs/>
          <w:sz w:val="28"/>
          <w:szCs w:val="28"/>
        </w:rPr>
        <w:t>（三）西北矿业下属探矿权存在续期风险</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w:t>
      </w:r>
      <w:r>
        <w:rPr>
          <w:rFonts w:cs="Times New Roman" w:asciiTheme="minorEastAsia" w:hAnsiTheme="minorEastAsia" w:eastAsiaTheme="minorEastAsia"/>
          <w:b/>
        </w:rPr>
        <w:t>基本情况</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西北矿业控股子公司甘肃华能天竣能源有限公司持有的马福川井田探矿权、毛家川井田探矿权均为第5次保留，目前正在办理探矿权转为采矿权（“探转采”）手续。前述2宗探矿权保留次数已超过现行有效的《矿产资源勘查区块登记管理办法》规定的最高保留次数，</w:t>
      </w:r>
      <w:r>
        <w:rPr>
          <w:rFonts w:cs="Times New Roman" w:asciiTheme="minorEastAsia" w:hAnsiTheme="minorEastAsia" w:eastAsiaTheme="minorEastAsia"/>
          <w:spacing w:val="-6"/>
          <w:kern w:val="2"/>
        </w:rPr>
        <w:t>如无法在有效期内转采，未来能否延续或继续保留存在一定不确定性。</w:t>
      </w:r>
    </w:p>
    <w:p>
      <w:pPr>
        <w:pStyle w:val="39"/>
        <w:keepNext/>
        <w:spacing w:line="520" w:lineRule="exact"/>
        <w:ind w:firstLine="562"/>
        <w:jc w:val="both"/>
        <w:rPr>
          <w:rFonts w:hint="eastAsia"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w:t>
      </w:r>
      <w:r>
        <w:rPr>
          <w:rFonts w:cs="Times New Roman" w:asciiTheme="minorEastAsia" w:hAnsiTheme="minorEastAsia" w:eastAsiaTheme="minorEastAsia"/>
          <w:b/>
        </w:rPr>
        <w:t>应对措施</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根据将于2</w:t>
      </w:r>
      <w:r>
        <w:rPr>
          <w:rFonts w:cs="Times New Roman" w:asciiTheme="minorEastAsia" w:hAnsiTheme="minorEastAsia" w:eastAsiaTheme="minorEastAsia"/>
          <w:spacing w:val="-6"/>
          <w:kern w:val="2"/>
        </w:rPr>
        <w:t>025</w:t>
      </w:r>
      <w:r>
        <w:rPr>
          <w:rFonts w:hint="eastAsia" w:cs="Times New Roman" w:asciiTheme="minorEastAsia" w:hAnsiTheme="minorEastAsia" w:eastAsiaTheme="minorEastAsia"/>
          <w:spacing w:val="-6"/>
          <w:kern w:val="2"/>
        </w:rPr>
        <w:t>年7月1日施行的《中华人民共和国矿产资源法》（2</w:t>
      </w:r>
      <w:r>
        <w:rPr>
          <w:rFonts w:cs="Times New Roman" w:asciiTheme="minorEastAsia" w:hAnsiTheme="minorEastAsia" w:eastAsiaTheme="minorEastAsia"/>
          <w:spacing w:val="-6"/>
          <w:kern w:val="2"/>
        </w:rPr>
        <w:t>024</w:t>
      </w:r>
      <w:r>
        <w:rPr>
          <w:rFonts w:hint="eastAsia" w:cs="Times New Roman" w:asciiTheme="minorEastAsia" w:hAnsiTheme="minorEastAsia" w:eastAsiaTheme="minorEastAsia"/>
          <w:spacing w:val="-6"/>
          <w:kern w:val="2"/>
        </w:rPr>
        <w:t>修订）</w:t>
      </w:r>
      <w:r>
        <w:rPr>
          <w:rFonts w:hint="eastAsia" w:cs="Times New Roman" w:asciiTheme="minorEastAsia" w:hAnsiTheme="minorEastAsia" w:eastAsiaTheme="minorEastAsia"/>
          <w:bCs/>
          <w:spacing w:val="-6"/>
          <w:kern w:val="2"/>
        </w:rPr>
        <w:t>第二十五</w:t>
      </w:r>
      <w:bookmarkStart w:id="78" w:name="tiao_25_kuan_1"/>
      <w:bookmarkEnd w:id="78"/>
      <w:r>
        <w:rPr>
          <w:rFonts w:hint="eastAsia" w:cs="Times New Roman" w:asciiTheme="minorEastAsia" w:hAnsiTheme="minorEastAsia" w:eastAsiaTheme="minorEastAsia"/>
          <w:bCs/>
          <w:spacing w:val="-6"/>
          <w:kern w:val="2"/>
        </w:rPr>
        <w:t>条：“</w:t>
      </w:r>
      <w:r>
        <w:rPr>
          <w:rFonts w:cs="Times New Roman" w:asciiTheme="minorEastAsia" w:hAnsiTheme="minorEastAsia" w:eastAsiaTheme="minorEastAsia"/>
          <w:spacing w:val="-6"/>
          <w:kern w:val="2"/>
        </w:rPr>
        <w:t>探矿权人探明可供开采的矿产资源后可以在探矿权期限内申请将其探矿权转为采矿权；法律、行政法规另有规定的除外。原矿业权出让部门应当与该探矿权人签订采矿权出让合同，设立采矿权。</w:t>
      </w:r>
      <w:bookmarkStart w:id="79" w:name="tiao_25_kuan_2"/>
      <w:bookmarkEnd w:id="79"/>
      <w:r>
        <w:rPr>
          <w:rFonts w:cs="Times New Roman" w:asciiTheme="minorEastAsia" w:hAnsiTheme="minorEastAsia" w:eastAsiaTheme="minorEastAsia"/>
          <w:spacing w:val="-6"/>
          <w:kern w:val="2"/>
        </w:rPr>
        <w:t>为了公共利益的需要，或者因不可抗力或者其他特殊情形，探矿权暂时不能转为采矿权的，探矿权人可以申请办理探矿权保留，原矿业权出让部门应当为其办理。探矿权保留期间，探矿权期限中止计算。</w:t>
      </w:r>
      <w:r>
        <w:rPr>
          <w:rFonts w:hint="eastAsia" w:cs="Times New Roman" w:asciiTheme="minorEastAsia" w:hAnsiTheme="minorEastAsia" w:eastAsiaTheme="minorEastAsia"/>
          <w:spacing w:val="-6"/>
          <w:kern w:val="2"/>
        </w:rPr>
        <w:t>”截至本公告日，甘肃华能天竣能源有限公司已委托勘探单位就马福川井田探矿权、毛家川井田探矿权编制了勘探报告或储量核实报告并获自然资源主管部门备案。</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本次交易中，交易对方已作出专项承诺，将积极敦促并协助甘肃华能天竣能源有限公司在对应矿产资源勘查许可证有效期内办理探矿权转为采矿权手续或探矿权保留手续，并就未来无法转采、保留或延期造成的损失承担补偿责任，承诺具体内容参见本公告之“五、本次交易协议及履约安排之”</w:t>
      </w:r>
      <w:r>
        <w:rPr>
          <w:rFonts w:cs="Times New Roman" w:asciiTheme="minorEastAsia" w:hAnsiTheme="minorEastAsia" w:eastAsiaTheme="minorEastAsia"/>
          <w:spacing w:val="-6"/>
          <w:kern w:val="2"/>
        </w:rPr>
        <w:t>之“（二）</w:t>
      </w:r>
      <w:r>
        <w:rPr>
          <w:rFonts w:hint="eastAsia" w:cs="Times New Roman" w:asciiTheme="minorEastAsia" w:hAnsiTheme="minorEastAsia" w:eastAsiaTheme="minorEastAsia"/>
          <w:spacing w:val="-6"/>
          <w:kern w:val="2"/>
        </w:rPr>
        <w:t>《矿业权相关事项承诺函》</w:t>
      </w:r>
      <w:r>
        <w:rPr>
          <w:rFonts w:cs="Times New Roman" w:asciiTheme="minorEastAsia" w:hAnsiTheme="minorEastAsia" w:eastAsiaTheme="minorEastAsia"/>
          <w:spacing w:val="-6"/>
          <w:kern w:val="2"/>
        </w:rPr>
        <w:t>”</w:t>
      </w:r>
      <w:r>
        <w:rPr>
          <w:rFonts w:hint="eastAsia" w:cs="Times New Roman" w:asciiTheme="minorEastAsia" w:hAnsiTheme="minorEastAsia" w:eastAsiaTheme="minorEastAsia"/>
          <w:spacing w:val="-6"/>
          <w:kern w:val="2"/>
        </w:rPr>
        <w:t>相关内容。</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公司将密切关注相关政策法规动向及2宗探矿权探转采手续的进展情况。</w:t>
      </w:r>
    </w:p>
    <w:p>
      <w:pPr>
        <w:keepNext/>
        <w:adjustRightInd w:val="0"/>
        <w:snapToGrid w:val="0"/>
        <w:spacing w:line="520" w:lineRule="exact"/>
        <w:ind w:firstLine="562" w:firstLineChars="200"/>
        <w:jc w:val="both"/>
        <w:outlineLvl w:val="1"/>
        <w:rPr>
          <w:rFonts w:hint="eastAsia"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四</w:t>
      </w:r>
      <w:r>
        <w:rPr>
          <w:rFonts w:ascii="楷体" w:hAnsi="楷体" w:eastAsia="楷体" w:cs="Times New Roman"/>
          <w:b/>
          <w:bCs/>
          <w:sz w:val="28"/>
          <w:szCs w:val="28"/>
        </w:rPr>
        <w:t>）</w:t>
      </w:r>
      <w:r>
        <w:rPr>
          <w:rFonts w:hint="eastAsia" w:ascii="楷体" w:hAnsi="楷体" w:eastAsia="楷体" w:cs="Times New Roman"/>
          <w:b/>
          <w:bCs/>
          <w:sz w:val="28"/>
          <w:szCs w:val="28"/>
        </w:rPr>
        <w:t>望田煤业固定股权收益风险</w:t>
      </w:r>
    </w:p>
    <w:p>
      <w:pPr>
        <w:pStyle w:val="39"/>
        <w:keepNext/>
        <w:spacing w:line="520" w:lineRule="exact"/>
        <w:ind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1.基本情况</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望田煤业及其股东西北矿业、龙矿投资、山西忻州神达能源集团有限公司于2023年10月23日签订《内部合作经营协议》，约定山西忻州神达能源集团有限公司以望田煤业的季度产能和平均煤价对应的固定股权收益标准向望田煤业收取固定股权收益；协议期限为从实际复产之日起至2026年12月31日止，该协议到期，各方无书面异议，则自动顺延一年。</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本次交易《资产评估报告》以该协议2026年12月31日到期不再续期作为评估假设，《资产评估报告》中载明的望田煤业55%股权的评估价值为1.66亿元，本次交易完成后投资方间接应享有的望田煤业价值=望田煤业55%股权的评估价值×51%（即0.85亿元）。</w:t>
      </w:r>
    </w:p>
    <w:p>
      <w:pPr>
        <w:pStyle w:val="39"/>
        <w:keepNext/>
        <w:spacing w:line="520" w:lineRule="exact"/>
        <w:ind w:firstLine="562"/>
        <w:jc w:val="both"/>
        <w:rPr>
          <w:rFonts w:hint="eastAsia" w:cs="Times New Roman" w:asciiTheme="minorEastAsia" w:hAnsiTheme="minorEastAsia" w:eastAsiaTheme="minorEastAsia"/>
          <w:b/>
        </w:rPr>
      </w:pPr>
      <w:r>
        <w:rPr>
          <w:rFonts w:hint="eastAsia" w:cs="Times New Roman" w:asciiTheme="minorEastAsia" w:hAnsiTheme="minorEastAsia" w:eastAsiaTheme="minorEastAsia"/>
          <w:b/>
        </w:rPr>
        <w:t>2.应对措施</w:t>
      </w:r>
    </w:p>
    <w:p>
      <w:pPr>
        <w:pStyle w:val="39"/>
        <w:spacing w:line="520" w:lineRule="exact"/>
        <w:ind w:firstLine="548"/>
        <w:jc w:val="both"/>
        <w:rPr>
          <w:rFonts w:hint="eastAsia" w:cs="Times New Roman" w:asciiTheme="minorEastAsia" w:hAnsiTheme="minorEastAsia" w:eastAsiaTheme="minorEastAsia"/>
          <w:spacing w:val="-6"/>
          <w:kern w:val="2"/>
        </w:rPr>
      </w:pPr>
      <w:r>
        <w:rPr>
          <w:rFonts w:hint="eastAsia" w:cs="Times New Roman" w:asciiTheme="minorEastAsia" w:hAnsiTheme="minorEastAsia" w:eastAsiaTheme="minorEastAsia"/>
          <w:spacing w:val="-6"/>
          <w:kern w:val="2"/>
        </w:rPr>
        <w:t>本次交易中将望田煤业与其股东方《内部合作经营协议》的提前解除或到期终止，作为转让价款中对应的望田煤业价款的支付前提，如支付前提条件未达成，则公司不予支付对应的望田煤业价款。</w:t>
      </w:r>
    </w:p>
    <w:bookmarkEnd w:id="76"/>
    <w:p>
      <w:pPr>
        <w:keepNext/>
        <w:autoSpaceDE w:val="0"/>
        <w:autoSpaceDN w:val="0"/>
        <w:adjustRightInd w:val="0"/>
        <w:snapToGrid w:val="0"/>
        <w:spacing w:line="520" w:lineRule="exact"/>
        <w:ind w:firstLine="560" w:firstLineChars="200"/>
        <w:jc w:val="both"/>
        <w:outlineLvl w:val="0"/>
        <w:rPr>
          <w:rFonts w:hint="eastAsia" w:ascii="黑体" w:hAnsi="黑体" w:eastAsia="黑体" w:cs="Times New Roman"/>
          <w:bCs/>
          <w:color w:val="000000"/>
          <w:sz w:val="28"/>
          <w:szCs w:val="28"/>
        </w:rPr>
      </w:pPr>
      <w:r>
        <w:rPr>
          <w:rFonts w:ascii="黑体" w:hAnsi="黑体" w:eastAsia="黑体" w:cs="Times New Roman"/>
          <w:bCs/>
          <w:color w:val="000000"/>
          <w:sz w:val="28"/>
          <w:szCs w:val="28"/>
        </w:rPr>
        <w:t>十、备查文件</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（一）公司第九届董事会第十五次会议决议；</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（二）独立董事专门会议决议；</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（三）《淄博矿业集团有限责任公司、龙口矿业集团有限公司、新汶矿业集团有限责任公司、肥城肥矿煤业有限公司与兖矿能源集团股份有限公司关于山东能源集团西北矿业有限公司之股权收购及增资协议》；</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（四）《业绩补偿承诺函》《矿业权相关事项承诺函》；</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（五）目标公司审计报告；</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（六）目标公司资产评估报告；</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（七）目标公司下属</w:t>
      </w:r>
      <w:r>
        <w:rPr>
          <w:rFonts w:hint="eastAsia" w:cs="Times New Roman" w:asciiTheme="minorEastAsia" w:hAnsiTheme="minorEastAsia" w:eastAsiaTheme="minorEastAsia"/>
          <w:sz w:val="28"/>
          <w:szCs w:val="28"/>
        </w:rPr>
        <w:t>矿业权评估报告。</w:t>
      </w:r>
    </w:p>
    <w:p>
      <w:pPr>
        <w:adjustRightInd w:val="0"/>
        <w:snapToGrid w:val="0"/>
        <w:spacing w:line="520" w:lineRule="exact"/>
        <w:ind w:firstLine="560" w:firstLineChars="200"/>
        <w:rPr>
          <w:rFonts w:hint="eastAsia"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hint="eastAsia"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520" w:lineRule="exact"/>
        <w:ind w:firstLine="560" w:firstLineChars="200"/>
        <w:rPr>
          <w:rFonts w:hint="eastAsia" w:cs="Times New Roman" w:asciiTheme="minorEastAsia" w:hAnsiTheme="minorEastAsia" w:eastAsiaTheme="minorEastAsia"/>
          <w:color w:val="000000"/>
          <w:sz w:val="28"/>
          <w:szCs w:val="28"/>
        </w:rPr>
      </w:pPr>
    </w:p>
    <w:p>
      <w:pPr>
        <w:adjustRightInd w:val="0"/>
        <w:snapToGrid w:val="0"/>
        <w:spacing w:line="520" w:lineRule="exact"/>
        <w:ind w:firstLine="560" w:firstLineChars="200"/>
        <w:jc w:val="right"/>
        <w:rPr>
          <w:rFonts w:hint="eastAsia"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520" w:lineRule="exact"/>
        <w:ind w:firstLine="560" w:firstLineChars="200"/>
        <w:jc w:val="right"/>
        <w:rPr>
          <w:rFonts w:hint="eastAsia"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rPr>
        <w:t>5</w:t>
      </w:r>
      <w:r>
        <w:rPr>
          <w:rFonts w:cs="Times New Roman" w:asciiTheme="minorEastAsia" w:hAnsiTheme="minorEastAsia" w:eastAsiaTheme="minorEastAsia"/>
          <w:color w:val="000000"/>
          <w:sz w:val="28"/>
          <w:szCs w:val="28"/>
        </w:rPr>
        <w:t>年</w:t>
      </w:r>
      <w:r>
        <w:rPr>
          <w:rFonts w:hint="eastAsia" w:cs="Times New Roman" w:asciiTheme="minorEastAsia" w:hAnsiTheme="minorEastAsia" w:eastAsiaTheme="minorEastAsia"/>
          <w:color w:val="000000"/>
          <w:sz w:val="28"/>
          <w:szCs w:val="28"/>
        </w:rPr>
        <w:t>4</w:t>
      </w:r>
      <w:r>
        <w:rPr>
          <w:rFonts w:cs="Times New Roman" w:asciiTheme="minorEastAsia" w:hAnsiTheme="minorEastAsia" w:eastAsiaTheme="minorEastAsia"/>
          <w:color w:val="000000"/>
          <w:sz w:val="28"/>
          <w:szCs w:val="28"/>
        </w:rPr>
        <w:t>月8日</w:t>
      </w:r>
    </w:p>
    <w:p>
      <w:pPr>
        <w:spacing w:line="520" w:lineRule="exact"/>
        <w:rPr>
          <w:rFonts w:hint="eastAsia"/>
          <w:sz w:val="28"/>
          <w:szCs w:val="28"/>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rP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rPr>
                        <w:rFonts w:hint="eastAsia"/>
                      </w:rPr>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6085815" name="文本框 17260858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PDiI7AgAAdQQAAA4AAABkcnMvZTJvRG9jLnhtbK1UzY7TMBC+I/EO&#10;lu80aVFLVTVdla2KkFbsSgVxdh2nieQ/2W6T8gDwBpy4cN/n6nPwOWna1cJhD1ycsWfmm5lvZjK/&#10;aZQkB+F8ZXRGh4OUEqG5ySu9y+iXz+s3U0p8YDpn0miR0aPw9Gbx+tW8tjMxMqWRuXAEINrPapvR&#10;MgQ7SxLPS6GYHxgrNJSFcYoFXN0uyR2rga5kMkrTSVIbl1tnuPAer6tOSc+I7iWApigqLlaG75XQ&#10;oUN1QrKAknxZWU8XbbZFIXi4LwovApEZRaWhPREE8jaeyWLOZjvHbFnxcwrsJSk8q0mxSiPoBWrF&#10;AiN7V/0FpSrujDdFGHCjkq6QlhFUMUyfcbMpmRVtLaDa2wvp/v/B8k+HB0eqHJPwbjRJp+PpcEyJ&#10;ZgqdP/38cfr1ePr9nTzRgbDa+hn8NhaeoXlvGjhHIuO7x2PkoSmcil9USKAH3ccL3aIJhEen6Wg6&#10;TaHi0PUX4CRXd+t8+CCMIlHIqEM/W5rZ4c6HzrQ3idG0WVdS4p3NpCZ1Ridvx2nrcNEAXOpoINrp&#10;OMNcU49SaLbNuZ6tyY8o05lucrzl6wqp3DEfHpjDqCB9LFO4x1FIg5DmLFFSGvftX+/RHh2ElpIa&#10;o5dRjU2jRH7U6CwAQy+4Xtj2gt6rW4NZHmJJLW9FOLgge7FwRn3Fhi1jDKiY5oiU0dCLt6Ebf2wo&#10;F8tla4RZtCzc6Y3lETrS4+1yH0Bny3IkpWMC3YkXTGPbp/PmxHF/em+trn+L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g08OIjsCAAB1BAAADgAAAAAAAAABACAAAAAfAQAAZHJzL2Uyb0Rv&#10;Yy54bWxQSwUGAAAAAAYABgBZAQAAzAUAAAAA&#10;">
              <v:fill on="f" focussize="0,0"/>
              <v:stroke on="f" weight="0.5pt"/>
              <v:imagedata o:title=""/>
              <o:lock v:ext="edit" aspectratio="f"/>
              <v:textbox inset="0mm,0mm,0mm,0mm" style="mso-fit-shape-to-text:t;">
                <w:txbxContent>
                  <w:p>
                    <w:pPr>
                      <w:pStyle w:val="13"/>
                      <w:rPr>
                        <w:rFonts w:hint="eastAsia"/>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rPr>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hint="eastAsia"/>
                      </w:rPr>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
    <w:nsid w:val="29072186"/>
    <w:multiLevelType w:val="multilevel"/>
    <w:tmpl w:val="29072186"/>
    <w:lvl w:ilvl="0" w:tentative="0">
      <w:start w:val="1"/>
      <w:numFmt w:val="decimal"/>
      <w:pStyle w:val="70"/>
      <w:lvlText w:val="第%1条"/>
      <w:lvlJc w:val="left"/>
      <w:pPr>
        <w:ind w:left="425" w:hanging="425"/>
      </w:pPr>
      <w:rPr>
        <w:rFonts w:hint="eastAsia"/>
      </w:rPr>
    </w:lvl>
    <w:lvl w:ilvl="1" w:tentative="0">
      <w:start w:val="1"/>
      <w:numFmt w:val="decimal"/>
      <w:lvlText w:val="%1.%2"/>
      <w:lvlJc w:val="left"/>
      <w:pPr>
        <w:ind w:left="992"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CC24E3C"/>
    <w:multiLevelType w:val="multilevel"/>
    <w:tmpl w:val="2CC24E3C"/>
    <w:lvl w:ilvl="0" w:tentative="0">
      <w:start w:val="1"/>
      <w:numFmt w:val="decimal"/>
      <w:suff w:val="nothing"/>
      <w:lvlText w:val="%1."/>
      <w:lvlJc w:val="left"/>
      <w:pPr>
        <w:ind w:left="982" w:hanging="420"/>
      </w:pPr>
      <w:rPr>
        <w:rFonts w:hint="default" w:ascii="宋体" w:hAnsi="宋体" w:eastAsia="宋体" w:cs="宋体"/>
        <w:b/>
        <w:bCs/>
        <w:sz w:val="28"/>
        <w:szCs w:val="28"/>
      </w:rPr>
    </w:lvl>
    <w:lvl w:ilvl="1" w:tentative="0">
      <w:start w:val="1"/>
      <w:numFmt w:val="lowerLetter"/>
      <w:lvlText w:val="%2)"/>
      <w:lvlJc w:val="left"/>
      <w:pPr>
        <w:ind w:left="1402" w:hanging="420"/>
      </w:pPr>
      <w:rPr>
        <w:rFonts w:hint="eastAsia"/>
      </w:rPr>
    </w:lvl>
    <w:lvl w:ilvl="2" w:tentative="0">
      <w:start w:val="1"/>
      <w:numFmt w:val="lowerRoman"/>
      <w:lvlText w:val="%3."/>
      <w:lvlJc w:val="right"/>
      <w:pPr>
        <w:ind w:left="1822" w:hanging="420"/>
      </w:pPr>
      <w:rPr>
        <w:rFonts w:hint="eastAsia"/>
      </w:rPr>
    </w:lvl>
    <w:lvl w:ilvl="3" w:tentative="0">
      <w:start w:val="1"/>
      <w:numFmt w:val="decimal"/>
      <w:lvlText w:val="%4."/>
      <w:lvlJc w:val="left"/>
      <w:pPr>
        <w:ind w:left="2242" w:hanging="420"/>
      </w:pPr>
      <w:rPr>
        <w:rFonts w:hint="eastAsia"/>
      </w:rPr>
    </w:lvl>
    <w:lvl w:ilvl="4" w:tentative="0">
      <w:start w:val="1"/>
      <w:numFmt w:val="lowerLetter"/>
      <w:lvlText w:val="%5)"/>
      <w:lvlJc w:val="left"/>
      <w:pPr>
        <w:ind w:left="2662" w:hanging="420"/>
      </w:pPr>
      <w:rPr>
        <w:rFonts w:hint="eastAsia"/>
      </w:rPr>
    </w:lvl>
    <w:lvl w:ilvl="5" w:tentative="0">
      <w:start w:val="1"/>
      <w:numFmt w:val="lowerRoman"/>
      <w:lvlText w:val="%6."/>
      <w:lvlJc w:val="right"/>
      <w:pPr>
        <w:ind w:left="3082" w:hanging="420"/>
      </w:pPr>
      <w:rPr>
        <w:rFonts w:hint="eastAsia"/>
      </w:rPr>
    </w:lvl>
    <w:lvl w:ilvl="6" w:tentative="0">
      <w:start w:val="1"/>
      <w:numFmt w:val="decimal"/>
      <w:lvlText w:val="%7."/>
      <w:lvlJc w:val="left"/>
      <w:pPr>
        <w:ind w:left="3502" w:hanging="420"/>
      </w:pPr>
      <w:rPr>
        <w:rFonts w:hint="eastAsia"/>
      </w:rPr>
    </w:lvl>
    <w:lvl w:ilvl="7" w:tentative="0">
      <w:start w:val="1"/>
      <w:numFmt w:val="lowerLetter"/>
      <w:lvlText w:val="%8)"/>
      <w:lvlJc w:val="left"/>
      <w:pPr>
        <w:ind w:left="3922" w:hanging="420"/>
      </w:pPr>
      <w:rPr>
        <w:rFonts w:hint="eastAsia"/>
      </w:rPr>
    </w:lvl>
    <w:lvl w:ilvl="8" w:tentative="0">
      <w:start w:val="1"/>
      <w:numFmt w:val="lowerRoman"/>
      <w:lvlText w:val="%9."/>
      <w:lvlJc w:val="right"/>
      <w:pPr>
        <w:ind w:left="4342" w:hanging="420"/>
      </w:pPr>
      <w:rPr>
        <w:rFonts w:hint="eastAsia"/>
      </w:rPr>
    </w:lvl>
  </w:abstractNum>
  <w:abstractNum w:abstractNumId="3">
    <w:nsid w:val="6BD0585F"/>
    <w:multiLevelType w:val="multilevel"/>
    <w:tmpl w:val="6BD0585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KSO_WPS_MARK_KEY" w:val="ef0fa880-6c2d-446e-801a-255e75082ddd"/>
  </w:docVars>
  <w:rsids>
    <w:rsidRoot w:val="00172A27"/>
    <w:rsid w:val="00000BEB"/>
    <w:rsid w:val="00001474"/>
    <w:rsid w:val="00001ABF"/>
    <w:rsid w:val="00001C9E"/>
    <w:rsid w:val="000029E1"/>
    <w:rsid w:val="00002B34"/>
    <w:rsid w:val="0000335F"/>
    <w:rsid w:val="000036A1"/>
    <w:rsid w:val="00004158"/>
    <w:rsid w:val="0000421B"/>
    <w:rsid w:val="000044E0"/>
    <w:rsid w:val="00004870"/>
    <w:rsid w:val="00004BFD"/>
    <w:rsid w:val="00004E87"/>
    <w:rsid w:val="00005852"/>
    <w:rsid w:val="000058F6"/>
    <w:rsid w:val="000065C9"/>
    <w:rsid w:val="00006EC6"/>
    <w:rsid w:val="00006F62"/>
    <w:rsid w:val="00007472"/>
    <w:rsid w:val="00010A1E"/>
    <w:rsid w:val="00010AC8"/>
    <w:rsid w:val="00011306"/>
    <w:rsid w:val="00011F62"/>
    <w:rsid w:val="00012F3F"/>
    <w:rsid w:val="00012FB4"/>
    <w:rsid w:val="00014220"/>
    <w:rsid w:val="000147C9"/>
    <w:rsid w:val="00014BF5"/>
    <w:rsid w:val="000155C1"/>
    <w:rsid w:val="000155FF"/>
    <w:rsid w:val="00015651"/>
    <w:rsid w:val="00015838"/>
    <w:rsid w:val="000159CB"/>
    <w:rsid w:val="000166AE"/>
    <w:rsid w:val="000168A2"/>
    <w:rsid w:val="00017326"/>
    <w:rsid w:val="000176EC"/>
    <w:rsid w:val="00017A06"/>
    <w:rsid w:val="00017DE0"/>
    <w:rsid w:val="00017EFB"/>
    <w:rsid w:val="00021061"/>
    <w:rsid w:val="00022689"/>
    <w:rsid w:val="00022FB5"/>
    <w:rsid w:val="00023282"/>
    <w:rsid w:val="000232A6"/>
    <w:rsid w:val="0002350B"/>
    <w:rsid w:val="000238C3"/>
    <w:rsid w:val="00023B9B"/>
    <w:rsid w:val="00023C5F"/>
    <w:rsid w:val="00024B29"/>
    <w:rsid w:val="00024D26"/>
    <w:rsid w:val="00024DD6"/>
    <w:rsid w:val="00025866"/>
    <w:rsid w:val="00026781"/>
    <w:rsid w:val="00027B61"/>
    <w:rsid w:val="00030294"/>
    <w:rsid w:val="0003096C"/>
    <w:rsid w:val="00030C35"/>
    <w:rsid w:val="00031106"/>
    <w:rsid w:val="00031983"/>
    <w:rsid w:val="0003254A"/>
    <w:rsid w:val="0003264D"/>
    <w:rsid w:val="00033724"/>
    <w:rsid w:val="00033805"/>
    <w:rsid w:val="000342AE"/>
    <w:rsid w:val="0003438C"/>
    <w:rsid w:val="000343F6"/>
    <w:rsid w:val="00034585"/>
    <w:rsid w:val="00034D8C"/>
    <w:rsid w:val="00035789"/>
    <w:rsid w:val="00036055"/>
    <w:rsid w:val="0003736E"/>
    <w:rsid w:val="0003769C"/>
    <w:rsid w:val="00037A95"/>
    <w:rsid w:val="000408E3"/>
    <w:rsid w:val="0004117B"/>
    <w:rsid w:val="000417CF"/>
    <w:rsid w:val="00041836"/>
    <w:rsid w:val="00041987"/>
    <w:rsid w:val="00042351"/>
    <w:rsid w:val="000430DA"/>
    <w:rsid w:val="000437DC"/>
    <w:rsid w:val="00044465"/>
    <w:rsid w:val="00047143"/>
    <w:rsid w:val="00047364"/>
    <w:rsid w:val="000475FF"/>
    <w:rsid w:val="00047B32"/>
    <w:rsid w:val="00050025"/>
    <w:rsid w:val="000505EA"/>
    <w:rsid w:val="000510D7"/>
    <w:rsid w:val="00051554"/>
    <w:rsid w:val="00051CE1"/>
    <w:rsid w:val="00051E7A"/>
    <w:rsid w:val="00052EC2"/>
    <w:rsid w:val="000534F8"/>
    <w:rsid w:val="00053BDC"/>
    <w:rsid w:val="000544AD"/>
    <w:rsid w:val="00054622"/>
    <w:rsid w:val="0005523E"/>
    <w:rsid w:val="00055247"/>
    <w:rsid w:val="00055C95"/>
    <w:rsid w:val="00056449"/>
    <w:rsid w:val="000568C3"/>
    <w:rsid w:val="00056E67"/>
    <w:rsid w:val="0005783D"/>
    <w:rsid w:val="00060257"/>
    <w:rsid w:val="00060351"/>
    <w:rsid w:val="0006039A"/>
    <w:rsid w:val="0006071A"/>
    <w:rsid w:val="00060F6F"/>
    <w:rsid w:val="000616A1"/>
    <w:rsid w:val="00063788"/>
    <w:rsid w:val="000653E4"/>
    <w:rsid w:val="0006593B"/>
    <w:rsid w:val="00065FFE"/>
    <w:rsid w:val="000661EB"/>
    <w:rsid w:val="00066815"/>
    <w:rsid w:val="00067916"/>
    <w:rsid w:val="00067AF4"/>
    <w:rsid w:val="00070374"/>
    <w:rsid w:val="0007069D"/>
    <w:rsid w:val="00070A1F"/>
    <w:rsid w:val="000711DC"/>
    <w:rsid w:val="000715CF"/>
    <w:rsid w:val="0007165E"/>
    <w:rsid w:val="00071870"/>
    <w:rsid w:val="00071D3B"/>
    <w:rsid w:val="00072117"/>
    <w:rsid w:val="00072FCC"/>
    <w:rsid w:val="000747F2"/>
    <w:rsid w:val="00074A09"/>
    <w:rsid w:val="00074BFD"/>
    <w:rsid w:val="00075479"/>
    <w:rsid w:val="000754E5"/>
    <w:rsid w:val="00076E4B"/>
    <w:rsid w:val="00077020"/>
    <w:rsid w:val="00080278"/>
    <w:rsid w:val="0008027E"/>
    <w:rsid w:val="0008057C"/>
    <w:rsid w:val="000805DB"/>
    <w:rsid w:val="000808B6"/>
    <w:rsid w:val="00080B34"/>
    <w:rsid w:val="00081183"/>
    <w:rsid w:val="000816E4"/>
    <w:rsid w:val="00081F80"/>
    <w:rsid w:val="0008284B"/>
    <w:rsid w:val="0008354F"/>
    <w:rsid w:val="000845C4"/>
    <w:rsid w:val="0008566F"/>
    <w:rsid w:val="00085A5F"/>
    <w:rsid w:val="00085EBB"/>
    <w:rsid w:val="00086712"/>
    <w:rsid w:val="00086A97"/>
    <w:rsid w:val="00086D76"/>
    <w:rsid w:val="00086DB7"/>
    <w:rsid w:val="0008773B"/>
    <w:rsid w:val="000877E9"/>
    <w:rsid w:val="00087806"/>
    <w:rsid w:val="00090476"/>
    <w:rsid w:val="000907EC"/>
    <w:rsid w:val="00090D4E"/>
    <w:rsid w:val="00091270"/>
    <w:rsid w:val="000938AF"/>
    <w:rsid w:val="0009443A"/>
    <w:rsid w:val="000958AC"/>
    <w:rsid w:val="00096B5A"/>
    <w:rsid w:val="00096C09"/>
    <w:rsid w:val="00097345"/>
    <w:rsid w:val="00097575"/>
    <w:rsid w:val="00097908"/>
    <w:rsid w:val="000A0D2D"/>
    <w:rsid w:val="000A113A"/>
    <w:rsid w:val="000A1518"/>
    <w:rsid w:val="000A1855"/>
    <w:rsid w:val="000A2B98"/>
    <w:rsid w:val="000A3200"/>
    <w:rsid w:val="000A4005"/>
    <w:rsid w:val="000A424A"/>
    <w:rsid w:val="000A453F"/>
    <w:rsid w:val="000A4790"/>
    <w:rsid w:val="000A50D2"/>
    <w:rsid w:val="000A5E9E"/>
    <w:rsid w:val="000A67C2"/>
    <w:rsid w:val="000A68E0"/>
    <w:rsid w:val="000A7336"/>
    <w:rsid w:val="000B0746"/>
    <w:rsid w:val="000B110E"/>
    <w:rsid w:val="000B1361"/>
    <w:rsid w:val="000B2BF6"/>
    <w:rsid w:val="000B3379"/>
    <w:rsid w:val="000B3927"/>
    <w:rsid w:val="000B3B12"/>
    <w:rsid w:val="000B42FA"/>
    <w:rsid w:val="000B53BC"/>
    <w:rsid w:val="000B6193"/>
    <w:rsid w:val="000B66B3"/>
    <w:rsid w:val="000B670E"/>
    <w:rsid w:val="000C068E"/>
    <w:rsid w:val="000C1B1B"/>
    <w:rsid w:val="000C1BB6"/>
    <w:rsid w:val="000C2686"/>
    <w:rsid w:val="000C326F"/>
    <w:rsid w:val="000C34FB"/>
    <w:rsid w:val="000C362D"/>
    <w:rsid w:val="000C3CEE"/>
    <w:rsid w:val="000C3D8C"/>
    <w:rsid w:val="000C4786"/>
    <w:rsid w:val="000C4AF9"/>
    <w:rsid w:val="000C4D31"/>
    <w:rsid w:val="000C4FE8"/>
    <w:rsid w:val="000C5357"/>
    <w:rsid w:val="000C5969"/>
    <w:rsid w:val="000C6267"/>
    <w:rsid w:val="000D01CF"/>
    <w:rsid w:val="000D0AAE"/>
    <w:rsid w:val="000D146B"/>
    <w:rsid w:val="000D18D1"/>
    <w:rsid w:val="000D37E6"/>
    <w:rsid w:val="000D39E5"/>
    <w:rsid w:val="000D510E"/>
    <w:rsid w:val="000D53BB"/>
    <w:rsid w:val="000D57E4"/>
    <w:rsid w:val="000D5BCD"/>
    <w:rsid w:val="000D6777"/>
    <w:rsid w:val="000D6835"/>
    <w:rsid w:val="000D7C18"/>
    <w:rsid w:val="000E00E7"/>
    <w:rsid w:val="000E087C"/>
    <w:rsid w:val="000E13E2"/>
    <w:rsid w:val="000E1DF2"/>
    <w:rsid w:val="000E264C"/>
    <w:rsid w:val="000E3217"/>
    <w:rsid w:val="000E41E0"/>
    <w:rsid w:val="000E4E10"/>
    <w:rsid w:val="000E548E"/>
    <w:rsid w:val="000E58E5"/>
    <w:rsid w:val="000E62E7"/>
    <w:rsid w:val="000E6DE3"/>
    <w:rsid w:val="000E7481"/>
    <w:rsid w:val="000E7CE4"/>
    <w:rsid w:val="000F01FF"/>
    <w:rsid w:val="000F0237"/>
    <w:rsid w:val="000F04B7"/>
    <w:rsid w:val="000F0DD3"/>
    <w:rsid w:val="000F1049"/>
    <w:rsid w:val="000F13FF"/>
    <w:rsid w:val="000F1526"/>
    <w:rsid w:val="000F17D3"/>
    <w:rsid w:val="000F1F7A"/>
    <w:rsid w:val="000F2F97"/>
    <w:rsid w:val="000F4E3C"/>
    <w:rsid w:val="000F59DE"/>
    <w:rsid w:val="000F69A4"/>
    <w:rsid w:val="000F6AD6"/>
    <w:rsid w:val="000F72F0"/>
    <w:rsid w:val="00100441"/>
    <w:rsid w:val="00100A4A"/>
    <w:rsid w:val="00100E42"/>
    <w:rsid w:val="00100E7F"/>
    <w:rsid w:val="001018D7"/>
    <w:rsid w:val="00102875"/>
    <w:rsid w:val="00102FC3"/>
    <w:rsid w:val="00105369"/>
    <w:rsid w:val="001056F9"/>
    <w:rsid w:val="001057AA"/>
    <w:rsid w:val="00106419"/>
    <w:rsid w:val="00106884"/>
    <w:rsid w:val="00106E57"/>
    <w:rsid w:val="00107048"/>
    <w:rsid w:val="00112E6F"/>
    <w:rsid w:val="0011527E"/>
    <w:rsid w:val="001152B0"/>
    <w:rsid w:val="00115338"/>
    <w:rsid w:val="001156F9"/>
    <w:rsid w:val="0011654D"/>
    <w:rsid w:val="00116B56"/>
    <w:rsid w:val="00117634"/>
    <w:rsid w:val="00117749"/>
    <w:rsid w:val="00120309"/>
    <w:rsid w:val="00120712"/>
    <w:rsid w:val="00121455"/>
    <w:rsid w:val="00121E3F"/>
    <w:rsid w:val="001223B0"/>
    <w:rsid w:val="001236A6"/>
    <w:rsid w:val="00123712"/>
    <w:rsid w:val="00123C6A"/>
    <w:rsid w:val="00123D2D"/>
    <w:rsid w:val="0012440B"/>
    <w:rsid w:val="00124873"/>
    <w:rsid w:val="00124A31"/>
    <w:rsid w:val="00124B63"/>
    <w:rsid w:val="00124BB4"/>
    <w:rsid w:val="001250DD"/>
    <w:rsid w:val="00125DA1"/>
    <w:rsid w:val="001261E5"/>
    <w:rsid w:val="001262E2"/>
    <w:rsid w:val="00126DC0"/>
    <w:rsid w:val="00126FFA"/>
    <w:rsid w:val="00127471"/>
    <w:rsid w:val="0012757E"/>
    <w:rsid w:val="00127A0A"/>
    <w:rsid w:val="0013058A"/>
    <w:rsid w:val="00130E77"/>
    <w:rsid w:val="00132182"/>
    <w:rsid w:val="00134070"/>
    <w:rsid w:val="00134CF9"/>
    <w:rsid w:val="00136891"/>
    <w:rsid w:val="00136FEF"/>
    <w:rsid w:val="00137017"/>
    <w:rsid w:val="001373CC"/>
    <w:rsid w:val="0013773B"/>
    <w:rsid w:val="001378BA"/>
    <w:rsid w:val="00137B6E"/>
    <w:rsid w:val="00140DE5"/>
    <w:rsid w:val="00141C10"/>
    <w:rsid w:val="00142029"/>
    <w:rsid w:val="00142808"/>
    <w:rsid w:val="00142E21"/>
    <w:rsid w:val="00143189"/>
    <w:rsid w:val="001433D8"/>
    <w:rsid w:val="00143E21"/>
    <w:rsid w:val="00144BE0"/>
    <w:rsid w:val="00145F63"/>
    <w:rsid w:val="001473DC"/>
    <w:rsid w:val="001507DA"/>
    <w:rsid w:val="00150FCF"/>
    <w:rsid w:val="00151063"/>
    <w:rsid w:val="0015106C"/>
    <w:rsid w:val="00151A1C"/>
    <w:rsid w:val="001529A2"/>
    <w:rsid w:val="00153C24"/>
    <w:rsid w:val="00154003"/>
    <w:rsid w:val="0015471F"/>
    <w:rsid w:val="0015487C"/>
    <w:rsid w:val="00154A6F"/>
    <w:rsid w:val="00154FD3"/>
    <w:rsid w:val="0015580D"/>
    <w:rsid w:val="00156990"/>
    <w:rsid w:val="00157892"/>
    <w:rsid w:val="001602BE"/>
    <w:rsid w:val="00162885"/>
    <w:rsid w:val="00162E24"/>
    <w:rsid w:val="00162F74"/>
    <w:rsid w:val="00163C7D"/>
    <w:rsid w:val="00163D3A"/>
    <w:rsid w:val="00165526"/>
    <w:rsid w:val="00165D1B"/>
    <w:rsid w:val="001661B3"/>
    <w:rsid w:val="00167EAB"/>
    <w:rsid w:val="00167F34"/>
    <w:rsid w:val="0017030B"/>
    <w:rsid w:val="00170A26"/>
    <w:rsid w:val="001719AA"/>
    <w:rsid w:val="0017246E"/>
    <w:rsid w:val="001724F8"/>
    <w:rsid w:val="00172A27"/>
    <w:rsid w:val="00173866"/>
    <w:rsid w:val="0017470A"/>
    <w:rsid w:val="001747F9"/>
    <w:rsid w:val="00174844"/>
    <w:rsid w:val="00175231"/>
    <w:rsid w:val="00175B3B"/>
    <w:rsid w:val="001769D7"/>
    <w:rsid w:val="00176FEF"/>
    <w:rsid w:val="00177820"/>
    <w:rsid w:val="00177A9C"/>
    <w:rsid w:val="00177FE5"/>
    <w:rsid w:val="001800FE"/>
    <w:rsid w:val="00180C1D"/>
    <w:rsid w:val="0018163F"/>
    <w:rsid w:val="00181919"/>
    <w:rsid w:val="00182983"/>
    <w:rsid w:val="00182BD8"/>
    <w:rsid w:val="00182C13"/>
    <w:rsid w:val="00182C38"/>
    <w:rsid w:val="00182E97"/>
    <w:rsid w:val="0018371B"/>
    <w:rsid w:val="0018394A"/>
    <w:rsid w:val="00184064"/>
    <w:rsid w:val="00184A66"/>
    <w:rsid w:val="00184BE2"/>
    <w:rsid w:val="00185DF1"/>
    <w:rsid w:val="00186268"/>
    <w:rsid w:val="001863C7"/>
    <w:rsid w:val="001865B7"/>
    <w:rsid w:val="001871FA"/>
    <w:rsid w:val="00187696"/>
    <w:rsid w:val="00187C15"/>
    <w:rsid w:val="001902D0"/>
    <w:rsid w:val="001917BE"/>
    <w:rsid w:val="00192358"/>
    <w:rsid w:val="0019382F"/>
    <w:rsid w:val="00194486"/>
    <w:rsid w:val="001945D6"/>
    <w:rsid w:val="001950D9"/>
    <w:rsid w:val="00195D1E"/>
    <w:rsid w:val="001961D1"/>
    <w:rsid w:val="001966E8"/>
    <w:rsid w:val="00196DB9"/>
    <w:rsid w:val="001A0838"/>
    <w:rsid w:val="001A0F99"/>
    <w:rsid w:val="001A112F"/>
    <w:rsid w:val="001A13BA"/>
    <w:rsid w:val="001A1D29"/>
    <w:rsid w:val="001A286E"/>
    <w:rsid w:val="001A2A65"/>
    <w:rsid w:val="001A3CA4"/>
    <w:rsid w:val="001A45B0"/>
    <w:rsid w:val="001A48C8"/>
    <w:rsid w:val="001A496C"/>
    <w:rsid w:val="001A4B55"/>
    <w:rsid w:val="001A4FD3"/>
    <w:rsid w:val="001A50E1"/>
    <w:rsid w:val="001A5902"/>
    <w:rsid w:val="001A6390"/>
    <w:rsid w:val="001A67B7"/>
    <w:rsid w:val="001A6957"/>
    <w:rsid w:val="001A6AAC"/>
    <w:rsid w:val="001A7383"/>
    <w:rsid w:val="001B01B4"/>
    <w:rsid w:val="001B1063"/>
    <w:rsid w:val="001B202A"/>
    <w:rsid w:val="001B31D9"/>
    <w:rsid w:val="001B3703"/>
    <w:rsid w:val="001B3E07"/>
    <w:rsid w:val="001B5A77"/>
    <w:rsid w:val="001B5D6D"/>
    <w:rsid w:val="001B5DFF"/>
    <w:rsid w:val="001B5ECF"/>
    <w:rsid w:val="001B68A2"/>
    <w:rsid w:val="001B6E81"/>
    <w:rsid w:val="001B7805"/>
    <w:rsid w:val="001C065A"/>
    <w:rsid w:val="001C232B"/>
    <w:rsid w:val="001C2E32"/>
    <w:rsid w:val="001C3004"/>
    <w:rsid w:val="001C36F1"/>
    <w:rsid w:val="001C4833"/>
    <w:rsid w:val="001C4EB5"/>
    <w:rsid w:val="001C5CC5"/>
    <w:rsid w:val="001C6988"/>
    <w:rsid w:val="001D00F4"/>
    <w:rsid w:val="001D0EA1"/>
    <w:rsid w:val="001D106B"/>
    <w:rsid w:val="001D1815"/>
    <w:rsid w:val="001D283C"/>
    <w:rsid w:val="001D2E4D"/>
    <w:rsid w:val="001D52F6"/>
    <w:rsid w:val="001D57F5"/>
    <w:rsid w:val="001D5ADD"/>
    <w:rsid w:val="001D6B6B"/>
    <w:rsid w:val="001D779E"/>
    <w:rsid w:val="001D7847"/>
    <w:rsid w:val="001E0154"/>
    <w:rsid w:val="001E0435"/>
    <w:rsid w:val="001E04F7"/>
    <w:rsid w:val="001E1394"/>
    <w:rsid w:val="001E1482"/>
    <w:rsid w:val="001E16D4"/>
    <w:rsid w:val="001E1B03"/>
    <w:rsid w:val="001E214B"/>
    <w:rsid w:val="001E21B5"/>
    <w:rsid w:val="001E2A4C"/>
    <w:rsid w:val="001E2B42"/>
    <w:rsid w:val="001E359D"/>
    <w:rsid w:val="001E3834"/>
    <w:rsid w:val="001E4438"/>
    <w:rsid w:val="001E4C00"/>
    <w:rsid w:val="001E51B2"/>
    <w:rsid w:val="001E536B"/>
    <w:rsid w:val="001E6538"/>
    <w:rsid w:val="001E7396"/>
    <w:rsid w:val="001E78BC"/>
    <w:rsid w:val="001E7911"/>
    <w:rsid w:val="001F08D0"/>
    <w:rsid w:val="001F094A"/>
    <w:rsid w:val="001F0ABF"/>
    <w:rsid w:val="001F0AD0"/>
    <w:rsid w:val="001F0EA0"/>
    <w:rsid w:val="001F2233"/>
    <w:rsid w:val="001F2A4D"/>
    <w:rsid w:val="001F3500"/>
    <w:rsid w:val="001F38AA"/>
    <w:rsid w:val="001F3A71"/>
    <w:rsid w:val="001F48E3"/>
    <w:rsid w:val="001F51E5"/>
    <w:rsid w:val="001F56D0"/>
    <w:rsid w:val="001F58AD"/>
    <w:rsid w:val="001F6E37"/>
    <w:rsid w:val="001F7CF9"/>
    <w:rsid w:val="001F7DC2"/>
    <w:rsid w:val="002007B3"/>
    <w:rsid w:val="00200C11"/>
    <w:rsid w:val="00201337"/>
    <w:rsid w:val="002014F3"/>
    <w:rsid w:val="00201D0B"/>
    <w:rsid w:val="00201E89"/>
    <w:rsid w:val="00201F64"/>
    <w:rsid w:val="002025E9"/>
    <w:rsid w:val="002032C7"/>
    <w:rsid w:val="0020358A"/>
    <w:rsid w:val="00203838"/>
    <w:rsid w:val="002051F0"/>
    <w:rsid w:val="0020568F"/>
    <w:rsid w:val="002059BA"/>
    <w:rsid w:val="00205A6B"/>
    <w:rsid w:val="00205C3E"/>
    <w:rsid w:val="00206779"/>
    <w:rsid w:val="00206D7E"/>
    <w:rsid w:val="00207AC9"/>
    <w:rsid w:val="00207CC9"/>
    <w:rsid w:val="00207D5A"/>
    <w:rsid w:val="00207F37"/>
    <w:rsid w:val="00210C62"/>
    <w:rsid w:val="00211C75"/>
    <w:rsid w:val="0021234D"/>
    <w:rsid w:val="002128B5"/>
    <w:rsid w:val="00213411"/>
    <w:rsid w:val="00213BAA"/>
    <w:rsid w:val="00214DF3"/>
    <w:rsid w:val="002163EA"/>
    <w:rsid w:val="00216AD5"/>
    <w:rsid w:val="00217C9A"/>
    <w:rsid w:val="00217FD5"/>
    <w:rsid w:val="002209E8"/>
    <w:rsid w:val="00220B99"/>
    <w:rsid w:val="00224168"/>
    <w:rsid w:val="002247F1"/>
    <w:rsid w:val="00224E0B"/>
    <w:rsid w:val="0022588C"/>
    <w:rsid w:val="00225BFE"/>
    <w:rsid w:val="00225CB0"/>
    <w:rsid w:val="002275F9"/>
    <w:rsid w:val="00227B19"/>
    <w:rsid w:val="00230476"/>
    <w:rsid w:val="0023072A"/>
    <w:rsid w:val="0023079E"/>
    <w:rsid w:val="002307B4"/>
    <w:rsid w:val="002311B2"/>
    <w:rsid w:val="00231D1E"/>
    <w:rsid w:val="00232870"/>
    <w:rsid w:val="002328CB"/>
    <w:rsid w:val="00232DCD"/>
    <w:rsid w:val="00232FE0"/>
    <w:rsid w:val="00233C70"/>
    <w:rsid w:val="00233E1D"/>
    <w:rsid w:val="00235B0A"/>
    <w:rsid w:val="00236916"/>
    <w:rsid w:val="00237576"/>
    <w:rsid w:val="00240066"/>
    <w:rsid w:val="0024040C"/>
    <w:rsid w:val="00240F61"/>
    <w:rsid w:val="0024139E"/>
    <w:rsid w:val="002423B6"/>
    <w:rsid w:val="0024310F"/>
    <w:rsid w:val="002452BA"/>
    <w:rsid w:val="00245CB9"/>
    <w:rsid w:val="00245F95"/>
    <w:rsid w:val="00246154"/>
    <w:rsid w:val="002462BC"/>
    <w:rsid w:val="00246F85"/>
    <w:rsid w:val="00247A57"/>
    <w:rsid w:val="002508D1"/>
    <w:rsid w:val="002516A6"/>
    <w:rsid w:val="00251C22"/>
    <w:rsid w:val="00251DC4"/>
    <w:rsid w:val="0025230E"/>
    <w:rsid w:val="00252629"/>
    <w:rsid w:val="00252CF4"/>
    <w:rsid w:val="00253372"/>
    <w:rsid w:val="0025376A"/>
    <w:rsid w:val="0025390B"/>
    <w:rsid w:val="00253918"/>
    <w:rsid w:val="00253A92"/>
    <w:rsid w:val="00253C19"/>
    <w:rsid w:val="00254236"/>
    <w:rsid w:val="002544F0"/>
    <w:rsid w:val="00254E83"/>
    <w:rsid w:val="002550ED"/>
    <w:rsid w:val="002556C1"/>
    <w:rsid w:val="00256314"/>
    <w:rsid w:val="00256581"/>
    <w:rsid w:val="00256F2B"/>
    <w:rsid w:val="002577A3"/>
    <w:rsid w:val="002610D1"/>
    <w:rsid w:val="0026124D"/>
    <w:rsid w:val="002618B6"/>
    <w:rsid w:val="00261CCA"/>
    <w:rsid w:val="00262648"/>
    <w:rsid w:val="00264819"/>
    <w:rsid w:val="0026485D"/>
    <w:rsid w:val="00264B4A"/>
    <w:rsid w:val="00264E5A"/>
    <w:rsid w:val="00265563"/>
    <w:rsid w:val="002661C5"/>
    <w:rsid w:val="00266644"/>
    <w:rsid w:val="002671EC"/>
    <w:rsid w:val="002677B0"/>
    <w:rsid w:val="0027005A"/>
    <w:rsid w:val="002700AC"/>
    <w:rsid w:val="002708B1"/>
    <w:rsid w:val="00271CB2"/>
    <w:rsid w:val="0027242F"/>
    <w:rsid w:val="00272A0B"/>
    <w:rsid w:val="00274290"/>
    <w:rsid w:val="00274423"/>
    <w:rsid w:val="00274674"/>
    <w:rsid w:val="00275773"/>
    <w:rsid w:val="00275E74"/>
    <w:rsid w:val="00277019"/>
    <w:rsid w:val="0027735E"/>
    <w:rsid w:val="0027760A"/>
    <w:rsid w:val="00277C57"/>
    <w:rsid w:val="00280BD6"/>
    <w:rsid w:val="00280F02"/>
    <w:rsid w:val="002815B1"/>
    <w:rsid w:val="0028190D"/>
    <w:rsid w:val="00282265"/>
    <w:rsid w:val="0028282D"/>
    <w:rsid w:val="002832D0"/>
    <w:rsid w:val="002833DC"/>
    <w:rsid w:val="0028393E"/>
    <w:rsid w:val="002839F5"/>
    <w:rsid w:val="00283C0B"/>
    <w:rsid w:val="00284095"/>
    <w:rsid w:val="00284861"/>
    <w:rsid w:val="00286334"/>
    <w:rsid w:val="00287036"/>
    <w:rsid w:val="00290D4C"/>
    <w:rsid w:val="00291122"/>
    <w:rsid w:val="002919A0"/>
    <w:rsid w:val="00291E07"/>
    <w:rsid w:val="00291EF2"/>
    <w:rsid w:val="00291F76"/>
    <w:rsid w:val="002928C9"/>
    <w:rsid w:val="00292CFF"/>
    <w:rsid w:val="00293040"/>
    <w:rsid w:val="0029359B"/>
    <w:rsid w:val="00293B04"/>
    <w:rsid w:val="002942C0"/>
    <w:rsid w:val="0029435C"/>
    <w:rsid w:val="002946A0"/>
    <w:rsid w:val="00294BC2"/>
    <w:rsid w:val="00295061"/>
    <w:rsid w:val="0029526D"/>
    <w:rsid w:val="00295448"/>
    <w:rsid w:val="00296734"/>
    <w:rsid w:val="00296825"/>
    <w:rsid w:val="002974CD"/>
    <w:rsid w:val="00297859"/>
    <w:rsid w:val="002A0194"/>
    <w:rsid w:val="002A0C01"/>
    <w:rsid w:val="002A0E2C"/>
    <w:rsid w:val="002A14B5"/>
    <w:rsid w:val="002A15D1"/>
    <w:rsid w:val="002A1677"/>
    <w:rsid w:val="002A185E"/>
    <w:rsid w:val="002A1ABF"/>
    <w:rsid w:val="002A213C"/>
    <w:rsid w:val="002A22A1"/>
    <w:rsid w:val="002A30AB"/>
    <w:rsid w:val="002A3A55"/>
    <w:rsid w:val="002A4656"/>
    <w:rsid w:val="002A4D1A"/>
    <w:rsid w:val="002A5E33"/>
    <w:rsid w:val="002A5FDE"/>
    <w:rsid w:val="002A6213"/>
    <w:rsid w:val="002A7E3D"/>
    <w:rsid w:val="002B00E3"/>
    <w:rsid w:val="002B0144"/>
    <w:rsid w:val="002B0668"/>
    <w:rsid w:val="002B0C4C"/>
    <w:rsid w:val="002B0D64"/>
    <w:rsid w:val="002B1055"/>
    <w:rsid w:val="002B1240"/>
    <w:rsid w:val="002B1509"/>
    <w:rsid w:val="002B1C9A"/>
    <w:rsid w:val="002B1CA2"/>
    <w:rsid w:val="002B34B5"/>
    <w:rsid w:val="002B4EEA"/>
    <w:rsid w:val="002B5590"/>
    <w:rsid w:val="002B5691"/>
    <w:rsid w:val="002B5A7D"/>
    <w:rsid w:val="002B5A9E"/>
    <w:rsid w:val="002B62DE"/>
    <w:rsid w:val="002B723D"/>
    <w:rsid w:val="002B77B7"/>
    <w:rsid w:val="002C0660"/>
    <w:rsid w:val="002C0DF7"/>
    <w:rsid w:val="002C11F7"/>
    <w:rsid w:val="002C1770"/>
    <w:rsid w:val="002C1AB1"/>
    <w:rsid w:val="002C1D34"/>
    <w:rsid w:val="002C2D17"/>
    <w:rsid w:val="002C36F5"/>
    <w:rsid w:val="002C3781"/>
    <w:rsid w:val="002C381F"/>
    <w:rsid w:val="002C3DB5"/>
    <w:rsid w:val="002C44A4"/>
    <w:rsid w:val="002C4A37"/>
    <w:rsid w:val="002C520B"/>
    <w:rsid w:val="002C5C84"/>
    <w:rsid w:val="002C5EC7"/>
    <w:rsid w:val="002C6205"/>
    <w:rsid w:val="002C6891"/>
    <w:rsid w:val="002C6E20"/>
    <w:rsid w:val="002C79DB"/>
    <w:rsid w:val="002D0793"/>
    <w:rsid w:val="002D091E"/>
    <w:rsid w:val="002D155D"/>
    <w:rsid w:val="002D17EE"/>
    <w:rsid w:val="002D2464"/>
    <w:rsid w:val="002D36D9"/>
    <w:rsid w:val="002D4B53"/>
    <w:rsid w:val="002D4D68"/>
    <w:rsid w:val="002D528C"/>
    <w:rsid w:val="002D53D3"/>
    <w:rsid w:val="002D5C6B"/>
    <w:rsid w:val="002D63C0"/>
    <w:rsid w:val="002D64C4"/>
    <w:rsid w:val="002D675F"/>
    <w:rsid w:val="002D6F10"/>
    <w:rsid w:val="002D7BA2"/>
    <w:rsid w:val="002D7FEC"/>
    <w:rsid w:val="002E0893"/>
    <w:rsid w:val="002E1006"/>
    <w:rsid w:val="002E1C9C"/>
    <w:rsid w:val="002E2B82"/>
    <w:rsid w:val="002E2FE7"/>
    <w:rsid w:val="002E39B8"/>
    <w:rsid w:val="002E414F"/>
    <w:rsid w:val="002E43BA"/>
    <w:rsid w:val="002E4BD3"/>
    <w:rsid w:val="002E531F"/>
    <w:rsid w:val="002E56CA"/>
    <w:rsid w:val="002E66B8"/>
    <w:rsid w:val="002E6924"/>
    <w:rsid w:val="002E6C1C"/>
    <w:rsid w:val="002F03D2"/>
    <w:rsid w:val="002F14D4"/>
    <w:rsid w:val="002F1FCD"/>
    <w:rsid w:val="002F2A81"/>
    <w:rsid w:val="002F316E"/>
    <w:rsid w:val="002F34B5"/>
    <w:rsid w:val="002F39E9"/>
    <w:rsid w:val="002F3EFD"/>
    <w:rsid w:val="002F4464"/>
    <w:rsid w:val="002F4D08"/>
    <w:rsid w:val="002F4FB7"/>
    <w:rsid w:val="002F520B"/>
    <w:rsid w:val="002F63B3"/>
    <w:rsid w:val="002F6BB9"/>
    <w:rsid w:val="002F7183"/>
    <w:rsid w:val="002F7433"/>
    <w:rsid w:val="002F781F"/>
    <w:rsid w:val="002F786A"/>
    <w:rsid w:val="002F7BAC"/>
    <w:rsid w:val="002F7EF2"/>
    <w:rsid w:val="00300906"/>
    <w:rsid w:val="00300AF3"/>
    <w:rsid w:val="00301006"/>
    <w:rsid w:val="003019CE"/>
    <w:rsid w:val="00302D6B"/>
    <w:rsid w:val="003038F0"/>
    <w:rsid w:val="00304C60"/>
    <w:rsid w:val="00305D68"/>
    <w:rsid w:val="00307389"/>
    <w:rsid w:val="003075C9"/>
    <w:rsid w:val="00307E75"/>
    <w:rsid w:val="00311056"/>
    <w:rsid w:val="003118F9"/>
    <w:rsid w:val="00311B88"/>
    <w:rsid w:val="00312228"/>
    <w:rsid w:val="00312370"/>
    <w:rsid w:val="0031362A"/>
    <w:rsid w:val="00313C6E"/>
    <w:rsid w:val="00313CBF"/>
    <w:rsid w:val="00313D4C"/>
    <w:rsid w:val="00313DA3"/>
    <w:rsid w:val="00315BA6"/>
    <w:rsid w:val="0031625F"/>
    <w:rsid w:val="003166F7"/>
    <w:rsid w:val="0031793E"/>
    <w:rsid w:val="00317C42"/>
    <w:rsid w:val="003234FA"/>
    <w:rsid w:val="003235B8"/>
    <w:rsid w:val="003235FA"/>
    <w:rsid w:val="00323C8E"/>
    <w:rsid w:val="00323DCA"/>
    <w:rsid w:val="0032506A"/>
    <w:rsid w:val="00325BAA"/>
    <w:rsid w:val="00325D41"/>
    <w:rsid w:val="00325D8B"/>
    <w:rsid w:val="00325E97"/>
    <w:rsid w:val="00326479"/>
    <w:rsid w:val="00327339"/>
    <w:rsid w:val="00327509"/>
    <w:rsid w:val="0032759C"/>
    <w:rsid w:val="00327752"/>
    <w:rsid w:val="00327987"/>
    <w:rsid w:val="003302B8"/>
    <w:rsid w:val="00330506"/>
    <w:rsid w:val="00330C13"/>
    <w:rsid w:val="00332490"/>
    <w:rsid w:val="00332DE8"/>
    <w:rsid w:val="00332F27"/>
    <w:rsid w:val="0033450C"/>
    <w:rsid w:val="00334D43"/>
    <w:rsid w:val="00334D71"/>
    <w:rsid w:val="003355BA"/>
    <w:rsid w:val="00335834"/>
    <w:rsid w:val="003359B0"/>
    <w:rsid w:val="00336314"/>
    <w:rsid w:val="00336745"/>
    <w:rsid w:val="00336A1D"/>
    <w:rsid w:val="00336FEB"/>
    <w:rsid w:val="003377CA"/>
    <w:rsid w:val="00337C74"/>
    <w:rsid w:val="00340215"/>
    <w:rsid w:val="00340B32"/>
    <w:rsid w:val="003415D9"/>
    <w:rsid w:val="00341F17"/>
    <w:rsid w:val="003432B7"/>
    <w:rsid w:val="00343E8A"/>
    <w:rsid w:val="00343F4D"/>
    <w:rsid w:val="00344A4E"/>
    <w:rsid w:val="00347229"/>
    <w:rsid w:val="003472CA"/>
    <w:rsid w:val="003476A5"/>
    <w:rsid w:val="00347E43"/>
    <w:rsid w:val="0035049F"/>
    <w:rsid w:val="003519D4"/>
    <w:rsid w:val="00352B8D"/>
    <w:rsid w:val="00352D2F"/>
    <w:rsid w:val="00352E98"/>
    <w:rsid w:val="00354658"/>
    <w:rsid w:val="003546BE"/>
    <w:rsid w:val="00356395"/>
    <w:rsid w:val="00356759"/>
    <w:rsid w:val="003579B5"/>
    <w:rsid w:val="003601B2"/>
    <w:rsid w:val="00360AE4"/>
    <w:rsid w:val="00361012"/>
    <w:rsid w:val="00361A63"/>
    <w:rsid w:val="00363AA0"/>
    <w:rsid w:val="00363CB1"/>
    <w:rsid w:val="003641C5"/>
    <w:rsid w:val="003642BB"/>
    <w:rsid w:val="003642E6"/>
    <w:rsid w:val="003643C2"/>
    <w:rsid w:val="00364AE8"/>
    <w:rsid w:val="0036613F"/>
    <w:rsid w:val="0037010C"/>
    <w:rsid w:val="003708A6"/>
    <w:rsid w:val="0037148D"/>
    <w:rsid w:val="00371938"/>
    <w:rsid w:val="0037289C"/>
    <w:rsid w:val="00372A97"/>
    <w:rsid w:val="00373447"/>
    <w:rsid w:val="003736CF"/>
    <w:rsid w:val="00373743"/>
    <w:rsid w:val="00373750"/>
    <w:rsid w:val="00373BF4"/>
    <w:rsid w:val="00375ACF"/>
    <w:rsid w:val="003769C0"/>
    <w:rsid w:val="00377168"/>
    <w:rsid w:val="00377266"/>
    <w:rsid w:val="00377A33"/>
    <w:rsid w:val="00377E59"/>
    <w:rsid w:val="0038027F"/>
    <w:rsid w:val="00380BCC"/>
    <w:rsid w:val="00381B60"/>
    <w:rsid w:val="00382DA9"/>
    <w:rsid w:val="00383845"/>
    <w:rsid w:val="00384117"/>
    <w:rsid w:val="0038412A"/>
    <w:rsid w:val="00387536"/>
    <w:rsid w:val="00387B75"/>
    <w:rsid w:val="00390529"/>
    <w:rsid w:val="0039118E"/>
    <w:rsid w:val="00391E9E"/>
    <w:rsid w:val="003922CB"/>
    <w:rsid w:val="003926E9"/>
    <w:rsid w:val="00392722"/>
    <w:rsid w:val="00392AAF"/>
    <w:rsid w:val="00392D28"/>
    <w:rsid w:val="00393038"/>
    <w:rsid w:val="0039318E"/>
    <w:rsid w:val="003931A2"/>
    <w:rsid w:val="0039376A"/>
    <w:rsid w:val="003939E8"/>
    <w:rsid w:val="003939EA"/>
    <w:rsid w:val="0039564A"/>
    <w:rsid w:val="00395AA2"/>
    <w:rsid w:val="00395D77"/>
    <w:rsid w:val="0039727C"/>
    <w:rsid w:val="00397D90"/>
    <w:rsid w:val="003A0044"/>
    <w:rsid w:val="003A0AE4"/>
    <w:rsid w:val="003A0BED"/>
    <w:rsid w:val="003A397A"/>
    <w:rsid w:val="003A3D15"/>
    <w:rsid w:val="003A5A99"/>
    <w:rsid w:val="003A6DA2"/>
    <w:rsid w:val="003A6E91"/>
    <w:rsid w:val="003A7462"/>
    <w:rsid w:val="003A7F67"/>
    <w:rsid w:val="003B08FB"/>
    <w:rsid w:val="003B113B"/>
    <w:rsid w:val="003B1483"/>
    <w:rsid w:val="003B14F2"/>
    <w:rsid w:val="003B2064"/>
    <w:rsid w:val="003B29D5"/>
    <w:rsid w:val="003B3237"/>
    <w:rsid w:val="003B3471"/>
    <w:rsid w:val="003B37A6"/>
    <w:rsid w:val="003B4256"/>
    <w:rsid w:val="003B4AE2"/>
    <w:rsid w:val="003B5517"/>
    <w:rsid w:val="003B5876"/>
    <w:rsid w:val="003B59DE"/>
    <w:rsid w:val="003B5C8D"/>
    <w:rsid w:val="003B7660"/>
    <w:rsid w:val="003B7CD5"/>
    <w:rsid w:val="003B7DF5"/>
    <w:rsid w:val="003C017D"/>
    <w:rsid w:val="003C02E6"/>
    <w:rsid w:val="003C0804"/>
    <w:rsid w:val="003C1167"/>
    <w:rsid w:val="003C20E9"/>
    <w:rsid w:val="003C2204"/>
    <w:rsid w:val="003C3608"/>
    <w:rsid w:val="003C6078"/>
    <w:rsid w:val="003C65BD"/>
    <w:rsid w:val="003C6626"/>
    <w:rsid w:val="003C69A3"/>
    <w:rsid w:val="003C6A23"/>
    <w:rsid w:val="003C6A6B"/>
    <w:rsid w:val="003C6E7B"/>
    <w:rsid w:val="003C73A0"/>
    <w:rsid w:val="003C796E"/>
    <w:rsid w:val="003D1456"/>
    <w:rsid w:val="003D233F"/>
    <w:rsid w:val="003D298A"/>
    <w:rsid w:val="003D3B73"/>
    <w:rsid w:val="003D4CD6"/>
    <w:rsid w:val="003D50AC"/>
    <w:rsid w:val="003D5AA9"/>
    <w:rsid w:val="003D5B80"/>
    <w:rsid w:val="003D66F6"/>
    <w:rsid w:val="003D7A83"/>
    <w:rsid w:val="003E0AA8"/>
    <w:rsid w:val="003E14B0"/>
    <w:rsid w:val="003E23BA"/>
    <w:rsid w:val="003E25D1"/>
    <w:rsid w:val="003E268B"/>
    <w:rsid w:val="003E28FF"/>
    <w:rsid w:val="003E3A34"/>
    <w:rsid w:val="003E502F"/>
    <w:rsid w:val="003E54D3"/>
    <w:rsid w:val="003E56D5"/>
    <w:rsid w:val="003E622F"/>
    <w:rsid w:val="003E674B"/>
    <w:rsid w:val="003E73C6"/>
    <w:rsid w:val="003E756E"/>
    <w:rsid w:val="003E7803"/>
    <w:rsid w:val="003E7D71"/>
    <w:rsid w:val="003F0021"/>
    <w:rsid w:val="003F037A"/>
    <w:rsid w:val="003F1E4E"/>
    <w:rsid w:val="003F2A85"/>
    <w:rsid w:val="003F2F24"/>
    <w:rsid w:val="003F3D71"/>
    <w:rsid w:val="003F3EF7"/>
    <w:rsid w:val="003F5561"/>
    <w:rsid w:val="003F5AD8"/>
    <w:rsid w:val="003F5B9A"/>
    <w:rsid w:val="003F6D94"/>
    <w:rsid w:val="003F736D"/>
    <w:rsid w:val="003F798D"/>
    <w:rsid w:val="003F7F75"/>
    <w:rsid w:val="004001AF"/>
    <w:rsid w:val="004006AE"/>
    <w:rsid w:val="004015EA"/>
    <w:rsid w:val="0040190F"/>
    <w:rsid w:val="004021E4"/>
    <w:rsid w:val="0040268F"/>
    <w:rsid w:val="00402818"/>
    <w:rsid w:val="00403E6A"/>
    <w:rsid w:val="00404FF9"/>
    <w:rsid w:val="0040530F"/>
    <w:rsid w:val="00405798"/>
    <w:rsid w:val="00406F9A"/>
    <w:rsid w:val="0040742B"/>
    <w:rsid w:val="00407A6F"/>
    <w:rsid w:val="0041029D"/>
    <w:rsid w:val="004109C6"/>
    <w:rsid w:val="0041155D"/>
    <w:rsid w:val="00411C0F"/>
    <w:rsid w:val="004133EA"/>
    <w:rsid w:val="00413426"/>
    <w:rsid w:val="004134E7"/>
    <w:rsid w:val="00414CCE"/>
    <w:rsid w:val="00415305"/>
    <w:rsid w:val="004159F7"/>
    <w:rsid w:val="00416040"/>
    <w:rsid w:val="0041722D"/>
    <w:rsid w:val="004176B0"/>
    <w:rsid w:val="00417802"/>
    <w:rsid w:val="00421007"/>
    <w:rsid w:val="0042242C"/>
    <w:rsid w:val="00423B33"/>
    <w:rsid w:val="0042465D"/>
    <w:rsid w:val="00424B9F"/>
    <w:rsid w:val="00424C02"/>
    <w:rsid w:val="00425640"/>
    <w:rsid w:val="00425649"/>
    <w:rsid w:val="00425EB1"/>
    <w:rsid w:val="004265E3"/>
    <w:rsid w:val="0042694D"/>
    <w:rsid w:val="004269BA"/>
    <w:rsid w:val="00426FFC"/>
    <w:rsid w:val="0042737A"/>
    <w:rsid w:val="00427859"/>
    <w:rsid w:val="00427BEC"/>
    <w:rsid w:val="004301E4"/>
    <w:rsid w:val="00430A27"/>
    <w:rsid w:val="00430BB4"/>
    <w:rsid w:val="00431222"/>
    <w:rsid w:val="00432321"/>
    <w:rsid w:val="0043378C"/>
    <w:rsid w:val="00433D88"/>
    <w:rsid w:val="00433FA0"/>
    <w:rsid w:val="0043534C"/>
    <w:rsid w:val="00436054"/>
    <w:rsid w:val="0043658C"/>
    <w:rsid w:val="00436FEE"/>
    <w:rsid w:val="0043770D"/>
    <w:rsid w:val="00437932"/>
    <w:rsid w:val="00437AC1"/>
    <w:rsid w:val="00437FAD"/>
    <w:rsid w:val="00440762"/>
    <w:rsid w:val="00442179"/>
    <w:rsid w:val="004455A8"/>
    <w:rsid w:val="00445997"/>
    <w:rsid w:val="004467E5"/>
    <w:rsid w:val="00447605"/>
    <w:rsid w:val="00447D64"/>
    <w:rsid w:val="004500B3"/>
    <w:rsid w:val="004502FF"/>
    <w:rsid w:val="004521F7"/>
    <w:rsid w:val="00453246"/>
    <w:rsid w:val="00453C61"/>
    <w:rsid w:val="004550AB"/>
    <w:rsid w:val="00455383"/>
    <w:rsid w:val="004565C0"/>
    <w:rsid w:val="00456DDF"/>
    <w:rsid w:val="0045737E"/>
    <w:rsid w:val="004579D5"/>
    <w:rsid w:val="00457B55"/>
    <w:rsid w:val="00457E44"/>
    <w:rsid w:val="00460160"/>
    <w:rsid w:val="00460CFF"/>
    <w:rsid w:val="00461DD2"/>
    <w:rsid w:val="00462B8C"/>
    <w:rsid w:val="00462CF4"/>
    <w:rsid w:val="00462D99"/>
    <w:rsid w:val="0046440C"/>
    <w:rsid w:val="00466AFA"/>
    <w:rsid w:val="00466D3F"/>
    <w:rsid w:val="00467221"/>
    <w:rsid w:val="004676D8"/>
    <w:rsid w:val="00467B5B"/>
    <w:rsid w:val="004708F2"/>
    <w:rsid w:val="00470918"/>
    <w:rsid w:val="004724C4"/>
    <w:rsid w:val="00473CA1"/>
    <w:rsid w:val="00473E4C"/>
    <w:rsid w:val="00474DAD"/>
    <w:rsid w:val="004766CD"/>
    <w:rsid w:val="004768E4"/>
    <w:rsid w:val="00476D12"/>
    <w:rsid w:val="00477632"/>
    <w:rsid w:val="004779FE"/>
    <w:rsid w:val="00477F22"/>
    <w:rsid w:val="00477F60"/>
    <w:rsid w:val="0048035D"/>
    <w:rsid w:val="00481EA8"/>
    <w:rsid w:val="0048206F"/>
    <w:rsid w:val="0048227D"/>
    <w:rsid w:val="004822F4"/>
    <w:rsid w:val="0048370F"/>
    <w:rsid w:val="00483B31"/>
    <w:rsid w:val="00483D73"/>
    <w:rsid w:val="00485099"/>
    <w:rsid w:val="004874B6"/>
    <w:rsid w:val="00487957"/>
    <w:rsid w:val="0049004D"/>
    <w:rsid w:val="00490679"/>
    <w:rsid w:val="0049116B"/>
    <w:rsid w:val="004918F4"/>
    <w:rsid w:val="00492053"/>
    <w:rsid w:val="0049228A"/>
    <w:rsid w:val="0049272D"/>
    <w:rsid w:val="00493B39"/>
    <w:rsid w:val="00494508"/>
    <w:rsid w:val="00494DE3"/>
    <w:rsid w:val="00494EEC"/>
    <w:rsid w:val="00495D1F"/>
    <w:rsid w:val="0049636F"/>
    <w:rsid w:val="00496A1D"/>
    <w:rsid w:val="00496BD8"/>
    <w:rsid w:val="00496EEB"/>
    <w:rsid w:val="004970D6"/>
    <w:rsid w:val="00497107"/>
    <w:rsid w:val="004973E9"/>
    <w:rsid w:val="004A20F8"/>
    <w:rsid w:val="004A242D"/>
    <w:rsid w:val="004A2913"/>
    <w:rsid w:val="004A2A29"/>
    <w:rsid w:val="004A3BF8"/>
    <w:rsid w:val="004A42C2"/>
    <w:rsid w:val="004A4E8B"/>
    <w:rsid w:val="004A50FB"/>
    <w:rsid w:val="004A54C0"/>
    <w:rsid w:val="004A59C0"/>
    <w:rsid w:val="004A5D53"/>
    <w:rsid w:val="004A6314"/>
    <w:rsid w:val="004A6C0A"/>
    <w:rsid w:val="004A7BB2"/>
    <w:rsid w:val="004A7C4D"/>
    <w:rsid w:val="004B07A4"/>
    <w:rsid w:val="004B0FE7"/>
    <w:rsid w:val="004B1E08"/>
    <w:rsid w:val="004B1E8E"/>
    <w:rsid w:val="004B2909"/>
    <w:rsid w:val="004B2B27"/>
    <w:rsid w:val="004B42DD"/>
    <w:rsid w:val="004B476A"/>
    <w:rsid w:val="004B5553"/>
    <w:rsid w:val="004B57AB"/>
    <w:rsid w:val="004B60DF"/>
    <w:rsid w:val="004B63F7"/>
    <w:rsid w:val="004B7819"/>
    <w:rsid w:val="004C01A7"/>
    <w:rsid w:val="004C0944"/>
    <w:rsid w:val="004C221D"/>
    <w:rsid w:val="004C2B82"/>
    <w:rsid w:val="004C3148"/>
    <w:rsid w:val="004C3850"/>
    <w:rsid w:val="004C3A1F"/>
    <w:rsid w:val="004C3DF6"/>
    <w:rsid w:val="004C4393"/>
    <w:rsid w:val="004C4ED9"/>
    <w:rsid w:val="004C5B6B"/>
    <w:rsid w:val="004C71B7"/>
    <w:rsid w:val="004C76B6"/>
    <w:rsid w:val="004C7C3D"/>
    <w:rsid w:val="004D0B1C"/>
    <w:rsid w:val="004D138D"/>
    <w:rsid w:val="004D1A13"/>
    <w:rsid w:val="004D1D44"/>
    <w:rsid w:val="004D2ADA"/>
    <w:rsid w:val="004D2AF5"/>
    <w:rsid w:val="004D3A55"/>
    <w:rsid w:val="004D3C9F"/>
    <w:rsid w:val="004D4363"/>
    <w:rsid w:val="004D45B5"/>
    <w:rsid w:val="004D4650"/>
    <w:rsid w:val="004D52D0"/>
    <w:rsid w:val="004D596D"/>
    <w:rsid w:val="004D5A10"/>
    <w:rsid w:val="004D5BE7"/>
    <w:rsid w:val="004D68F3"/>
    <w:rsid w:val="004D6D71"/>
    <w:rsid w:val="004D71DA"/>
    <w:rsid w:val="004E0308"/>
    <w:rsid w:val="004E059D"/>
    <w:rsid w:val="004E10C6"/>
    <w:rsid w:val="004E25AD"/>
    <w:rsid w:val="004E261E"/>
    <w:rsid w:val="004E2793"/>
    <w:rsid w:val="004E299F"/>
    <w:rsid w:val="004E4622"/>
    <w:rsid w:val="004E4688"/>
    <w:rsid w:val="004E5BCE"/>
    <w:rsid w:val="004E5F05"/>
    <w:rsid w:val="004E6171"/>
    <w:rsid w:val="004E64CA"/>
    <w:rsid w:val="004E6FD7"/>
    <w:rsid w:val="004E722F"/>
    <w:rsid w:val="004F05BA"/>
    <w:rsid w:val="004F0E08"/>
    <w:rsid w:val="004F126E"/>
    <w:rsid w:val="004F1B08"/>
    <w:rsid w:val="004F1B94"/>
    <w:rsid w:val="004F1E97"/>
    <w:rsid w:val="004F3ECF"/>
    <w:rsid w:val="004F4893"/>
    <w:rsid w:val="004F48A7"/>
    <w:rsid w:val="004F4CDE"/>
    <w:rsid w:val="004F5D6B"/>
    <w:rsid w:val="004F6012"/>
    <w:rsid w:val="004F6C9F"/>
    <w:rsid w:val="004F7C93"/>
    <w:rsid w:val="005000A5"/>
    <w:rsid w:val="00500A0C"/>
    <w:rsid w:val="005018A3"/>
    <w:rsid w:val="00501CBB"/>
    <w:rsid w:val="0050207D"/>
    <w:rsid w:val="0050245A"/>
    <w:rsid w:val="005028AB"/>
    <w:rsid w:val="00503208"/>
    <w:rsid w:val="00503673"/>
    <w:rsid w:val="00503928"/>
    <w:rsid w:val="005039D1"/>
    <w:rsid w:val="0050421B"/>
    <w:rsid w:val="00504D64"/>
    <w:rsid w:val="00505A1C"/>
    <w:rsid w:val="00505DED"/>
    <w:rsid w:val="00506D6E"/>
    <w:rsid w:val="005109C7"/>
    <w:rsid w:val="00510F41"/>
    <w:rsid w:val="005112BA"/>
    <w:rsid w:val="00511609"/>
    <w:rsid w:val="00511D50"/>
    <w:rsid w:val="00514383"/>
    <w:rsid w:val="005148AA"/>
    <w:rsid w:val="0051494A"/>
    <w:rsid w:val="00514D10"/>
    <w:rsid w:val="00515181"/>
    <w:rsid w:val="005159DD"/>
    <w:rsid w:val="00515B3E"/>
    <w:rsid w:val="00516543"/>
    <w:rsid w:val="005166FD"/>
    <w:rsid w:val="00516C74"/>
    <w:rsid w:val="00517089"/>
    <w:rsid w:val="00521002"/>
    <w:rsid w:val="0052155C"/>
    <w:rsid w:val="00522B46"/>
    <w:rsid w:val="00522D5A"/>
    <w:rsid w:val="00523194"/>
    <w:rsid w:val="005231C9"/>
    <w:rsid w:val="00523D10"/>
    <w:rsid w:val="005246E6"/>
    <w:rsid w:val="005247F4"/>
    <w:rsid w:val="00524D24"/>
    <w:rsid w:val="005267EE"/>
    <w:rsid w:val="00526D91"/>
    <w:rsid w:val="005274F0"/>
    <w:rsid w:val="005275B9"/>
    <w:rsid w:val="00530EBA"/>
    <w:rsid w:val="005331AA"/>
    <w:rsid w:val="005337D1"/>
    <w:rsid w:val="00533E6A"/>
    <w:rsid w:val="005345C6"/>
    <w:rsid w:val="005348FF"/>
    <w:rsid w:val="00534A6C"/>
    <w:rsid w:val="00536867"/>
    <w:rsid w:val="00536E2D"/>
    <w:rsid w:val="0053703B"/>
    <w:rsid w:val="00537156"/>
    <w:rsid w:val="005401D7"/>
    <w:rsid w:val="00540411"/>
    <w:rsid w:val="00540F51"/>
    <w:rsid w:val="00541982"/>
    <w:rsid w:val="00541B51"/>
    <w:rsid w:val="00542665"/>
    <w:rsid w:val="0054374B"/>
    <w:rsid w:val="00543F89"/>
    <w:rsid w:val="0054439C"/>
    <w:rsid w:val="005458DF"/>
    <w:rsid w:val="00545C04"/>
    <w:rsid w:val="0054704D"/>
    <w:rsid w:val="00547B6C"/>
    <w:rsid w:val="005504E2"/>
    <w:rsid w:val="0055059F"/>
    <w:rsid w:val="00550A64"/>
    <w:rsid w:val="00550A81"/>
    <w:rsid w:val="00550B3B"/>
    <w:rsid w:val="00551DF0"/>
    <w:rsid w:val="00552171"/>
    <w:rsid w:val="00552458"/>
    <w:rsid w:val="00553A50"/>
    <w:rsid w:val="0055406B"/>
    <w:rsid w:val="00554CB6"/>
    <w:rsid w:val="00555ADF"/>
    <w:rsid w:val="00556179"/>
    <w:rsid w:val="005571C2"/>
    <w:rsid w:val="00557D5C"/>
    <w:rsid w:val="005601F0"/>
    <w:rsid w:val="00560909"/>
    <w:rsid w:val="005627F1"/>
    <w:rsid w:val="00563614"/>
    <w:rsid w:val="005639A6"/>
    <w:rsid w:val="00564D85"/>
    <w:rsid w:val="00565208"/>
    <w:rsid w:val="005653E8"/>
    <w:rsid w:val="0056568D"/>
    <w:rsid w:val="00565A64"/>
    <w:rsid w:val="005662A0"/>
    <w:rsid w:val="00566CC2"/>
    <w:rsid w:val="005673C6"/>
    <w:rsid w:val="00570293"/>
    <w:rsid w:val="00571389"/>
    <w:rsid w:val="005714FD"/>
    <w:rsid w:val="0057268E"/>
    <w:rsid w:val="00573186"/>
    <w:rsid w:val="00573475"/>
    <w:rsid w:val="0057396F"/>
    <w:rsid w:val="00573C7C"/>
    <w:rsid w:val="00574839"/>
    <w:rsid w:val="005756C6"/>
    <w:rsid w:val="00575B02"/>
    <w:rsid w:val="005775CD"/>
    <w:rsid w:val="00577A87"/>
    <w:rsid w:val="00577B1D"/>
    <w:rsid w:val="00577F4F"/>
    <w:rsid w:val="00580517"/>
    <w:rsid w:val="005813B1"/>
    <w:rsid w:val="00581BAC"/>
    <w:rsid w:val="00581E5E"/>
    <w:rsid w:val="00582636"/>
    <w:rsid w:val="00582B9E"/>
    <w:rsid w:val="00583FB0"/>
    <w:rsid w:val="005842BF"/>
    <w:rsid w:val="0058459F"/>
    <w:rsid w:val="0058517D"/>
    <w:rsid w:val="00585803"/>
    <w:rsid w:val="00585F24"/>
    <w:rsid w:val="00586528"/>
    <w:rsid w:val="00586861"/>
    <w:rsid w:val="005870D5"/>
    <w:rsid w:val="00587C16"/>
    <w:rsid w:val="00590E2E"/>
    <w:rsid w:val="00590F7A"/>
    <w:rsid w:val="005915A9"/>
    <w:rsid w:val="0059191F"/>
    <w:rsid w:val="005919BD"/>
    <w:rsid w:val="00591DBD"/>
    <w:rsid w:val="005928F5"/>
    <w:rsid w:val="00593C6A"/>
    <w:rsid w:val="00593DF4"/>
    <w:rsid w:val="005956B0"/>
    <w:rsid w:val="005962C0"/>
    <w:rsid w:val="00596872"/>
    <w:rsid w:val="00596B1A"/>
    <w:rsid w:val="00597253"/>
    <w:rsid w:val="005973DB"/>
    <w:rsid w:val="0059768A"/>
    <w:rsid w:val="00597FAD"/>
    <w:rsid w:val="005A13F1"/>
    <w:rsid w:val="005A1790"/>
    <w:rsid w:val="005A33DE"/>
    <w:rsid w:val="005A50E3"/>
    <w:rsid w:val="005A51DB"/>
    <w:rsid w:val="005A53CB"/>
    <w:rsid w:val="005A598A"/>
    <w:rsid w:val="005A6113"/>
    <w:rsid w:val="005A7C1F"/>
    <w:rsid w:val="005B016B"/>
    <w:rsid w:val="005B07DB"/>
    <w:rsid w:val="005B111A"/>
    <w:rsid w:val="005B1B68"/>
    <w:rsid w:val="005B1B76"/>
    <w:rsid w:val="005B209B"/>
    <w:rsid w:val="005B2634"/>
    <w:rsid w:val="005B36E2"/>
    <w:rsid w:val="005B3723"/>
    <w:rsid w:val="005B391E"/>
    <w:rsid w:val="005B400F"/>
    <w:rsid w:val="005B410D"/>
    <w:rsid w:val="005B4197"/>
    <w:rsid w:val="005B4CD2"/>
    <w:rsid w:val="005B65A4"/>
    <w:rsid w:val="005B777F"/>
    <w:rsid w:val="005C0B9C"/>
    <w:rsid w:val="005C0D4E"/>
    <w:rsid w:val="005C0EC2"/>
    <w:rsid w:val="005C11FC"/>
    <w:rsid w:val="005C209D"/>
    <w:rsid w:val="005C38EF"/>
    <w:rsid w:val="005C46F7"/>
    <w:rsid w:val="005C51DD"/>
    <w:rsid w:val="005C5D69"/>
    <w:rsid w:val="005C60C1"/>
    <w:rsid w:val="005C61D5"/>
    <w:rsid w:val="005C72C3"/>
    <w:rsid w:val="005C7464"/>
    <w:rsid w:val="005C7E2E"/>
    <w:rsid w:val="005D093C"/>
    <w:rsid w:val="005D0CBC"/>
    <w:rsid w:val="005D0D95"/>
    <w:rsid w:val="005D222D"/>
    <w:rsid w:val="005D2AA4"/>
    <w:rsid w:val="005D30A7"/>
    <w:rsid w:val="005D3161"/>
    <w:rsid w:val="005D5180"/>
    <w:rsid w:val="005D59AB"/>
    <w:rsid w:val="005D6140"/>
    <w:rsid w:val="005D6B38"/>
    <w:rsid w:val="005D7386"/>
    <w:rsid w:val="005E00B8"/>
    <w:rsid w:val="005E0458"/>
    <w:rsid w:val="005E0601"/>
    <w:rsid w:val="005E0AD8"/>
    <w:rsid w:val="005E1302"/>
    <w:rsid w:val="005E19BA"/>
    <w:rsid w:val="005E1A61"/>
    <w:rsid w:val="005E1F27"/>
    <w:rsid w:val="005E1F32"/>
    <w:rsid w:val="005E201A"/>
    <w:rsid w:val="005E22FA"/>
    <w:rsid w:val="005E26F7"/>
    <w:rsid w:val="005E36CF"/>
    <w:rsid w:val="005E4013"/>
    <w:rsid w:val="005E48BD"/>
    <w:rsid w:val="005E4C3B"/>
    <w:rsid w:val="005E4D26"/>
    <w:rsid w:val="005E59BF"/>
    <w:rsid w:val="005E5BCF"/>
    <w:rsid w:val="005E708C"/>
    <w:rsid w:val="005E7AA4"/>
    <w:rsid w:val="005E7FF0"/>
    <w:rsid w:val="005F0050"/>
    <w:rsid w:val="005F0610"/>
    <w:rsid w:val="005F1749"/>
    <w:rsid w:val="005F2113"/>
    <w:rsid w:val="005F27CB"/>
    <w:rsid w:val="005F341B"/>
    <w:rsid w:val="005F435E"/>
    <w:rsid w:val="005F44E2"/>
    <w:rsid w:val="005F4D25"/>
    <w:rsid w:val="005F53F8"/>
    <w:rsid w:val="005F7111"/>
    <w:rsid w:val="005F7B1F"/>
    <w:rsid w:val="006004C2"/>
    <w:rsid w:val="00600E2A"/>
    <w:rsid w:val="00600F77"/>
    <w:rsid w:val="00601B31"/>
    <w:rsid w:val="00601EE8"/>
    <w:rsid w:val="00602360"/>
    <w:rsid w:val="0060253D"/>
    <w:rsid w:val="00605844"/>
    <w:rsid w:val="0060623E"/>
    <w:rsid w:val="00606435"/>
    <w:rsid w:val="0060786A"/>
    <w:rsid w:val="00607A2A"/>
    <w:rsid w:val="006101CB"/>
    <w:rsid w:val="006103FB"/>
    <w:rsid w:val="00611703"/>
    <w:rsid w:val="00612038"/>
    <w:rsid w:val="00612A84"/>
    <w:rsid w:val="006131C2"/>
    <w:rsid w:val="006137FB"/>
    <w:rsid w:val="0061460D"/>
    <w:rsid w:val="00614B43"/>
    <w:rsid w:val="00614F8D"/>
    <w:rsid w:val="006151F8"/>
    <w:rsid w:val="00615578"/>
    <w:rsid w:val="00615731"/>
    <w:rsid w:val="006166D9"/>
    <w:rsid w:val="00616C69"/>
    <w:rsid w:val="00617D47"/>
    <w:rsid w:val="00620294"/>
    <w:rsid w:val="006205DF"/>
    <w:rsid w:val="00620966"/>
    <w:rsid w:val="00621414"/>
    <w:rsid w:val="0062172B"/>
    <w:rsid w:val="0062372F"/>
    <w:rsid w:val="0062426C"/>
    <w:rsid w:val="006256D2"/>
    <w:rsid w:val="0062571C"/>
    <w:rsid w:val="00626176"/>
    <w:rsid w:val="00627DB2"/>
    <w:rsid w:val="00630F99"/>
    <w:rsid w:val="006314F6"/>
    <w:rsid w:val="00631656"/>
    <w:rsid w:val="00631C7D"/>
    <w:rsid w:val="00631E7C"/>
    <w:rsid w:val="006320EB"/>
    <w:rsid w:val="00632140"/>
    <w:rsid w:val="0063339C"/>
    <w:rsid w:val="0063360B"/>
    <w:rsid w:val="006336CA"/>
    <w:rsid w:val="00633E21"/>
    <w:rsid w:val="006340CE"/>
    <w:rsid w:val="00634805"/>
    <w:rsid w:val="006348B1"/>
    <w:rsid w:val="00634B73"/>
    <w:rsid w:val="00635870"/>
    <w:rsid w:val="00635AB4"/>
    <w:rsid w:val="00636FC0"/>
    <w:rsid w:val="006376ED"/>
    <w:rsid w:val="0063790E"/>
    <w:rsid w:val="00640D11"/>
    <w:rsid w:val="006421DD"/>
    <w:rsid w:val="00642AD4"/>
    <w:rsid w:val="00643D59"/>
    <w:rsid w:val="00643E72"/>
    <w:rsid w:val="00643FD7"/>
    <w:rsid w:val="006443AC"/>
    <w:rsid w:val="006444E0"/>
    <w:rsid w:val="006452E2"/>
    <w:rsid w:val="00645310"/>
    <w:rsid w:val="00645912"/>
    <w:rsid w:val="00646519"/>
    <w:rsid w:val="00646F9A"/>
    <w:rsid w:val="0064711E"/>
    <w:rsid w:val="00650FCE"/>
    <w:rsid w:val="006513B5"/>
    <w:rsid w:val="00651668"/>
    <w:rsid w:val="00651BF5"/>
    <w:rsid w:val="00652614"/>
    <w:rsid w:val="006530CA"/>
    <w:rsid w:val="0065330B"/>
    <w:rsid w:val="00653437"/>
    <w:rsid w:val="00653D66"/>
    <w:rsid w:val="00654219"/>
    <w:rsid w:val="00654630"/>
    <w:rsid w:val="00654A91"/>
    <w:rsid w:val="00654DFD"/>
    <w:rsid w:val="00654E2D"/>
    <w:rsid w:val="00654F61"/>
    <w:rsid w:val="00655364"/>
    <w:rsid w:val="0065655F"/>
    <w:rsid w:val="00656ACA"/>
    <w:rsid w:val="00656B13"/>
    <w:rsid w:val="00660408"/>
    <w:rsid w:val="00660E54"/>
    <w:rsid w:val="006628CE"/>
    <w:rsid w:val="00662A9C"/>
    <w:rsid w:val="00663AD8"/>
    <w:rsid w:val="006642D8"/>
    <w:rsid w:val="006644DA"/>
    <w:rsid w:val="00664D68"/>
    <w:rsid w:val="00664DED"/>
    <w:rsid w:val="006652BA"/>
    <w:rsid w:val="00665347"/>
    <w:rsid w:val="00666687"/>
    <w:rsid w:val="006669FF"/>
    <w:rsid w:val="00666D9C"/>
    <w:rsid w:val="006673C3"/>
    <w:rsid w:val="006676FD"/>
    <w:rsid w:val="00670270"/>
    <w:rsid w:val="00670AC0"/>
    <w:rsid w:val="00670C11"/>
    <w:rsid w:val="006710A8"/>
    <w:rsid w:val="00671836"/>
    <w:rsid w:val="006725DB"/>
    <w:rsid w:val="00672AF9"/>
    <w:rsid w:val="0067362B"/>
    <w:rsid w:val="006747AB"/>
    <w:rsid w:val="006748B1"/>
    <w:rsid w:val="00674905"/>
    <w:rsid w:val="006749F8"/>
    <w:rsid w:val="00674A56"/>
    <w:rsid w:val="00674AC8"/>
    <w:rsid w:val="00677AB8"/>
    <w:rsid w:val="00677B6D"/>
    <w:rsid w:val="00677ECE"/>
    <w:rsid w:val="00680035"/>
    <w:rsid w:val="00680099"/>
    <w:rsid w:val="006802BA"/>
    <w:rsid w:val="00680409"/>
    <w:rsid w:val="0068123C"/>
    <w:rsid w:val="0068157B"/>
    <w:rsid w:val="00681A9A"/>
    <w:rsid w:val="00681E29"/>
    <w:rsid w:val="0068227B"/>
    <w:rsid w:val="00682A48"/>
    <w:rsid w:val="00682AB9"/>
    <w:rsid w:val="0068319A"/>
    <w:rsid w:val="00683EE6"/>
    <w:rsid w:val="00683F27"/>
    <w:rsid w:val="00684208"/>
    <w:rsid w:val="006852F9"/>
    <w:rsid w:val="00685BEB"/>
    <w:rsid w:val="00686777"/>
    <w:rsid w:val="006872DE"/>
    <w:rsid w:val="00687640"/>
    <w:rsid w:val="006900EA"/>
    <w:rsid w:val="00692493"/>
    <w:rsid w:val="0069374D"/>
    <w:rsid w:val="00693AE6"/>
    <w:rsid w:val="006950E5"/>
    <w:rsid w:val="00695F4A"/>
    <w:rsid w:val="00696430"/>
    <w:rsid w:val="00697098"/>
    <w:rsid w:val="006977EA"/>
    <w:rsid w:val="00697D5F"/>
    <w:rsid w:val="006A003A"/>
    <w:rsid w:val="006A0715"/>
    <w:rsid w:val="006A1325"/>
    <w:rsid w:val="006A1544"/>
    <w:rsid w:val="006A1956"/>
    <w:rsid w:val="006A23A9"/>
    <w:rsid w:val="006A28A2"/>
    <w:rsid w:val="006A2F97"/>
    <w:rsid w:val="006A3B42"/>
    <w:rsid w:val="006A3E2C"/>
    <w:rsid w:val="006A430C"/>
    <w:rsid w:val="006A46FD"/>
    <w:rsid w:val="006A60DF"/>
    <w:rsid w:val="006A7258"/>
    <w:rsid w:val="006A7294"/>
    <w:rsid w:val="006B07BF"/>
    <w:rsid w:val="006B12C7"/>
    <w:rsid w:val="006B1318"/>
    <w:rsid w:val="006B14D4"/>
    <w:rsid w:val="006B188C"/>
    <w:rsid w:val="006B200D"/>
    <w:rsid w:val="006B21B7"/>
    <w:rsid w:val="006B23C1"/>
    <w:rsid w:val="006B3041"/>
    <w:rsid w:val="006B307C"/>
    <w:rsid w:val="006B31C5"/>
    <w:rsid w:val="006B389E"/>
    <w:rsid w:val="006B444A"/>
    <w:rsid w:val="006B4E3A"/>
    <w:rsid w:val="006B5274"/>
    <w:rsid w:val="006B582A"/>
    <w:rsid w:val="006B59AA"/>
    <w:rsid w:val="006B631E"/>
    <w:rsid w:val="006B68D1"/>
    <w:rsid w:val="006B6D11"/>
    <w:rsid w:val="006B7245"/>
    <w:rsid w:val="006C0280"/>
    <w:rsid w:val="006C0E46"/>
    <w:rsid w:val="006C1AE0"/>
    <w:rsid w:val="006C1CFD"/>
    <w:rsid w:val="006C29B6"/>
    <w:rsid w:val="006C2ABA"/>
    <w:rsid w:val="006C3997"/>
    <w:rsid w:val="006C4293"/>
    <w:rsid w:val="006C4593"/>
    <w:rsid w:val="006C49F4"/>
    <w:rsid w:val="006C4CBD"/>
    <w:rsid w:val="006C537B"/>
    <w:rsid w:val="006C5E22"/>
    <w:rsid w:val="006C72C7"/>
    <w:rsid w:val="006C7350"/>
    <w:rsid w:val="006D0C9A"/>
    <w:rsid w:val="006D1ABD"/>
    <w:rsid w:val="006D1D5D"/>
    <w:rsid w:val="006D22E1"/>
    <w:rsid w:val="006D233D"/>
    <w:rsid w:val="006D2702"/>
    <w:rsid w:val="006D283C"/>
    <w:rsid w:val="006D2B43"/>
    <w:rsid w:val="006D3207"/>
    <w:rsid w:val="006D3284"/>
    <w:rsid w:val="006D33F3"/>
    <w:rsid w:val="006D4629"/>
    <w:rsid w:val="006D46FD"/>
    <w:rsid w:val="006D5014"/>
    <w:rsid w:val="006D5704"/>
    <w:rsid w:val="006D5E22"/>
    <w:rsid w:val="006E085E"/>
    <w:rsid w:val="006E08D9"/>
    <w:rsid w:val="006E0A4D"/>
    <w:rsid w:val="006E15B3"/>
    <w:rsid w:val="006E2270"/>
    <w:rsid w:val="006E2A3E"/>
    <w:rsid w:val="006E3272"/>
    <w:rsid w:val="006E36E3"/>
    <w:rsid w:val="006E3B77"/>
    <w:rsid w:val="006E3F0C"/>
    <w:rsid w:val="006E4392"/>
    <w:rsid w:val="006E4408"/>
    <w:rsid w:val="006E47F4"/>
    <w:rsid w:val="006E5452"/>
    <w:rsid w:val="006E6255"/>
    <w:rsid w:val="006E733D"/>
    <w:rsid w:val="006F08C6"/>
    <w:rsid w:val="006F0DFB"/>
    <w:rsid w:val="006F18A9"/>
    <w:rsid w:val="006F1A28"/>
    <w:rsid w:val="006F3213"/>
    <w:rsid w:val="006F3DA4"/>
    <w:rsid w:val="006F3FEA"/>
    <w:rsid w:val="006F4D8D"/>
    <w:rsid w:val="006F5435"/>
    <w:rsid w:val="006F5764"/>
    <w:rsid w:val="006F5D11"/>
    <w:rsid w:val="006F675F"/>
    <w:rsid w:val="006F6C14"/>
    <w:rsid w:val="006F7DD0"/>
    <w:rsid w:val="007002D0"/>
    <w:rsid w:val="007014A9"/>
    <w:rsid w:val="00701B25"/>
    <w:rsid w:val="00701C2D"/>
    <w:rsid w:val="00701ECD"/>
    <w:rsid w:val="00703CC1"/>
    <w:rsid w:val="007045AA"/>
    <w:rsid w:val="0070485F"/>
    <w:rsid w:val="007048A9"/>
    <w:rsid w:val="0070547F"/>
    <w:rsid w:val="0070602A"/>
    <w:rsid w:val="00706262"/>
    <w:rsid w:val="00706B66"/>
    <w:rsid w:val="00706FC3"/>
    <w:rsid w:val="00707964"/>
    <w:rsid w:val="00707AB8"/>
    <w:rsid w:val="007118CA"/>
    <w:rsid w:val="007121C9"/>
    <w:rsid w:val="0071481E"/>
    <w:rsid w:val="00714F58"/>
    <w:rsid w:val="007151FA"/>
    <w:rsid w:val="00715307"/>
    <w:rsid w:val="007156A7"/>
    <w:rsid w:val="00715B51"/>
    <w:rsid w:val="00715C32"/>
    <w:rsid w:val="007173DB"/>
    <w:rsid w:val="007176B1"/>
    <w:rsid w:val="00717EC2"/>
    <w:rsid w:val="00717FC4"/>
    <w:rsid w:val="0072056B"/>
    <w:rsid w:val="00720F0A"/>
    <w:rsid w:val="00721728"/>
    <w:rsid w:val="00721C5C"/>
    <w:rsid w:val="007227E5"/>
    <w:rsid w:val="00722960"/>
    <w:rsid w:val="00722BD7"/>
    <w:rsid w:val="007235B5"/>
    <w:rsid w:val="0072365F"/>
    <w:rsid w:val="0072408A"/>
    <w:rsid w:val="007243AD"/>
    <w:rsid w:val="007256FB"/>
    <w:rsid w:val="00725EC8"/>
    <w:rsid w:val="00726015"/>
    <w:rsid w:val="00726844"/>
    <w:rsid w:val="00726D3C"/>
    <w:rsid w:val="007276C8"/>
    <w:rsid w:val="00730563"/>
    <w:rsid w:val="00730892"/>
    <w:rsid w:val="007310EC"/>
    <w:rsid w:val="00732808"/>
    <w:rsid w:val="00734B68"/>
    <w:rsid w:val="00734EBC"/>
    <w:rsid w:val="0073526C"/>
    <w:rsid w:val="00736F6A"/>
    <w:rsid w:val="00740F05"/>
    <w:rsid w:val="00742192"/>
    <w:rsid w:val="00742692"/>
    <w:rsid w:val="00743085"/>
    <w:rsid w:val="007447D9"/>
    <w:rsid w:val="00744ACF"/>
    <w:rsid w:val="00744C59"/>
    <w:rsid w:val="00745653"/>
    <w:rsid w:val="00745761"/>
    <w:rsid w:val="00745EF7"/>
    <w:rsid w:val="00745FCB"/>
    <w:rsid w:val="00746B83"/>
    <w:rsid w:val="00747212"/>
    <w:rsid w:val="00747C69"/>
    <w:rsid w:val="00750750"/>
    <w:rsid w:val="00751161"/>
    <w:rsid w:val="00751E6F"/>
    <w:rsid w:val="007524AB"/>
    <w:rsid w:val="00752B16"/>
    <w:rsid w:val="00753148"/>
    <w:rsid w:val="007532B2"/>
    <w:rsid w:val="00753629"/>
    <w:rsid w:val="00753DDD"/>
    <w:rsid w:val="007545BC"/>
    <w:rsid w:val="007545E6"/>
    <w:rsid w:val="0075591B"/>
    <w:rsid w:val="00756107"/>
    <w:rsid w:val="00757497"/>
    <w:rsid w:val="00760D3C"/>
    <w:rsid w:val="00760D41"/>
    <w:rsid w:val="0076131B"/>
    <w:rsid w:val="00762657"/>
    <w:rsid w:val="00762727"/>
    <w:rsid w:val="00762C7D"/>
    <w:rsid w:val="007635CB"/>
    <w:rsid w:val="00763C6E"/>
    <w:rsid w:val="00763EB9"/>
    <w:rsid w:val="0076401B"/>
    <w:rsid w:val="00764099"/>
    <w:rsid w:val="00764A12"/>
    <w:rsid w:val="00764BDF"/>
    <w:rsid w:val="00764D99"/>
    <w:rsid w:val="00764E5C"/>
    <w:rsid w:val="00765B0A"/>
    <w:rsid w:val="00765C09"/>
    <w:rsid w:val="007667A1"/>
    <w:rsid w:val="00766922"/>
    <w:rsid w:val="00767175"/>
    <w:rsid w:val="00767EE8"/>
    <w:rsid w:val="00767FD5"/>
    <w:rsid w:val="00770317"/>
    <w:rsid w:val="0077052E"/>
    <w:rsid w:val="00770684"/>
    <w:rsid w:val="0077153D"/>
    <w:rsid w:val="00772A1B"/>
    <w:rsid w:val="00772B03"/>
    <w:rsid w:val="00772B20"/>
    <w:rsid w:val="00772E9A"/>
    <w:rsid w:val="00773A27"/>
    <w:rsid w:val="00774B6E"/>
    <w:rsid w:val="00775AFF"/>
    <w:rsid w:val="00775DA9"/>
    <w:rsid w:val="007761F3"/>
    <w:rsid w:val="00776FD8"/>
    <w:rsid w:val="00777BDD"/>
    <w:rsid w:val="00777EAC"/>
    <w:rsid w:val="0078013C"/>
    <w:rsid w:val="00780774"/>
    <w:rsid w:val="0078165F"/>
    <w:rsid w:val="00781FE2"/>
    <w:rsid w:val="00782845"/>
    <w:rsid w:val="007828DF"/>
    <w:rsid w:val="007835F5"/>
    <w:rsid w:val="0078377B"/>
    <w:rsid w:val="00783D03"/>
    <w:rsid w:val="00784922"/>
    <w:rsid w:val="00785A8C"/>
    <w:rsid w:val="00787712"/>
    <w:rsid w:val="0078777C"/>
    <w:rsid w:val="00787EE0"/>
    <w:rsid w:val="00790147"/>
    <w:rsid w:val="00790581"/>
    <w:rsid w:val="00791B2C"/>
    <w:rsid w:val="007920D3"/>
    <w:rsid w:val="00792F5A"/>
    <w:rsid w:val="007955C2"/>
    <w:rsid w:val="00795B37"/>
    <w:rsid w:val="00796012"/>
    <w:rsid w:val="00797599"/>
    <w:rsid w:val="00797789"/>
    <w:rsid w:val="00797793"/>
    <w:rsid w:val="0079788E"/>
    <w:rsid w:val="00797DD7"/>
    <w:rsid w:val="007A0453"/>
    <w:rsid w:val="007A11D1"/>
    <w:rsid w:val="007A13C5"/>
    <w:rsid w:val="007A1E18"/>
    <w:rsid w:val="007A2C74"/>
    <w:rsid w:val="007A2DC8"/>
    <w:rsid w:val="007A35C1"/>
    <w:rsid w:val="007A387F"/>
    <w:rsid w:val="007A3BF3"/>
    <w:rsid w:val="007A3DBE"/>
    <w:rsid w:val="007A3E06"/>
    <w:rsid w:val="007A446F"/>
    <w:rsid w:val="007A5385"/>
    <w:rsid w:val="007A5CD9"/>
    <w:rsid w:val="007A646A"/>
    <w:rsid w:val="007A7376"/>
    <w:rsid w:val="007B1433"/>
    <w:rsid w:val="007B22A4"/>
    <w:rsid w:val="007B22AE"/>
    <w:rsid w:val="007B2B21"/>
    <w:rsid w:val="007B2F11"/>
    <w:rsid w:val="007B3789"/>
    <w:rsid w:val="007B3884"/>
    <w:rsid w:val="007B39F3"/>
    <w:rsid w:val="007B452A"/>
    <w:rsid w:val="007B45F5"/>
    <w:rsid w:val="007B5166"/>
    <w:rsid w:val="007B5C99"/>
    <w:rsid w:val="007B727D"/>
    <w:rsid w:val="007C10E6"/>
    <w:rsid w:val="007C247C"/>
    <w:rsid w:val="007C3E0D"/>
    <w:rsid w:val="007C4C27"/>
    <w:rsid w:val="007C4FA6"/>
    <w:rsid w:val="007C5823"/>
    <w:rsid w:val="007C65B1"/>
    <w:rsid w:val="007C6951"/>
    <w:rsid w:val="007C7CF4"/>
    <w:rsid w:val="007D0676"/>
    <w:rsid w:val="007D0CA2"/>
    <w:rsid w:val="007D0E58"/>
    <w:rsid w:val="007D12CA"/>
    <w:rsid w:val="007D13CE"/>
    <w:rsid w:val="007D1685"/>
    <w:rsid w:val="007D16C1"/>
    <w:rsid w:val="007D20E6"/>
    <w:rsid w:val="007D2358"/>
    <w:rsid w:val="007D2593"/>
    <w:rsid w:val="007D262E"/>
    <w:rsid w:val="007D2A18"/>
    <w:rsid w:val="007D34B0"/>
    <w:rsid w:val="007D396B"/>
    <w:rsid w:val="007D45AE"/>
    <w:rsid w:val="007D4AFD"/>
    <w:rsid w:val="007D4B2D"/>
    <w:rsid w:val="007D4B74"/>
    <w:rsid w:val="007D4DB5"/>
    <w:rsid w:val="007D59CE"/>
    <w:rsid w:val="007D5A66"/>
    <w:rsid w:val="007D6357"/>
    <w:rsid w:val="007D6A94"/>
    <w:rsid w:val="007D6C1D"/>
    <w:rsid w:val="007D76B0"/>
    <w:rsid w:val="007D796E"/>
    <w:rsid w:val="007D79BE"/>
    <w:rsid w:val="007E07EA"/>
    <w:rsid w:val="007E08AB"/>
    <w:rsid w:val="007E12E0"/>
    <w:rsid w:val="007E16D9"/>
    <w:rsid w:val="007E1D2D"/>
    <w:rsid w:val="007E27CB"/>
    <w:rsid w:val="007E2C29"/>
    <w:rsid w:val="007E3892"/>
    <w:rsid w:val="007E3EFF"/>
    <w:rsid w:val="007E430B"/>
    <w:rsid w:val="007E45DB"/>
    <w:rsid w:val="007E47BC"/>
    <w:rsid w:val="007E4EFC"/>
    <w:rsid w:val="007E50C6"/>
    <w:rsid w:val="007E5CF2"/>
    <w:rsid w:val="007E5E06"/>
    <w:rsid w:val="007E7156"/>
    <w:rsid w:val="007E732E"/>
    <w:rsid w:val="007E73D0"/>
    <w:rsid w:val="007E7F1D"/>
    <w:rsid w:val="007F0131"/>
    <w:rsid w:val="007F0D12"/>
    <w:rsid w:val="007F1021"/>
    <w:rsid w:val="007F15FB"/>
    <w:rsid w:val="007F2549"/>
    <w:rsid w:val="007F2891"/>
    <w:rsid w:val="007F33AD"/>
    <w:rsid w:val="007F3552"/>
    <w:rsid w:val="007F3A52"/>
    <w:rsid w:val="007F4D55"/>
    <w:rsid w:val="007F4E98"/>
    <w:rsid w:val="007F59CE"/>
    <w:rsid w:val="007F5DE4"/>
    <w:rsid w:val="007F671A"/>
    <w:rsid w:val="007F70EF"/>
    <w:rsid w:val="007F7340"/>
    <w:rsid w:val="007F7876"/>
    <w:rsid w:val="00800395"/>
    <w:rsid w:val="0080148F"/>
    <w:rsid w:val="008017BD"/>
    <w:rsid w:val="008018C9"/>
    <w:rsid w:val="00802000"/>
    <w:rsid w:val="00802262"/>
    <w:rsid w:val="00803941"/>
    <w:rsid w:val="00804AE0"/>
    <w:rsid w:val="00804EE4"/>
    <w:rsid w:val="00804F09"/>
    <w:rsid w:val="00805748"/>
    <w:rsid w:val="0080596A"/>
    <w:rsid w:val="00807542"/>
    <w:rsid w:val="008108CB"/>
    <w:rsid w:val="00811E63"/>
    <w:rsid w:val="0081259E"/>
    <w:rsid w:val="00812E6E"/>
    <w:rsid w:val="00815546"/>
    <w:rsid w:val="00815AC7"/>
    <w:rsid w:val="008172DD"/>
    <w:rsid w:val="00817C81"/>
    <w:rsid w:val="00817CA0"/>
    <w:rsid w:val="00817F11"/>
    <w:rsid w:val="008204BF"/>
    <w:rsid w:val="00820D18"/>
    <w:rsid w:val="008210FA"/>
    <w:rsid w:val="008218E0"/>
    <w:rsid w:val="00822E0E"/>
    <w:rsid w:val="00823423"/>
    <w:rsid w:val="00824506"/>
    <w:rsid w:val="008248F2"/>
    <w:rsid w:val="0082523C"/>
    <w:rsid w:val="008253A9"/>
    <w:rsid w:val="00826425"/>
    <w:rsid w:val="0082693E"/>
    <w:rsid w:val="00826A45"/>
    <w:rsid w:val="00826DE9"/>
    <w:rsid w:val="008271FA"/>
    <w:rsid w:val="00827270"/>
    <w:rsid w:val="00827D57"/>
    <w:rsid w:val="00830535"/>
    <w:rsid w:val="00830C7E"/>
    <w:rsid w:val="00831135"/>
    <w:rsid w:val="008318BF"/>
    <w:rsid w:val="00831A57"/>
    <w:rsid w:val="0083273B"/>
    <w:rsid w:val="008348F4"/>
    <w:rsid w:val="00834A5D"/>
    <w:rsid w:val="00834DF6"/>
    <w:rsid w:val="00835297"/>
    <w:rsid w:val="00836130"/>
    <w:rsid w:val="008364CF"/>
    <w:rsid w:val="00844503"/>
    <w:rsid w:val="00844908"/>
    <w:rsid w:val="0084620B"/>
    <w:rsid w:val="008463D0"/>
    <w:rsid w:val="008467E0"/>
    <w:rsid w:val="00846C80"/>
    <w:rsid w:val="00847055"/>
    <w:rsid w:val="008479D4"/>
    <w:rsid w:val="00850857"/>
    <w:rsid w:val="00851D93"/>
    <w:rsid w:val="008521BC"/>
    <w:rsid w:val="00852836"/>
    <w:rsid w:val="00852C0B"/>
    <w:rsid w:val="0085353C"/>
    <w:rsid w:val="00853A5A"/>
    <w:rsid w:val="008547BD"/>
    <w:rsid w:val="0085487F"/>
    <w:rsid w:val="00855161"/>
    <w:rsid w:val="008551B6"/>
    <w:rsid w:val="0085539A"/>
    <w:rsid w:val="008564DB"/>
    <w:rsid w:val="00856FA8"/>
    <w:rsid w:val="008570EC"/>
    <w:rsid w:val="008579FF"/>
    <w:rsid w:val="008604E5"/>
    <w:rsid w:val="00860D2C"/>
    <w:rsid w:val="00860F18"/>
    <w:rsid w:val="00861D62"/>
    <w:rsid w:val="0086367A"/>
    <w:rsid w:val="008636A3"/>
    <w:rsid w:val="00863902"/>
    <w:rsid w:val="00863C80"/>
    <w:rsid w:val="00864190"/>
    <w:rsid w:val="0086447C"/>
    <w:rsid w:val="00864BC2"/>
    <w:rsid w:val="00864FF5"/>
    <w:rsid w:val="008652E6"/>
    <w:rsid w:val="008663B2"/>
    <w:rsid w:val="0086706C"/>
    <w:rsid w:val="0086748E"/>
    <w:rsid w:val="0086793E"/>
    <w:rsid w:val="00867D88"/>
    <w:rsid w:val="008704DA"/>
    <w:rsid w:val="00870FF2"/>
    <w:rsid w:val="00871030"/>
    <w:rsid w:val="0087161A"/>
    <w:rsid w:val="008720CB"/>
    <w:rsid w:val="00873F3E"/>
    <w:rsid w:val="00874470"/>
    <w:rsid w:val="00874724"/>
    <w:rsid w:val="008747E2"/>
    <w:rsid w:val="00874FDA"/>
    <w:rsid w:val="0087719E"/>
    <w:rsid w:val="008778C4"/>
    <w:rsid w:val="008807DD"/>
    <w:rsid w:val="00880FAB"/>
    <w:rsid w:val="008816BF"/>
    <w:rsid w:val="00882AC7"/>
    <w:rsid w:val="00882EF3"/>
    <w:rsid w:val="0088408F"/>
    <w:rsid w:val="00884BEB"/>
    <w:rsid w:val="00886627"/>
    <w:rsid w:val="008874E4"/>
    <w:rsid w:val="00890F6A"/>
    <w:rsid w:val="0089125B"/>
    <w:rsid w:val="008913FB"/>
    <w:rsid w:val="00891C93"/>
    <w:rsid w:val="00891EB7"/>
    <w:rsid w:val="00891FF1"/>
    <w:rsid w:val="0089205F"/>
    <w:rsid w:val="0089208F"/>
    <w:rsid w:val="00892661"/>
    <w:rsid w:val="00893AA8"/>
    <w:rsid w:val="00893AD3"/>
    <w:rsid w:val="00893F6B"/>
    <w:rsid w:val="008948D1"/>
    <w:rsid w:val="00894B01"/>
    <w:rsid w:val="0089557F"/>
    <w:rsid w:val="0089598B"/>
    <w:rsid w:val="00895C63"/>
    <w:rsid w:val="008962B1"/>
    <w:rsid w:val="00896851"/>
    <w:rsid w:val="00896EA7"/>
    <w:rsid w:val="008A070F"/>
    <w:rsid w:val="008A2844"/>
    <w:rsid w:val="008A2A88"/>
    <w:rsid w:val="008A2CD6"/>
    <w:rsid w:val="008A2F66"/>
    <w:rsid w:val="008A47C9"/>
    <w:rsid w:val="008A4E35"/>
    <w:rsid w:val="008A588C"/>
    <w:rsid w:val="008A591C"/>
    <w:rsid w:val="008A5CD2"/>
    <w:rsid w:val="008A690E"/>
    <w:rsid w:val="008A6990"/>
    <w:rsid w:val="008A784C"/>
    <w:rsid w:val="008A7CEA"/>
    <w:rsid w:val="008A7D1B"/>
    <w:rsid w:val="008B023A"/>
    <w:rsid w:val="008B0334"/>
    <w:rsid w:val="008B0AD5"/>
    <w:rsid w:val="008B11A9"/>
    <w:rsid w:val="008B2FCF"/>
    <w:rsid w:val="008B359D"/>
    <w:rsid w:val="008B361E"/>
    <w:rsid w:val="008B3E5D"/>
    <w:rsid w:val="008B5433"/>
    <w:rsid w:val="008B545D"/>
    <w:rsid w:val="008B5E98"/>
    <w:rsid w:val="008B6684"/>
    <w:rsid w:val="008B7006"/>
    <w:rsid w:val="008B7D6D"/>
    <w:rsid w:val="008C2C0C"/>
    <w:rsid w:val="008C2E17"/>
    <w:rsid w:val="008C376C"/>
    <w:rsid w:val="008C3848"/>
    <w:rsid w:val="008C3AD9"/>
    <w:rsid w:val="008C40AE"/>
    <w:rsid w:val="008C4BB7"/>
    <w:rsid w:val="008C6C30"/>
    <w:rsid w:val="008C70D1"/>
    <w:rsid w:val="008C742D"/>
    <w:rsid w:val="008C7F54"/>
    <w:rsid w:val="008D0D86"/>
    <w:rsid w:val="008D1957"/>
    <w:rsid w:val="008D1958"/>
    <w:rsid w:val="008D1F2B"/>
    <w:rsid w:val="008D21BD"/>
    <w:rsid w:val="008D254A"/>
    <w:rsid w:val="008D26DC"/>
    <w:rsid w:val="008D28B1"/>
    <w:rsid w:val="008D353B"/>
    <w:rsid w:val="008D36E1"/>
    <w:rsid w:val="008D3A2C"/>
    <w:rsid w:val="008D3FB5"/>
    <w:rsid w:val="008D4120"/>
    <w:rsid w:val="008D5104"/>
    <w:rsid w:val="008D7CC7"/>
    <w:rsid w:val="008E0056"/>
    <w:rsid w:val="008E0225"/>
    <w:rsid w:val="008E056B"/>
    <w:rsid w:val="008E1A6E"/>
    <w:rsid w:val="008E213C"/>
    <w:rsid w:val="008E32D7"/>
    <w:rsid w:val="008E35C7"/>
    <w:rsid w:val="008E37F9"/>
    <w:rsid w:val="008E3B7D"/>
    <w:rsid w:val="008E3F99"/>
    <w:rsid w:val="008E4F22"/>
    <w:rsid w:val="008E5C5C"/>
    <w:rsid w:val="008E5CFB"/>
    <w:rsid w:val="008E5E3B"/>
    <w:rsid w:val="008E6278"/>
    <w:rsid w:val="008E64CB"/>
    <w:rsid w:val="008E7241"/>
    <w:rsid w:val="008E79DA"/>
    <w:rsid w:val="008F00B7"/>
    <w:rsid w:val="008F08FD"/>
    <w:rsid w:val="008F0C8A"/>
    <w:rsid w:val="008F2A9A"/>
    <w:rsid w:val="008F364C"/>
    <w:rsid w:val="008F36AD"/>
    <w:rsid w:val="008F3D4A"/>
    <w:rsid w:val="008F4DE4"/>
    <w:rsid w:val="008F64BC"/>
    <w:rsid w:val="008F6BE9"/>
    <w:rsid w:val="008F6E99"/>
    <w:rsid w:val="008F6EEB"/>
    <w:rsid w:val="008F70DA"/>
    <w:rsid w:val="008F7A39"/>
    <w:rsid w:val="009007F6"/>
    <w:rsid w:val="00901254"/>
    <w:rsid w:val="00902126"/>
    <w:rsid w:val="00902151"/>
    <w:rsid w:val="00902AE3"/>
    <w:rsid w:val="009039FC"/>
    <w:rsid w:val="0090463C"/>
    <w:rsid w:val="00904861"/>
    <w:rsid w:val="00904E49"/>
    <w:rsid w:val="00905683"/>
    <w:rsid w:val="0090611D"/>
    <w:rsid w:val="009065B9"/>
    <w:rsid w:val="0090708D"/>
    <w:rsid w:val="00910A90"/>
    <w:rsid w:val="00910D1D"/>
    <w:rsid w:val="00911476"/>
    <w:rsid w:val="00911553"/>
    <w:rsid w:val="00913B16"/>
    <w:rsid w:val="00913C8E"/>
    <w:rsid w:val="0091470D"/>
    <w:rsid w:val="009147A2"/>
    <w:rsid w:val="00914EAA"/>
    <w:rsid w:val="009151D7"/>
    <w:rsid w:val="00915622"/>
    <w:rsid w:val="00915979"/>
    <w:rsid w:val="0091602A"/>
    <w:rsid w:val="00916196"/>
    <w:rsid w:val="0091688E"/>
    <w:rsid w:val="00916A1B"/>
    <w:rsid w:val="00916C63"/>
    <w:rsid w:val="00917391"/>
    <w:rsid w:val="0091788E"/>
    <w:rsid w:val="00917F2B"/>
    <w:rsid w:val="009200B1"/>
    <w:rsid w:val="009212EA"/>
    <w:rsid w:val="00921350"/>
    <w:rsid w:val="00921F06"/>
    <w:rsid w:val="0092262D"/>
    <w:rsid w:val="009232B1"/>
    <w:rsid w:val="009236AF"/>
    <w:rsid w:val="00923A6D"/>
    <w:rsid w:val="00923A7E"/>
    <w:rsid w:val="00924A4F"/>
    <w:rsid w:val="00924A77"/>
    <w:rsid w:val="00925203"/>
    <w:rsid w:val="00925266"/>
    <w:rsid w:val="00925908"/>
    <w:rsid w:val="00925E58"/>
    <w:rsid w:val="00927B18"/>
    <w:rsid w:val="00927C5F"/>
    <w:rsid w:val="00927E57"/>
    <w:rsid w:val="009302D4"/>
    <w:rsid w:val="009302F0"/>
    <w:rsid w:val="00930463"/>
    <w:rsid w:val="00931930"/>
    <w:rsid w:val="00931F24"/>
    <w:rsid w:val="00932C3F"/>
    <w:rsid w:val="009347F1"/>
    <w:rsid w:val="009348DF"/>
    <w:rsid w:val="009354B8"/>
    <w:rsid w:val="00935944"/>
    <w:rsid w:val="00935E04"/>
    <w:rsid w:val="00936414"/>
    <w:rsid w:val="0093688F"/>
    <w:rsid w:val="00936F31"/>
    <w:rsid w:val="00940784"/>
    <w:rsid w:val="00941F7A"/>
    <w:rsid w:val="00942818"/>
    <w:rsid w:val="00942E2C"/>
    <w:rsid w:val="0094301C"/>
    <w:rsid w:val="00943F3E"/>
    <w:rsid w:val="00944374"/>
    <w:rsid w:val="00944714"/>
    <w:rsid w:val="00944BEA"/>
    <w:rsid w:val="00945B2B"/>
    <w:rsid w:val="00946357"/>
    <w:rsid w:val="009465B6"/>
    <w:rsid w:val="00947A72"/>
    <w:rsid w:val="00950E87"/>
    <w:rsid w:val="009531A8"/>
    <w:rsid w:val="00955494"/>
    <w:rsid w:val="00956184"/>
    <w:rsid w:val="009562EA"/>
    <w:rsid w:val="0095768A"/>
    <w:rsid w:val="00957FC5"/>
    <w:rsid w:val="0096013A"/>
    <w:rsid w:val="00960545"/>
    <w:rsid w:val="00960568"/>
    <w:rsid w:val="009605CE"/>
    <w:rsid w:val="00960CB1"/>
    <w:rsid w:val="00961EED"/>
    <w:rsid w:val="009626D5"/>
    <w:rsid w:val="009628AC"/>
    <w:rsid w:val="009640A2"/>
    <w:rsid w:val="00964F61"/>
    <w:rsid w:val="00965217"/>
    <w:rsid w:val="0096619A"/>
    <w:rsid w:val="009665D4"/>
    <w:rsid w:val="009666FE"/>
    <w:rsid w:val="00966B99"/>
    <w:rsid w:val="009670AA"/>
    <w:rsid w:val="0096776F"/>
    <w:rsid w:val="00967A66"/>
    <w:rsid w:val="00971251"/>
    <w:rsid w:val="0097190C"/>
    <w:rsid w:val="0097211D"/>
    <w:rsid w:val="00972401"/>
    <w:rsid w:val="009738AE"/>
    <w:rsid w:val="00973B9F"/>
    <w:rsid w:val="00973BDE"/>
    <w:rsid w:val="0097559B"/>
    <w:rsid w:val="009759B4"/>
    <w:rsid w:val="00975A8B"/>
    <w:rsid w:val="0097669B"/>
    <w:rsid w:val="00976845"/>
    <w:rsid w:val="009772D8"/>
    <w:rsid w:val="00977432"/>
    <w:rsid w:val="0097753A"/>
    <w:rsid w:val="00977F6C"/>
    <w:rsid w:val="00980184"/>
    <w:rsid w:val="00980BA4"/>
    <w:rsid w:val="009824B6"/>
    <w:rsid w:val="00982E46"/>
    <w:rsid w:val="00982E5E"/>
    <w:rsid w:val="00983226"/>
    <w:rsid w:val="00983467"/>
    <w:rsid w:val="00983552"/>
    <w:rsid w:val="009839A3"/>
    <w:rsid w:val="00983A55"/>
    <w:rsid w:val="00985A2B"/>
    <w:rsid w:val="00985D87"/>
    <w:rsid w:val="00985FB6"/>
    <w:rsid w:val="00987AA5"/>
    <w:rsid w:val="00987AC2"/>
    <w:rsid w:val="00987F46"/>
    <w:rsid w:val="009906A4"/>
    <w:rsid w:val="009908F3"/>
    <w:rsid w:val="00992C12"/>
    <w:rsid w:val="00993070"/>
    <w:rsid w:val="0099366B"/>
    <w:rsid w:val="00993F46"/>
    <w:rsid w:val="0099676D"/>
    <w:rsid w:val="00996EBE"/>
    <w:rsid w:val="009A0D0D"/>
    <w:rsid w:val="009A0FF2"/>
    <w:rsid w:val="009A14E4"/>
    <w:rsid w:val="009A19BF"/>
    <w:rsid w:val="009A265D"/>
    <w:rsid w:val="009A29B9"/>
    <w:rsid w:val="009A2B03"/>
    <w:rsid w:val="009A304C"/>
    <w:rsid w:val="009A324B"/>
    <w:rsid w:val="009A372F"/>
    <w:rsid w:val="009A4229"/>
    <w:rsid w:val="009A550B"/>
    <w:rsid w:val="009A589E"/>
    <w:rsid w:val="009A6CBC"/>
    <w:rsid w:val="009A7124"/>
    <w:rsid w:val="009A7446"/>
    <w:rsid w:val="009B0191"/>
    <w:rsid w:val="009B051E"/>
    <w:rsid w:val="009B07DF"/>
    <w:rsid w:val="009B1C99"/>
    <w:rsid w:val="009B2415"/>
    <w:rsid w:val="009B2420"/>
    <w:rsid w:val="009B275E"/>
    <w:rsid w:val="009B2C10"/>
    <w:rsid w:val="009B300F"/>
    <w:rsid w:val="009B3AF9"/>
    <w:rsid w:val="009B3FF5"/>
    <w:rsid w:val="009B4119"/>
    <w:rsid w:val="009B4318"/>
    <w:rsid w:val="009B46EF"/>
    <w:rsid w:val="009B4F8C"/>
    <w:rsid w:val="009B5165"/>
    <w:rsid w:val="009B5590"/>
    <w:rsid w:val="009B5765"/>
    <w:rsid w:val="009B5E98"/>
    <w:rsid w:val="009B63D5"/>
    <w:rsid w:val="009B6DF0"/>
    <w:rsid w:val="009C0397"/>
    <w:rsid w:val="009C1166"/>
    <w:rsid w:val="009C1691"/>
    <w:rsid w:val="009C1B47"/>
    <w:rsid w:val="009C1CD1"/>
    <w:rsid w:val="009C1D5C"/>
    <w:rsid w:val="009C3638"/>
    <w:rsid w:val="009C38B8"/>
    <w:rsid w:val="009C46BA"/>
    <w:rsid w:val="009C56FD"/>
    <w:rsid w:val="009C6DC7"/>
    <w:rsid w:val="009C6F9F"/>
    <w:rsid w:val="009C7086"/>
    <w:rsid w:val="009C7347"/>
    <w:rsid w:val="009C7F65"/>
    <w:rsid w:val="009D0ABD"/>
    <w:rsid w:val="009D110E"/>
    <w:rsid w:val="009D1A98"/>
    <w:rsid w:val="009D1ACD"/>
    <w:rsid w:val="009D2633"/>
    <w:rsid w:val="009D2D8B"/>
    <w:rsid w:val="009D3230"/>
    <w:rsid w:val="009D4020"/>
    <w:rsid w:val="009D43B9"/>
    <w:rsid w:val="009D46B3"/>
    <w:rsid w:val="009D4C13"/>
    <w:rsid w:val="009D564A"/>
    <w:rsid w:val="009D5736"/>
    <w:rsid w:val="009D5B93"/>
    <w:rsid w:val="009D6051"/>
    <w:rsid w:val="009D6511"/>
    <w:rsid w:val="009D7822"/>
    <w:rsid w:val="009D7FC3"/>
    <w:rsid w:val="009E0E1B"/>
    <w:rsid w:val="009E114D"/>
    <w:rsid w:val="009E184C"/>
    <w:rsid w:val="009E1C54"/>
    <w:rsid w:val="009E201F"/>
    <w:rsid w:val="009E2027"/>
    <w:rsid w:val="009E206E"/>
    <w:rsid w:val="009E2676"/>
    <w:rsid w:val="009E2BE2"/>
    <w:rsid w:val="009E3223"/>
    <w:rsid w:val="009E3348"/>
    <w:rsid w:val="009E43A8"/>
    <w:rsid w:val="009E47CB"/>
    <w:rsid w:val="009E49DD"/>
    <w:rsid w:val="009E5121"/>
    <w:rsid w:val="009E692E"/>
    <w:rsid w:val="009E709D"/>
    <w:rsid w:val="009E793E"/>
    <w:rsid w:val="009E7A3A"/>
    <w:rsid w:val="009E7F70"/>
    <w:rsid w:val="009F1D27"/>
    <w:rsid w:val="009F24AF"/>
    <w:rsid w:val="009F263E"/>
    <w:rsid w:val="009F2685"/>
    <w:rsid w:val="009F2F11"/>
    <w:rsid w:val="009F3596"/>
    <w:rsid w:val="009F3BEB"/>
    <w:rsid w:val="009F4233"/>
    <w:rsid w:val="009F4239"/>
    <w:rsid w:val="009F4D6D"/>
    <w:rsid w:val="009F5EC7"/>
    <w:rsid w:val="009F66E6"/>
    <w:rsid w:val="009F73D2"/>
    <w:rsid w:val="00A004C0"/>
    <w:rsid w:val="00A009FE"/>
    <w:rsid w:val="00A00DCC"/>
    <w:rsid w:val="00A0175D"/>
    <w:rsid w:val="00A01A88"/>
    <w:rsid w:val="00A01BD0"/>
    <w:rsid w:val="00A02AB0"/>
    <w:rsid w:val="00A033AC"/>
    <w:rsid w:val="00A03434"/>
    <w:rsid w:val="00A03F85"/>
    <w:rsid w:val="00A04988"/>
    <w:rsid w:val="00A05BA3"/>
    <w:rsid w:val="00A06067"/>
    <w:rsid w:val="00A062D0"/>
    <w:rsid w:val="00A064B3"/>
    <w:rsid w:val="00A06B2A"/>
    <w:rsid w:val="00A06C22"/>
    <w:rsid w:val="00A06C5D"/>
    <w:rsid w:val="00A07AB2"/>
    <w:rsid w:val="00A07CE9"/>
    <w:rsid w:val="00A1091E"/>
    <w:rsid w:val="00A112E1"/>
    <w:rsid w:val="00A12E36"/>
    <w:rsid w:val="00A13A3C"/>
    <w:rsid w:val="00A13FAE"/>
    <w:rsid w:val="00A141A9"/>
    <w:rsid w:val="00A142E8"/>
    <w:rsid w:val="00A1493E"/>
    <w:rsid w:val="00A14D23"/>
    <w:rsid w:val="00A14DCA"/>
    <w:rsid w:val="00A15256"/>
    <w:rsid w:val="00A152D3"/>
    <w:rsid w:val="00A15302"/>
    <w:rsid w:val="00A155EB"/>
    <w:rsid w:val="00A161C6"/>
    <w:rsid w:val="00A16ADD"/>
    <w:rsid w:val="00A17377"/>
    <w:rsid w:val="00A17B24"/>
    <w:rsid w:val="00A200A9"/>
    <w:rsid w:val="00A2044B"/>
    <w:rsid w:val="00A205D2"/>
    <w:rsid w:val="00A20952"/>
    <w:rsid w:val="00A20D2F"/>
    <w:rsid w:val="00A20FC6"/>
    <w:rsid w:val="00A219BE"/>
    <w:rsid w:val="00A21B34"/>
    <w:rsid w:val="00A21C10"/>
    <w:rsid w:val="00A22446"/>
    <w:rsid w:val="00A22D58"/>
    <w:rsid w:val="00A248B6"/>
    <w:rsid w:val="00A24CBD"/>
    <w:rsid w:val="00A24D20"/>
    <w:rsid w:val="00A25A94"/>
    <w:rsid w:val="00A25A97"/>
    <w:rsid w:val="00A26160"/>
    <w:rsid w:val="00A2639E"/>
    <w:rsid w:val="00A26818"/>
    <w:rsid w:val="00A26CB5"/>
    <w:rsid w:val="00A27A09"/>
    <w:rsid w:val="00A303B6"/>
    <w:rsid w:val="00A307FD"/>
    <w:rsid w:val="00A31562"/>
    <w:rsid w:val="00A32C85"/>
    <w:rsid w:val="00A33B3B"/>
    <w:rsid w:val="00A342FC"/>
    <w:rsid w:val="00A34593"/>
    <w:rsid w:val="00A34830"/>
    <w:rsid w:val="00A350E7"/>
    <w:rsid w:val="00A35D3B"/>
    <w:rsid w:val="00A363FF"/>
    <w:rsid w:val="00A36AC5"/>
    <w:rsid w:val="00A3791B"/>
    <w:rsid w:val="00A37F67"/>
    <w:rsid w:val="00A40432"/>
    <w:rsid w:val="00A4080D"/>
    <w:rsid w:val="00A41390"/>
    <w:rsid w:val="00A4144B"/>
    <w:rsid w:val="00A421EE"/>
    <w:rsid w:val="00A42CE8"/>
    <w:rsid w:val="00A430F0"/>
    <w:rsid w:val="00A45F14"/>
    <w:rsid w:val="00A46499"/>
    <w:rsid w:val="00A46A0A"/>
    <w:rsid w:val="00A47721"/>
    <w:rsid w:val="00A50585"/>
    <w:rsid w:val="00A50736"/>
    <w:rsid w:val="00A5138F"/>
    <w:rsid w:val="00A5146E"/>
    <w:rsid w:val="00A51872"/>
    <w:rsid w:val="00A51E25"/>
    <w:rsid w:val="00A51E53"/>
    <w:rsid w:val="00A5405E"/>
    <w:rsid w:val="00A5420A"/>
    <w:rsid w:val="00A5480B"/>
    <w:rsid w:val="00A550FA"/>
    <w:rsid w:val="00A551A4"/>
    <w:rsid w:val="00A5559C"/>
    <w:rsid w:val="00A55A59"/>
    <w:rsid w:val="00A55D2E"/>
    <w:rsid w:val="00A55ED5"/>
    <w:rsid w:val="00A56766"/>
    <w:rsid w:val="00A56A49"/>
    <w:rsid w:val="00A574B4"/>
    <w:rsid w:val="00A60E47"/>
    <w:rsid w:val="00A60F0F"/>
    <w:rsid w:val="00A6146E"/>
    <w:rsid w:val="00A61983"/>
    <w:rsid w:val="00A62345"/>
    <w:rsid w:val="00A62DFC"/>
    <w:rsid w:val="00A63451"/>
    <w:rsid w:val="00A639E3"/>
    <w:rsid w:val="00A63C84"/>
    <w:rsid w:val="00A63EF0"/>
    <w:rsid w:val="00A64CBE"/>
    <w:rsid w:val="00A64D48"/>
    <w:rsid w:val="00A65944"/>
    <w:rsid w:val="00A65B63"/>
    <w:rsid w:val="00A65C69"/>
    <w:rsid w:val="00A65E27"/>
    <w:rsid w:val="00A66330"/>
    <w:rsid w:val="00A66FA0"/>
    <w:rsid w:val="00A670A5"/>
    <w:rsid w:val="00A674BA"/>
    <w:rsid w:val="00A67997"/>
    <w:rsid w:val="00A700CD"/>
    <w:rsid w:val="00A708C7"/>
    <w:rsid w:val="00A71243"/>
    <w:rsid w:val="00A716C6"/>
    <w:rsid w:val="00A71899"/>
    <w:rsid w:val="00A71AF0"/>
    <w:rsid w:val="00A71E10"/>
    <w:rsid w:val="00A72325"/>
    <w:rsid w:val="00A7332E"/>
    <w:rsid w:val="00A7433D"/>
    <w:rsid w:val="00A74342"/>
    <w:rsid w:val="00A74E43"/>
    <w:rsid w:val="00A75737"/>
    <w:rsid w:val="00A76307"/>
    <w:rsid w:val="00A80C96"/>
    <w:rsid w:val="00A815AF"/>
    <w:rsid w:val="00A81D21"/>
    <w:rsid w:val="00A82637"/>
    <w:rsid w:val="00A828DA"/>
    <w:rsid w:val="00A845A4"/>
    <w:rsid w:val="00A8476A"/>
    <w:rsid w:val="00A855BA"/>
    <w:rsid w:val="00A85B92"/>
    <w:rsid w:val="00A85E12"/>
    <w:rsid w:val="00A8611C"/>
    <w:rsid w:val="00A86B55"/>
    <w:rsid w:val="00A8789D"/>
    <w:rsid w:val="00A878E3"/>
    <w:rsid w:val="00A87B8C"/>
    <w:rsid w:val="00A90378"/>
    <w:rsid w:val="00A904BE"/>
    <w:rsid w:val="00A91012"/>
    <w:rsid w:val="00A9116E"/>
    <w:rsid w:val="00A922B6"/>
    <w:rsid w:val="00A9357A"/>
    <w:rsid w:val="00A939FA"/>
    <w:rsid w:val="00A93DD5"/>
    <w:rsid w:val="00A93EDB"/>
    <w:rsid w:val="00A94434"/>
    <w:rsid w:val="00A94C27"/>
    <w:rsid w:val="00A94E7E"/>
    <w:rsid w:val="00A94F5E"/>
    <w:rsid w:val="00A95780"/>
    <w:rsid w:val="00A95D5B"/>
    <w:rsid w:val="00A96393"/>
    <w:rsid w:val="00A963DF"/>
    <w:rsid w:val="00A964EF"/>
    <w:rsid w:val="00A9667F"/>
    <w:rsid w:val="00A97506"/>
    <w:rsid w:val="00A976E5"/>
    <w:rsid w:val="00AA0088"/>
    <w:rsid w:val="00AA0500"/>
    <w:rsid w:val="00AA08D8"/>
    <w:rsid w:val="00AA0FA1"/>
    <w:rsid w:val="00AA1926"/>
    <w:rsid w:val="00AA2323"/>
    <w:rsid w:val="00AA2333"/>
    <w:rsid w:val="00AA2527"/>
    <w:rsid w:val="00AA27F2"/>
    <w:rsid w:val="00AA37E6"/>
    <w:rsid w:val="00AA3833"/>
    <w:rsid w:val="00AA3FEB"/>
    <w:rsid w:val="00AA45F9"/>
    <w:rsid w:val="00AA4D16"/>
    <w:rsid w:val="00AA5C93"/>
    <w:rsid w:val="00AA640F"/>
    <w:rsid w:val="00AA6672"/>
    <w:rsid w:val="00AA69F5"/>
    <w:rsid w:val="00AA6AE7"/>
    <w:rsid w:val="00AB0A8C"/>
    <w:rsid w:val="00AB1933"/>
    <w:rsid w:val="00AB2067"/>
    <w:rsid w:val="00AB2391"/>
    <w:rsid w:val="00AB28EA"/>
    <w:rsid w:val="00AB2A94"/>
    <w:rsid w:val="00AB31E6"/>
    <w:rsid w:val="00AB3D4D"/>
    <w:rsid w:val="00AB4010"/>
    <w:rsid w:val="00AB4B07"/>
    <w:rsid w:val="00AB54CB"/>
    <w:rsid w:val="00AB64A2"/>
    <w:rsid w:val="00AB657D"/>
    <w:rsid w:val="00AB7288"/>
    <w:rsid w:val="00AB7508"/>
    <w:rsid w:val="00AB7931"/>
    <w:rsid w:val="00AB7B69"/>
    <w:rsid w:val="00AB7E46"/>
    <w:rsid w:val="00AC03A3"/>
    <w:rsid w:val="00AC14AC"/>
    <w:rsid w:val="00AC19D3"/>
    <w:rsid w:val="00AC204C"/>
    <w:rsid w:val="00AC22CA"/>
    <w:rsid w:val="00AC239D"/>
    <w:rsid w:val="00AC321B"/>
    <w:rsid w:val="00AC367A"/>
    <w:rsid w:val="00AC3C24"/>
    <w:rsid w:val="00AC4234"/>
    <w:rsid w:val="00AC4B5D"/>
    <w:rsid w:val="00AC4D9F"/>
    <w:rsid w:val="00AC5299"/>
    <w:rsid w:val="00AC5F1F"/>
    <w:rsid w:val="00AC63EC"/>
    <w:rsid w:val="00AC67A6"/>
    <w:rsid w:val="00AC746D"/>
    <w:rsid w:val="00AD00AF"/>
    <w:rsid w:val="00AD021F"/>
    <w:rsid w:val="00AD05B4"/>
    <w:rsid w:val="00AD1112"/>
    <w:rsid w:val="00AD1BF8"/>
    <w:rsid w:val="00AD31BB"/>
    <w:rsid w:val="00AD3B17"/>
    <w:rsid w:val="00AD47C1"/>
    <w:rsid w:val="00AD5354"/>
    <w:rsid w:val="00AD5A26"/>
    <w:rsid w:val="00AD720C"/>
    <w:rsid w:val="00AD7B4F"/>
    <w:rsid w:val="00AE02B4"/>
    <w:rsid w:val="00AE02EA"/>
    <w:rsid w:val="00AE194C"/>
    <w:rsid w:val="00AE1AB5"/>
    <w:rsid w:val="00AE1AF2"/>
    <w:rsid w:val="00AE23F0"/>
    <w:rsid w:val="00AE328C"/>
    <w:rsid w:val="00AE3AD2"/>
    <w:rsid w:val="00AE40C6"/>
    <w:rsid w:val="00AE4946"/>
    <w:rsid w:val="00AE4A0C"/>
    <w:rsid w:val="00AE4AEE"/>
    <w:rsid w:val="00AE547E"/>
    <w:rsid w:val="00AE5537"/>
    <w:rsid w:val="00AE5A56"/>
    <w:rsid w:val="00AE6480"/>
    <w:rsid w:val="00AE6C80"/>
    <w:rsid w:val="00AE6DFD"/>
    <w:rsid w:val="00AE6E97"/>
    <w:rsid w:val="00AE73B8"/>
    <w:rsid w:val="00AE746B"/>
    <w:rsid w:val="00AF01F3"/>
    <w:rsid w:val="00AF05AC"/>
    <w:rsid w:val="00AF064F"/>
    <w:rsid w:val="00AF2262"/>
    <w:rsid w:val="00AF2845"/>
    <w:rsid w:val="00AF34FA"/>
    <w:rsid w:val="00AF4742"/>
    <w:rsid w:val="00AF47C8"/>
    <w:rsid w:val="00AF5049"/>
    <w:rsid w:val="00AF522A"/>
    <w:rsid w:val="00AF5A8A"/>
    <w:rsid w:val="00AF61B5"/>
    <w:rsid w:val="00AF6C86"/>
    <w:rsid w:val="00AF6DE5"/>
    <w:rsid w:val="00AF6ECF"/>
    <w:rsid w:val="00AF71F2"/>
    <w:rsid w:val="00AF7836"/>
    <w:rsid w:val="00B00BF0"/>
    <w:rsid w:val="00B01382"/>
    <w:rsid w:val="00B01ED7"/>
    <w:rsid w:val="00B02087"/>
    <w:rsid w:val="00B02143"/>
    <w:rsid w:val="00B021B1"/>
    <w:rsid w:val="00B02419"/>
    <w:rsid w:val="00B029CC"/>
    <w:rsid w:val="00B02D6E"/>
    <w:rsid w:val="00B037F0"/>
    <w:rsid w:val="00B043AF"/>
    <w:rsid w:val="00B04447"/>
    <w:rsid w:val="00B044BA"/>
    <w:rsid w:val="00B0463A"/>
    <w:rsid w:val="00B047CE"/>
    <w:rsid w:val="00B05243"/>
    <w:rsid w:val="00B05361"/>
    <w:rsid w:val="00B057D3"/>
    <w:rsid w:val="00B064FB"/>
    <w:rsid w:val="00B068F8"/>
    <w:rsid w:val="00B06A9A"/>
    <w:rsid w:val="00B06B4F"/>
    <w:rsid w:val="00B06C40"/>
    <w:rsid w:val="00B103C8"/>
    <w:rsid w:val="00B10442"/>
    <w:rsid w:val="00B10717"/>
    <w:rsid w:val="00B10A9F"/>
    <w:rsid w:val="00B117AB"/>
    <w:rsid w:val="00B119C6"/>
    <w:rsid w:val="00B12772"/>
    <w:rsid w:val="00B12BEB"/>
    <w:rsid w:val="00B13586"/>
    <w:rsid w:val="00B13636"/>
    <w:rsid w:val="00B13FCC"/>
    <w:rsid w:val="00B143A3"/>
    <w:rsid w:val="00B166F0"/>
    <w:rsid w:val="00B16751"/>
    <w:rsid w:val="00B16CD3"/>
    <w:rsid w:val="00B16EB0"/>
    <w:rsid w:val="00B2088A"/>
    <w:rsid w:val="00B2158A"/>
    <w:rsid w:val="00B23438"/>
    <w:rsid w:val="00B23925"/>
    <w:rsid w:val="00B2394D"/>
    <w:rsid w:val="00B23AE5"/>
    <w:rsid w:val="00B23CE8"/>
    <w:rsid w:val="00B2401F"/>
    <w:rsid w:val="00B24B03"/>
    <w:rsid w:val="00B25761"/>
    <w:rsid w:val="00B26E9F"/>
    <w:rsid w:val="00B270CF"/>
    <w:rsid w:val="00B30DDF"/>
    <w:rsid w:val="00B30E5A"/>
    <w:rsid w:val="00B30EDB"/>
    <w:rsid w:val="00B31400"/>
    <w:rsid w:val="00B31482"/>
    <w:rsid w:val="00B3282B"/>
    <w:rsid w:val="00B336A3"/>
    <w:rsid w:val="00B34B2C"/>
    <w:rsid w:val="00B35520"/>
    <w:rsid w:val="00B36034"/>
    <w:rsid w:val="00B364FE"/>
    <w:rsid w:val="00B366E4"/>
    <w:rsid w:val="00B37194"/>
    <w:rsid w:val="00B371E6"/>
    <w:rsid w:val="00B37212"/>
    <w:rsid w:val="00B3785E"/>
    <w:rsid w:val="00B406EB"/>
    <w:rsid w:val="00B408AA"/>
    <w:rsid w:val="00B40EA9"/>
    <w:rsid w:val="00B412E7"/>
    <w:rsid w:val="00B417E7"/>
    <w:rsid w:val="00B42A91"/>
    <w:rsid w:val="00B42F08"/>
    <w:rsid w:val="00B437D9"/>
    <w:rsid w:val="00B43B1F"/>
    <w:rsid w:val="00B4551D"/>
    <w:rsid w:val="00B45C5C"/>
    <w:rsid w:val="00B46BF2"/>
    <w:rsid w:val="00B46C01"/>
    <w:rsid w:val="00B46D35"/>
    <w:rsid w:val="00B47493"/>
    <w:rsid w:val="00B4755B"/>
    <w:rsid w:val="00B5110F"/>
    <w:rsid w:val="00B51852"/>
    <w:rsid w:val="00B522D9"/>
    <w:rsid w:val="00B523D6"/>
    <w:rsid w:val="00B52EF5"/>
    <w:rsid w:val="00B54621"/>
    <w:rsid w:val="00B54B8F"/>
    <w:rsid w:val="00B55004"/>
    <w:rsid w:val="00B555CA"/>
    <w:rsid w:val="00B55E22"/>
    <w:rsid w:val="00B55E57"/>
    <w:rsid w:val="00B563F3"/>
    <w:rsid w:val="00B5664B"/>
    <w:rsid w:val="00B567A1"/>
    <w:rsid w:val="00B5799E"/>
    <w:rsid w:val="00B606D4"/>
    <w:rsid w:val="00B616FC"/>
    <w:rsid w:val="00B618E2"/>
    <w:rsid w:val="00B61D90"/>
    <w:rsid w:val="00B61E23"/>
    <w:rsid w:val="00B628F4"/>
    <w:rsid w:val="00B62CF0"/>
    <w:rsid w:val="00B62D29"/>
    <w:rsid w:val="00B63017"/>
    <w:rsid w:val="00B632DF"/>
    <w:rsid w:val="00B63824"/>
    <w:rsid w:val="00B63BEB"/>
    <w:rsid w:val="00B641D2"/>
    <w:rsid w:val="00B646E4"/>
    <w:rsid w:val="00B651CE"/>
    <w:rsid w:val="00B65606"/>
    <w:rsid w:val="00B65A47"/>
    <w:rsid w:val="00B7000D"/>
    <w:rsid w:val="00B70432"/>
    <w:rsid w:val="00B70E96"/>
    <w:rsid w:val="00B71173"/>
    <w:rsid w:val="00B727B5"/>
    <w:rsid w:val="00B72A61"/>
    <w:rsid w:val="00B72A9D"/>
    <w:rsid w:val="00B72B44"/>
    <w:rsid w:val="00B73776"/>
    <w:rsid w:val="00B74696"/>
    <w:rsid w:val="00B74740"/>
    <w:rsid w:val="00B75500"/>
    <w:rsid w:val="00B75802"/>
    <w:rsid w:val="00B773BB"/>
    <w:rsid w:val="00B7784C"/>
    <w:rsid w:val="00B77AAC"/>
    <w:rsid w:val="00B77D21"/>
    <w:rsid w:val="00B82266"/>
    <w:rsid w:val="00B829E8"/>
    <w:rsid w:val="00B838C3"/>
    <w:rsid w:val="00B839E3"/>
    <w:rsid w:val="00B83C8D"/>
    <w:rsid w:val="00B83F42"/>
    <w:rsid w:val="00B84414"/>
    <w:rsid w:val="00B8448D"/>
    <w:rsid w:val="00B844CC"/>
    <w:rsid w:val="00B84562"/>
    <w:rsid w:val="00B8456C"/>
    <w:rsid w:val="00B848B0"/>
    <w:rsid w:val="00B84CFE"/>
    <w:rsid w:val="00B84D59"/>
    <w:rsid w:val="00B84EBE"/>
    <w:rsid w:val="00B8515A"/>
    <w:rsid w:val="00B85A02"/>
    <w:rsid w:val="00B85E3B"/>
    <w:rsid w:val="00B85F1C"/>
    <w:rsid w:val="00B86C74"/>
    <w:rsid w:val="00B87664"/>
    <w:rsid w:val="00B90384"/>
    <w:rsid w:val="00B9114B"/>
    <w:rsid w:val="00B922B4"/>
    <w:rsid w:val="00B924BD"/>
    <w:rsid w:val="00B92B11"/>
    <w:rsid w:val="00B931E2"/>
    <w:rsid w:val="00B93E9C"/>
    <w:rsid w:val="00B94410"/>
    <w:rsid w:val="00B948E7"/>
    <w:rsid w:val="00B949B4"/>
    <w:rsid w:val="00B95583"/>
    <w:rsid w:val="00B9695B"/>
    <w:rsid w:val="00B97001"/>
    <w:rsid w:val="00BA007E"/>
    <w:rsid w:val="00BA106A"/>
    <w:rsid w:val="00BA2357"/>
    <w:rsid w:val="00BA26C6"/>
    <w:rsid w:val="00BA2AB1"/>
    <w:rsid w:val="00BA362D"/>
    <w:rsid w:val="00BA38CE"/>
    <w:rsid w:val="00BA409F"/>
    <w:rsid w:val="00BA4C10"/>
    <w:rsid w:val="00BA51BD"/>
    <w:rsid w:val="00BA748E"/>
    <w:rsid w:val="00BA7783"/>
    <w:rsid w:val="00BA78A6"/>
    <w:rsid w:val="00BA793D"/>
    <w:rsid w:val="00BA7A85"/>
    <w:rsid w:val="00BB0B0F"/>
    <w:rsid w:val="00BB102C"/>
    <w:rsid w:val="00BB1206"/>
    <w:rsid w:val="00BB14FD"/>
    <w:rsid w:val="00BB1AAB"/>
    <w:rsid w:val="00BB204D"/>
    <w:rsid w:val="00BB2BF1"/>
    <w:rsid w:val="00BB3579"/>
    <w:rsid w:val="00BB3DFB"/>
    <w:rsid w:val="00BB3ED8"/>
    <w:rsid w:val="00BB3FA2"/>
    <w:rsid w:val="00BB42A6"/>
    <w:rsid w:val="00BB4659"/>
    <w:rsid w:val="00BB4BF9"/>
    <w:rsid w:val="00BB5FB6"/>
    <w:rsid w:val="00BB61ED"/>
    <w:rsid w:val="00BB652F"/>
    <w:rsid w:val="00BB66CA"/>
    <w:rsid w:val="00BB79A4"/>
    <w:rsid w:val="00BC06F8"/>
    <w:rsid w:val="00BC0EF0"/>
    <w:rsid w:val="00BC1050"/>
    <w:rsid w:val="00BC16AA"/>
    <w:rsid w:val="00BC16D1"/>
    <w:rsid w:val="00BC2953"/>
    <w:rsid w:val="00BC2D7F"/>
    <w:rsid w:val="00BC31FD"/>
    <w:rsid w:val="00BC3483"/>
    <w:rsid w:val="00BC3F87"/>
    <w:rsid w:val="00BC40EB"/>
    <w:rsid w:val="00BC412E"/>
    <w:rsid w:val="00BC4AB1"/>
    <w:rsid w:val="00BC4DCC"/>
    <w:rsid w:val="00BC4ED4"/>
    <w:rsid w:val="00BC51C3"/>
    <w:rsid w:val="00BC57A7"/>
    <w:rsid w:val="00BC58C6"/>
    <w:rsid w:val="00BC5EF3"/>
    <w:rsid w:val="00BC614C"/>
    <w:rsid w:val="00BC6220"/>
    <w:rsid w:val="00BC7C5A"/>
    <w:rsid w:val="00BC7CEC"/>
    <w:rsid w:val="00BD0DFB"/>
    <w:rsid w:val="00BD278C"/>
    <w:rsid w:val="00BD3461"/>
    <w:rsid w:val="00BD4F36"/>
    <w:rsid w:val="00BD55B5"/>
    <w:rsid w:val="00BD75BE"/>
    <w:rsid w:val="00BE0FD5"/>
    <w:rsid w:val="00BE1561"/>
    <w:rsid w:val="00BE224C"/>
    <w:rsid w:val="00BE2405"/>
    <w:rsid w:val="00BE2E04"/>
    <w:rsid w:val="00BE366F"/>
    <w:rsid w:val="00BE438B"/>
    <w:rsid w:val="00BE44B0"/>
    <w:rsid w:val="00BE493E"/>
    <w:rsid w:val="00BE4BF4"/>
    <w:rsid w:val="00BE506A"/>
    <w:rsid w:val="00BE52EB"/>
    <w:rsid w:val="00BE6A42"/>
    <w:rsid w:val="00BE6B92"/>
    <w:rsid w:val="00BE713E"/>
    <w:rsid w:val="00BE746B"/>
    <w:rsid w:val="00BE76E7"/>
    <w:rsid w:val="00BF0D54"/>
    <w:rsid w:val="00BF0ECC"/>
    <w:rsid w:val="00BF0F03"/>
    <w:rsid w:val="00BF0F29"/>
    <w:rsid w:val="00BF0F3E"/>
    <w:rsid w:val="00BF17AB"/>
    <w:rsid w:val="00BF27C9"/>
    <w:rsid w:val="00BF2FB6"/>
    <w:rsid w:val="00BF3BF7"/>
    <w:rsid w:val="00BF3F9D"/>
    <w:rsid w:val="00BF4C58"/>
    <w:rsid w:val="00BF4D77"/>
    <w:rsid w:val="00BF53AE"/>
    <w:rsid w:val="00BF5430"/>
    <w:rsid w:val="00BF5A5B"/>
    <w:rsid w:val="00BF6618"/>
    <w:rsid w:val="00BF6872"/>
    <w:rsid w:val="00BF6A40"/>
    <w:rsid w:val="00BF6DE5"/>
    <w:rsid w:val="00BF7082"/>
    <w:rsid w:val="00BF716A"/>
    <w:rsid w:val="00BF75BA"/>
    <w:rsid w:val="00C001E4"/>
    <w:rsid w:val="00C00C42"/>
    <w:rsid w:val="00C00C59"/>
    <w:rsid w:val="00C00C74"/>
    <w:rsid w:val="00C00CF7"/>
    <w:rsid w:val="00C012BC"/>
    <w:rsid w:val="00C017A0"/>
    <w:rsid w:val="00C02707"/>
    <w:rsid w:val="00C0337D"/>
    <w:rsid w:val="00C03A9D"/>
    <w:rsid w:val="00C03D37"/>
    <w:rsid w:val="00C0464C"/>
    <w:rsid w:val="00C057D2"/>
    <w:rsid w:val="00C05D8D"/>
    <w:rsid w:val="00C06B51"/>
    <w:rsid w:val="00C072B8"/>
    <w:rsid w:val="00C10485"/>
    <w:rsid w:val="00C1052F"/>
    <w:rsid w:val="00C10D2C"/>
    <w:rsid w:val="00C113DC"/>
    <w:rsid w:val="00C11E08"/>
    <w:rsid w:val="00C1288A"/>
    <w:rsid w:val="00C1361C"/>
    <w:rsid w:val="00C13729"/>
    <w:rsid w:val="00C13CFC"/>
    <w:rsid w:val="00C13E12"/>
    <w:rsid w:val="00C13E57"/>
    <w:rsid w:val="00C15D62"/>
    <w:rsid w:val="00C169FE"/>
    <w:rsid w:val="00C17B08"/>
    <w:rsid w:val="00C210D7"/>
    <w:rsid w:val="00C213D8"/>
    <w:rsid w:val="00C21E54"/>
    <w:rsid w:val="00C223AC"/>
    <w:rsid w:val="00C22B61"/>
    <w:rsid w:val="00C232CC"/>
    <w:rsid w:val="00C233E4"/>
    <w:rsid w:val="00C26439"/>
    <w:rsid w:val="00C26D4C"/>
    <w:rsid w:val="00C307DD"/>
    <w:rsid w:val="00C31268"/>
    <w:rsid w:val="00C3143B"/>
    <w:rsid w:val="00C31458"/>
    <w:rsid w:val="00C315D3"/>
    <w:rsid w:val="00C31D5B"/>
    <w:rsid w:val="00C32415"/>
    <w:rsid w:val="00C33701"/>
    <w:rsid w:val="00C33E28"/>
    <w:rsid w:val="00C35025"/>
    <w:rsid w:val="00C35413"/>
    <w:rsid w:val="00C354D5"/>
    <w:rsid w:val="00C35850"/>
    <w:rsid w:val="00C365F6"/>
    <w:rsid w:val="00C40355"/>
    <w:rsid w:val="00C4047A"/>
    <w:rsid w:val="00C44026"/>
    <w:rsid w:val="00C440AA"/>
    <w:rsid w:val="00C44127"/>
    <w:rsid w:val="00C4458A"/>
    <w:rsid w:val="00C4475C"/>
    <w:rsid w:val="00C44B4D"/>
    <w:rsid w:val="00C45B1B"/>
    <w:rsid w:val="00C45B27"/>
    <w:rsid w:val="00C45EDA"/>
    <w:rsid w:val="00C47206"/>
    <w:rsid w:val="00C47B4C"/>
    <w:rsid w:val="00C47D29"/>
    <w:rsid w:val="00C504C8"/>
    <w:rsid w:val="00C513B1"/>
    <w:rsid w:val="00C51E48"/>
    <w:rsid w:val="00C51F0D"/>
    <w:rsid w:val="00C5400F"/>
    <w:rsid w:val="00C5418F"/>
    <w:rsid w:val="00C547BA"/>
    <w:rsid w:val="00C55A0D"/>
    <w:rsid w:val="00C571A3"/>
    <w:rsid w:val="00C57A30"/>
    <w:rsid w:val="00C60428"/>
    <w:rsid w:val="00C60AD6"/>
    <w:rsid w:val="00C60E63"/>
    <w:rsid w:val="00C61154"/>
    <w:rsid w:val="00C616EF"/>
    <w:rsid w:val="00C617FF"/>
    <w:rsid w:val="00C619FD"/>
    <w:rsid w:val="00C63D80"/>
    <w:rsid w:val="00C648B4"/>
    <w:rsid w:val="00C64ADA"/>
    <w:rsid w:val="00C64DF4"/>
    <w:rsid w:val="00C651CC"/>
    <w:rsid w:val="00C65981"/>
    <w:rsid w:val="00C65C8F"/>
    <w:rsid w:val="00C66D2D"/>
    <w:rsid w:val="00C67728"/>
    <w:rsid w:val="00C679DD"/>
    <w:rsid w:val="00C70176"/>
    <w:rsid w:val="00C70C0E"/>
    <w:rsid w:val="00C71A51"/>
    <w:rsid w:val="00C723FD"/>
    <w:rsid w:val="00C7240D"/>
    <w:rsid w:val="00C72A67"/>
    <w:rsid w:val="00C72CF9"/>
    <w:rsid w:val="00C72F5F"/>
    <w:rsid w:val="00C7300E"/>
    <w:rsid w:val="00C7407C"/>
    <w:rsid w:val="00C741FD"/>
    <w:rsid w:val="00C7423F"/>
    <w:rsid w:val="00C7443A"/>
    <w:rsid w:val="00C759EB"/>
    <w:rsid w:val="00C76050"/>
    <w:rsid w:val="00C76198"/>
    <w:rsid w:val="00C762B8"/>
    <w:rsid w:val="00C77A62"/>
    <w:rsid w:val="00C809AA"/>
    <w:rsid w:val="00C81390"/>
    <w:rsid w:val="00C814D6"/>
    <w:rsid w:val="00C81EA9"/>
    <w:rsid w:val="00C83396"/>
    <w:rsid w:val="00C84C71"/>
    <w:rsid w:val="00C84CEE"/>
    <w:rsid w:val="00C84FC5"/>
    <w:rsid w:val="00C85859"/>
    <w:rsid w:val="00C85AF5"/>
    <w:rsid w:val="00C863E9"/>
    <w:rsid w:val="00C86A6C"/>
    <w:rsid w:val="00C86AA7"/>
    <w:rsid w:val="00C870C8"/>
    <w:rsid w:val="00C8716B"/>
    <w:rsid w:val="00C8792C"/>
    <w:rsid w:val="00C87DB1"/>
    <w:rsid w:val="00C87ECF"/>
    <w:rsid w:val="00C87FEF"/>
    <w:rsid w:val="00C90041"/>
    <w:rsid w:val="00C90947"/>
    <w:rsid w:val="00C9176F"/>
    <w:rsid w:val="00C91905"/>
    <w:rsid w:val="00C91DD5"/>
    <w:rsid w:val="00C92237"/>
    <w:rsid w:val="00C93209"/>
    <w:rsid w:val="00C9386F"/>
    <w:rsid w:val="00C94D22"/>
    <w:rsid w:val="00C9508C"/>
    <w:rsid w:val="00C95C70"/>
    <w:rsid w:val="00C96ABC"/>
    <w:rsid w:val="00C970E8"/>
    <w:rsid w:val="00C979A9"/>
    <w:rsid w:val="00CA01B4"/>
    <w:rsid w:val="00CA0BC7"/>
    <w:rsid w:val="00CA1CC8"/>
    <w:rsid w:val="00CA1F5D"/>
    <w:rsid w:val="00CA2845"/>
    <w:rsid w:val="00CA3235"/>
    <w:rsid w:val="00CA33D3"/>
    <w:rsid w:val="00CA36AF"/>
    <w:rsid w:val="00CA4B93"/>
    <w:rsid w:val="00CA5BCE"/>
    <w:rsid w:val="00CA5C77"/>
    <w:rsid w:val="00CA6110"/>
    <w:rsid w:val="00CA67BF"/>
    <w:rsid w:val="00CA68AC"/>
    <w:rsid w:val="00CA704C"/>
    <w:rsid w:val="00CA757F"/>
    <w:rsid w:val="00CB0567"/>
    <w:rsid w:val="00CB16B7"/>
    <w:rsid w:val="00CB2110"/>
    <w:rsid w:val="00CB2633"/>
    <w:rsid w:val="00CB3466"/>
    <w:rsid w:val="00CB3492"/>
    <w:rsid w:val="00CB352F"/>
    <w:rsid w:val="00CB3850"/>
    <w:rsid w:val="00CB3DD3"/>
    <w:rsid w:val="00CB4713"/>
    <w:rsid w:val="00CB4C75"/>
    <w:rsid w:val="00CB5B79"/>
    <w:rsid w:val="00CB638A"/>
    <w:rsid w:val="00CB67B0"/>
    <w:rsid w:val="00CB69BC"/>
    <w:rsid w:val="00CB6AE0"/>
    <w:rsid w:val="00CB7346"/>
    <w:rsid w:val="00CC0076"/>
    <w:rsid w:val="00CC02D1"/>
    <w:rsid w:val="00CC0FEE"/>
    <w:rsid w:val="00CC1328"/>
    <w:rsid w:val="00CC1401"/>
    <w:rsid w:val="00CC1417"/>
    <w:rsid w:val="00CC1714"/>
    <w:rsid w:val="00CC1C2E"/>
    <w:rsid w:val="00CC31B3"/>
    <w:rsid w:val="00CC33B8"/>
    <w:rsid w:val="00CC396D"/>
    <w:rsid w:val="00CC3D92"/>
    <w:rsid w:val="00CC4C91"/>
    <w:rsid w:val="00CC4CDC"/>
    <w:rsid w:val="00CC522F"/>
    <w:rsid w:val="00CC6679"/>
    <w:rsid w:val="00CC6696"/>
    <w:rsid w:val="00CC6697"/>
    <w:rsid w:val="00CC70FD"/>
    <w:rsid w:val="00CC792F"/>
    <w:rsid w:val="00CC7E99"/>
    <w:rsid w:val="00CD0816"/>
    <w:rsid w:val="00CD173D"/>
    <w:rsid w:val="00CD2C65"/>
    <w:rsid w:val="00CD2FF3"/>
    <w:rsid w:val="00CD32AF"/>
    <w:rsid w:val="00CD413D"/>
    <w:rsid w:val="00CD42F0"/>
    <w:rsid w:val="00CD4B81"/>
    <w:rsid w:val="00CD50BA"/>
    <w:rsid w:val="00CD53FB"/>
    <w:rsid w:val="00CD5A53"/>
    <w:rsid w:val="00CD5D97"/>
    <w:rsid w:val="00CE0C15"/>
    <w:rsid w:val="00CE122C"/>
    <w:rsid w:val="00CE2326"/>
    <w:rsid w:val="00CE258C"/>
    <w:rsid w:val="00CE2DD2"/>
    <w:rsid w:val="00CE3568"/>
    <w:rsid w:val="00CE4798"/>
    <w:rsid w:val="00CE484C"/>
    <w:rsid w:val="00CE519A"/>
    <w:rsid w:val="00CE5867"/>
    <w:rsid w:val="00CE5A23"/>
    <w:rsid w:val="00CE6DBF"/>
    <w:rsid w:val="00CE775D"/>
    <w:rsid w:val="00CF0036"/>
    <w:rsid w:val="00CF02E2"/>
    <w:rsid w:val="00CF05E5"/>
    <w:rsid w:val="00CF0720"/>
    <w:rsid w:val="00CF0D5C"/>
    <w:rsid w:val="00CF10F1"/>
    <w:rsid w:val="00CF158E"/>
    <w:rsid w:val="00CF1C91"/>
    <w:rsid w:val="00CF38FD"/>
    <w:rsid w:val="00CF3D21"/>
    <w:rsid w:val="00CF4029"/>
    <w:rsid w:val="00CF60BE"/>
    <w:rsid w:val="00CF68F0"/>
    <w:rsid w:val="00CF7505"/>
    <w:rsid w:val="00CF7A0E"/>
    <w:rsid w:val="00CF7FAA"/>
    <w:rsid w:val="00CF7FAB"/>
    <w:rsid w:val="00D00C45"/>
    <w:rsid w:val="00D010E6"/>
    <w:rsid w:val="00D011BA"/>
    <w:rsid w:val="00D013BB"/>
    <w:rsid w:val="00D01DCA"/>
    <w:rsid w:val="00D02617"/>
    <w:rsid w:val="00D02AAE"/>
    <w:rsid w:val="00D02D9A"/>
    <w:rsid w:val="00D033B2"/>
    <w:rsid w:val="00D03F58"/>
    <w:rsid w:val="00D05E9E"/>
    <w:rsid w:val="00D06089"/>
    <w:rsid w:val="00D068DC"/>
    <w:rsid w:val="00D07590"/>
    <w:rsid w:val="00D07E4B"/>
    <w:rsid w:val="00D104FD"/>
    <w:rsid w:val="00D105F0"/>
    <w:rsid w:val="00D109A8"/>
    <w:rsid w:val="00D109FA"/>
    <w:rsid w:val="00D11A15"/>
    <w:rsid w:val="00D11BC4"/>
    <w:rsid w:val="00D12451"/>
    <w:rsid w:val="00D1263C"/>
    <w:rsid w:val="00D12793"/>
    <w:rsid w:val="00D12B45"/>
    <w:rsid w:val="00D12B62"/>
    <w:rsid w:val="00D13297"/>
    <w:rsid w:val="00D14D9C"/>
    <w:rsid w:val="00D14DB7"/>
    <w:rsid w:val="00D15219"/>
    <w:rsid w:val="00D15ABE"/>
    <w:rsid w:val="00D16B81"/>
    <w:rsid w:val="00D16F6F"/>
    <w:rsid w:val="00D1700B"/>
    <w:rsid w:val="00D17B31"/>
    <w:rsid w:val="00D2040A"/>
    <w:rsid w:val="00D20581"/>
    <w:rsid w:val="00D20F5E"/>
    <w:rsid w:val="00D2147D"/>
    <w:rsid w:val="00D22ADC"/>
    <w:rsid w:val="00D22FEC"/>
    <w:rsid w:val="00D23537"/>
    <w:rsid w:val="00D23978"/>
    <w:rsid w:val="00D23A83"/>
    <w:rsid w:val="00D23FAD"/>
    <w:rsid w:val="00D24679"/>
    <w:rsid w:val="00D24888"/>
    <w:rsid w:val="00D24A2B"/>
    <w:rsid w:val="00D24FAE"/>
    <w:rsid w:val="00D259C7"/>
    <w:rsid w:val="00D25BD1"/>
    <w:rsid w:val="00D26213"/>
    <w:rsid w:val="00D267E1"/>
    <w:rsid w:val="00D2682B"/>
    <w:rsid w:val="00D27A43"/>
    <w:rsid w:val="00D31B33"/>
    <w:rsid w:val="00D332A9"/>
    <w:rsid w:val="00D343AD"/>
    <w:rsid w:val="00D357A0"/>
    <w:rsid w:val="00D357FD"/>
    <w:rsid w:val="00D358F3"/>
    <w:rsid w:val="00D35BB2"/>
    <w:rsid w:val="00D3742E"/>
    <w:rsid w:val="00D40894"/>
    <w:rsid w:val="00D41153"/>
    <w:rsid w:val="00D414EF"/>
    <w:rsid w:val="00D4155E"/>
    <w:rsid w:val="00D41719"/>
    <w:rsid w:val="00D418BF"/>
    <w:rsid w:val="00D427BE"/>
    <w:rsid w:val="00D42936"/>
    <w:rsid w:val="00D4315F"/>
    <w:rsid w:val="00D43431"/>
    <w:rsid w:val="00D43870"/>
    <w:rsid w:val="00D43D7D"/>
    <w:rsid w:val="00D44200"/>
    <w:rsid w:val="00D445D6"/>
    <w:rsid w:val="00D46218"/>
    <w:rsid w:val="00D46634"/>
    <w:rsid w:val="00D47018"/>
    <w:rsid w:val="00D47D9F"/>
    <w:rsid w:val="00D50C24"/>
    <w:rsid w:val="00D51508"/>
    <w:rsid w:val="00D526D6"/>
    <w:rsid w:val="00D52BCF"/>
    <w:rsid w:val="00D53AC9"/>
    <w:rsid w:val="00D53FA7"/>
    <w:rsid w:val="00D54732"/>
    <w:rsid w:val="00D56807"/>
    <w:rsid w:val="00D569F9"/>
    <w:rsid w:val="00D56BEC"/>
    <w:rsid w:val="00D56FE4"/>
    <w:rsid w:val="00D57135"/>
    <w:rsid w:val="00D5725C"/>
    <w:rsid w:val="00D60331"/>
    <w:rsid w:val="00D60343"/>
    <w:rsid w:val="00D60A6B"/>
    <w:rsid w:val="00D60A83"/>
    <w:rsid w:val="00D61B31"/>
    <w:rsid w:val="00D61BA5"/>
    <w:rsid w:val="00D6202C"/>
    <w:rsid w:val="00D62C71"/>
    <w:rsid w:val="00D6310C"/>
    <w:rsid w:val="00D633E5"/>
    <w:rsid w:val="00D63AF6"/>
    <w:rsid w:val="00D64B9B"/>
    <w:rsid w:val="00D65213"/>
    <w:rsid w:val="00D65654"/>
    <w:rsid w:val="00D670C9"/>
    <w:rsid w:val="00D67308"/>
    <w:rsid w:val="00D67C96"/>
    <w:rsid w:val="00D70024"/>
    <w:rsid w:val="00D7091D"/>
    <w:rsid w:val="00D713E3"/>
    <w:rsid w:val="00D71485"/>
    <w:rsid w:val="00D7228C"/>
    <w:rsid w:val="00D727CC"/>
    <w:rsid w:val="00D73CB5"/>
    <w:rsid w:val="00D73E2A"/>
    <w:rsid w:val="00D74936"/>
    <w:rsid w:val="00D74CC8"/>
    <w:rsid w:val="00D74DE6"/>
    <w:rsid w:val="00D75645"/>
    <w:rsid w:val="00D75D49"/>
    <w:rsid w:val="00D76504"/>
    <w:rsid w:val="00D7783E"/>
    <w:rsid w:val="00D801DC"/>
    <w:rsid w:val="00D80859"/>
    <w:rsid w:val="00D80B10"/>
    <w:rsid w:val="00D8246D"/>
    <w:rsid w:val="00D83490"/>
    <w:rsid w:val="00D83793"/>
    <w:rsid w:val="00D83807"/>
    <w:rsid w:val="00D83985"/>
    <w:rsid w:val="00D8454B"/>
    <w:rsid w:val="00D853EB"/>
    <w:rsid w:val="00D85CBF"/>
    <w:rsid w:val="00D86547"/>
    <w:rsid w:val="00D866A5"/>
    <w:rsid w:val="00D912A3"/>
    <w:rsid w:val="00D92002"/>
    <w:rsid w:val="00D92404"/>
    <w:rsid w:val="00D9399E"/>
    <w:rsid w:val="00D93FC8"/>
    <w:rsid w:val="00D94B96"/>
    <w:rsid w:val="00D9573C"/>
    <w:rsid w:val="00D966B4"/>
    <w:rsid w:val="00D96C0B"/>
    <w:rsid w:val="00D96E63"/>
    <w:rsid w:val="00D97AA1"/>
    <w:rsid w:val="00D97F5A"/>
    <w:rsid w:val="00DA0CB9"/>
    <w:rsid w:val="00DA1665"/>
    <w:rsid w:val="00DA2772"/>
    <w:rsid w:val="00DA2E26"/>
    <w:rsid w:val="00DA31D3"/>
    <w:rsid w:val="00DA48E6"/>
    <w:rsid w:val="00DA4A30"/>
    <w:rsid w:val="00DA58EB"/>
    <w:rsid w:val="00DA5AAA"/>
    <w:rsid w:val="00DA5DFA"/>
    <w:rsid w:val="00DA60E2"/>
    <w:rsid w:val="00DA63C0"/>
    <w:rsid w:val="00DA7888"/>
    <w:rsid w:val="00DB020D"/>
    <w:rsid w:val="00DB0A7D"/>
    <w:rsid w:val="00DB0B80"/>
    <w:rsid w:val="00DB28FB"/>
    <w:rsid w:val="00DB2DA3"/>
    <w:rsid w:val="00DB3390"/>
    <w:rsid w:val="00DB4B21"/>
    <w:rsid w:val="00DB4D3E"/>
    <w:rsid w:val="00DB5007"/>
    <w:rsid w:val="00DB5ED0"/>
    <w:rsid w:val="00DB654F"/>
    <w:rsid w:val="00DB6CF5"/>
    <w:rsid w:val="00DB6FB1"/>
    <w:rsid w:val="00DB6FF4"/>
    <w:rsid w:val="00DB782A"/>
    <w:rsid w:val="00DB7A7B"/>
    <w:rsid w:val="00DC0247"/>
    <w:rsid w:val="00DC03E4"/>
    <w:rsid w:val="00DC1798"/>
    <w:rsid w:val="00DC1850"/>
    <w:rsid w:val="00DC20B9"/>
    <w:rsid w:val="00DC2503"/>
    <w:rsid w:val="00DC2C6B"/>
    <w:rsid w:val="00DC33DF"/>
    <w:rsid w:val="00DC3F4E"/>
    <w:rsid w:val="00DC466D"/>
    <w:rsid w:val="00DC582B"/>
    <w:rsid w:val="00DC5984"/>
    <w:rsid w:val="00DC5EAD"/>
    <w:rsid w:val="00DC69EC"/>
    <w:rsid w:val="00DC77D1"/>
    <w:rsid w:val="00DC786E"/>
    <w:rsid w:val="00DC79D0"/>
    <w:rsid w:val="00DC7F29"/>
    <w:rsid w:val="00DD0023"/>
    <w:rsid w:val="00DD0183"/>
    <w:rsid w:val="00DD0AC1"/>
    <w:rsid w:val="00DD0EA7"/>
    <w:rsid w:val="00DD153E"/>
    <w:rsid w:val="00DD1982"/>
    <w:rsid w:val="00DD1AF8"/>
    <w:rsid w:val="00DD31F8"/>
    <w:rsid w:val="00DD450A"/>
    <w:rsid w:val="00DD48F2"/>
    <w:rsid w:val="00DD4C51"/>
    <w:rsid w:val="00DD51EF"/>
    <w:rsid w:val="00DD5330"/>
    <w:rsid w:val="00DD5C73"/>
    <w:rsid w:val="00DD61F2"/>
    <w:rsid w:val="00DD706D"/>
    <w:rsid w:val="00DD761C"/>
    <w:rsid w:val="00DE0798"/>
    <w:rsid w:val="00DE1072"/>
    <w:rsid w:val="00DE21BA"/>
    <w:rsid w:val="00DE233A"/>
    <w:rsid w:val="00DE3E6A"/>
    <w:rsid w:val="00DE52F7"/>
    <w:rsid w:val="00DE7679"/>
    <w:rsid w:val="00DF049E"/>
    <w:rsid w:val="00DF04B5"/>
    <w:rsid w:val="00DF0869"/>
    <w:rsid w:val="00DF1AE9"/>
    <w:rsid w:val="00DF1F30"/>
    <w:rsid w:val="00DF2167"/>
    <w:rsid w:val="00DF2F5F"/>
    <w:rsid w:val="00DF35B8"/>
    <w:rsid w:val="00DF3ADA"/>
    <w:rsid w:val="00DF4884"/>
    <w:rsid w:val="00DF4B5C"/>
    <w:rsid w:val="00DF4EFC"/>
    <w:rsid w:val="00DF5EA0"/>
    <w:rsid w:val="00DF677E"/>
    <w:rsid w:val="00DF7608"/>
    <w:rsid w:val="00DF76D4"/>
    <w:rsid w:val="00DF78D7"/>
    <w:rsid w:val="00E00342"/>
    <w:rsid w:val="00E0042A"/>
    <w:rsid w:val="00E006E5"/>
    <w:rsid w:val="00E00D7D"/>
    <w:rsid w:val="00E01229"/>
    <w:rsid w:val="00E013AC"/>
    <w:rsid w:val="00E017D1"/>
    <w:rsid w:val="00E01B4C"/>
    <w:rsid w:val="00E01CE0"/>
    <w:rsid w:val="00E02906"/>
    <w:rsid w:val="00E04181"/>
    <w:rsid w:val="00E0467F"/>
    <w:rsid w:val="00E04693"/>
    <w:rsid w:val="00E049B0"/>
    <w:rsid w:val="00E05218"/>
    <w:rsid w:val="00E05A2C"/>
    <w:rsid w:val="00E05AB8"/>
    <w:rsid w:val="00E06A38"/>
    <w:rsid w:val="00E075C9"/>
    <w:rsid w:val="00E07634"/>
    <w:rsid w:val="00E11426"/>
    <w:rsid w:val="00E11C20"/>
    <w:rsid w:val="00E1262A"/>
    <w:rsid w:val="00E12BA2"/>
    <w:rsid w:val="00E12C08"/>
    <w:rsid w:val="00E13313"/>
    <w:rsid w:val="00E14907"/>
    <w:rsid w:val="00E1541F"/>
    <w:rsid w:val="00E15868"/>
    <w:rsid w:val="00E162E2"/>
    <w:rsid w:val="00E16D38"/>
    <w:rsid w:val="00E16F90"/>
    <w:rsid w:val="00E17630"/>
    <w:rsid w:val="00E17E57"/>
    <w:rsid w:val="00E206E4"/>
    <w:rsid w:val="00E2072F"/>
    <w:rsid w:val="00E2093C"/>
    <w:rsid w:val="00E20CA8"/>
    <w:rsid w:val="00E20D26"/>
    <w:rsid w:val="00E215B2"/>
    <w:rsid w:val="00E219F1"/>
    <w:rsid w:val="00E21E85"/>
    <w:rsid w:val="00E2289B"/>
    <w:rsid w:val="00E22CEB"/>
    <w:rsid w:val="00E234CD"/>
    <w:rsid w:val="00E2390C"/>
    <w:rsid w:val="00E241B7"/>
    <w:rsid w:val="00E2423E"/>
    <w:rsid w:val="00E2424F"/>
    <w:rsid w:val="00E24968"/>
    <w:rsid w:val="00E264A5"/>
    <w:rsid w:val="00E266F5"/>
    <w:rsid w:val="00E267AB"/>
    <w:rsid w:val="00E26C2E"/>
    <w:rsid w:val="00E26C45"/>
    <w:rsid w:val="00E26DBD"/>
    <w:rsid w:val="00E27555"/>
    <w:rsid w:val="00E27AFA"/>
    <w:rsid w:val="00E309DE"/>
    <w:rsid w:val="00E30E54"/>
    <w:rsid w:val="00E31226"/>
    <w:rsid w:val="00E31465"/>
    <w:rsid w:val="00E33160"/>
    <w:rsid w:val="00E33D41"/>
    <w:rsid w:val="00E344CF"/>
    <w:rsid w:val="00E344EB"/>
    <w:rsid w:val="00E36E89"/>
    <w:rsid w:val="00E37346"/>
    <w:rsid w:val="00E3791B"/>
    <w:rsid w:val="00E37E8C"/>
    <w:rsid w:val="00E40FB9"/>
    <w:rsid w:val="00E4103C"/>
    <w:rsid w:val="00E41A44"/>
    <w:rsid w:val="00E426A8"/>
    <w:rsid w:val="00E43034"/>
    <w:rsid w:val="00E43226"/>
    <w:rsid w:val="00E436B0"/>
    <w:rsid w:val="00E43916"/>
    <w:rsid w:val="00E44421"/>
    <w:rsid w:val="00E444E8"/>
    <w:rsid w:val="00E44950"/>
    <w:rsid w:val="00E4520F"/>
    <w:rsid w:val="00E45EED"/>
    <w:rsid w:val="00E47681"/>
    <w:rsid w:val="00E503B9"/>
    <w:rsid w:val="00E50FF5"/>
    <w:rsid w:val="00E5201F"/>
    <w:rsid w:val="00E5282C"/>
    <w:rsid w:val="00E533B9"/>
    <w:rsid w:val="00E53917"/>
    <w:rsid w:val="00E53943"/>
    <w:rsid w:val="00E53E0B"/>
    <w:rsid w:val="00E556D8"/>
    <w:rsid w:val="00E56071"/>
    <w:rsid w:val="00E561EC"/>
    <w:rsid w:val="00E5663D"/>
    <w:rsid w:val="00E572A2"/>
    <w:rsid w:val="00E57AB8"/>
    <w:rsid w:val="00E57E6A"/>
    <w:rsid w:val="00E60898"/>
    <w:rsid w:val="00E609A3"/>
    <w:rsid w:val="00E60DC7"/>
    <w:rsid w:val="00E61532"/>
    <w:rsid w:val="00E6167E"/>
    <w:rsid w:val="00E62D3B"/>
    <w:rsid w:val="00E639F8"/>
    <w:rsid w:val="00E63ED6"/>
    <w:rsid w:val="00E63FF0"/>
    <w:rsid w:val="00E6405C"/>
    <w:rsid w:val="00E65DFE"/>
    <w:rsid w:val="00E66AA7"/>
    <w:rsid w:val="00E672EB"/>
    <w:rsid w:val="00E67C1A"/>
    <w:rsid w:val="00E67D5D"/>
    <w:rsid w:val="00E67F86"/>
    <w:rsid w:val="00E70181"/>
    <w:rsid w:val="00E70EBE"/>
    <w:rsid w:val="00E71024"/>
    <w:rsid w:val="00E718F3"/>
    <w:rsid w:val="00E72207"/>
    <w:rsid w:val="00E72393"/>
    <w:rsid w:val="00E725DF"/>
    <w:rsid w:val="00E7282E"/>
    <w:rsid w:val="00E7294D"/>
    <w:rsid w:val="00E72D9F"/>
    <w:rsid w:val="00E73072"/>
    <w:rsid w:val="00E7449D"/>
    <w:rsid w:val="00E757FA"/>
    <w:rsid w:val="00E75A72"/>
    <w:rsid w:val="00E76ADD"/>
    <w:rsid w:val="00E77135"/>
    <w:rsid w:val="00E80587"/>
    <w:rsid w:val="00E8137D"/>
    <w:rsid w:val="00E815F6"/>
    <w:rsid w:val="00E8269B"/>
    <w:rsid w:val="00E835BC"/>
    <w:rsid w:val="00E841B3"/>
    <w:rsid w:val="00E843B9"/>
    <w:rsid w:val="00E85E71"/>
    <w:rsid w:val="00E86890"/>
    <w:rsid w:val="00E86941"/>
    <w:rsid w:val="00E86D77"/>
    <w:rsid w:val="00E878B1"/>
    <w:rsid w:val="00E878FD"/>
    <w:rsid w:val="00E87BB8"/>
    <w:rsid w:val="00E9021E"/>
    <w:rsid w:val="00E90FB1"/>
    <w:rsid w:val="00E91683"/>
    <w:rsid w:val="00E93F08"/>
    <w:rsid w:val="00E942A8"/>
    <w:rsid w:val="00E94729"/>
    <w:rsid w:val="00E94EA0"/>
    <w:rsid w:val="00E95438"/>
    <w:rsid w:val="00E95782"/>
    <w:rsid w:val="00E96529"/>
    <w:rsid w:val="00E96CE6"/>
    <w:rsid w:val="00E96CFF"/>
    <w:rsid w:val="00E97385"/>
    <w:rsid w:val="00E9758A"/>
    <w:rsid w:val="00E97B47"/>
    <w:rsid w:val="00E97B4A"/>
    <w:rsid w:val="00E97F19"/>
    <w:rsid w:val="00EA03C5"/>
    <w:rsid w:val="00EA0CE0"/>
    <w:rsid w:val="00EA1069"/>
    <w:rsid w:val="00EA10E9"/>
    <w:rsid w:val="00EA1927"/>
    <w:rsid w:val="00EA1B34"/>
    <w:rsid w:val="00EA1BA3"/>
    <w:rsid w:val="00EA1BD9"/>
    <w:rsid w:val="00EA1CC8"/>
    <w:rsid w:val="00EA2929"/>
    <w:rsid w:val="00EA3F86"/>
    <w:rsid w:val="00EA42AB"/>
    <w:rsid w:val="00EA5903"/>
    <w:rsid w:val="00EA5981"/>
    <w:rsid w:val="00EB0BDF"/>
    <w:rsid w:val="00EB2772"/>
    <w:rsid w:val="00EB29AA"/>
    <w:rsid w:val="00EB2CC1"/>
    <w:rsid w:val="00EB3212"/>
    <w:rsid w:val="00EB38E2"/>
    <w:rsid w:val="00EB41A5"/>
    <w:rsid w:val="00EB43CB"/>
    <w:rsid w:val="00EB630C"/>
    <w:rsid w:val="00EB6FBB"/>
    <w:rsid w:val="00EB7D5A"/>
    <w:rsid w:val="00EC0992"/>
    <w:rsid w:val="00EC0B08"/>
    <w:rsid w:val="00EC2682"/>
    <w:rsid w:val="00EC2D48"/>
    <w:rsid w:val="00EC4117"/>
    <w:rsid w:val="00EC48A6"/>
    <w:rsid w:val="00EC4902"/>
    <w:rsid w:val="00EC51EB"/>
    <w:rsid w:val="00EC5D6B"/>
    <w:rsid w:val="00EC5E31"/>
    <w:rsid w:val="00EC63C9"/>
    <w:rsid w:val="00EC6551"/>
    <w:rsid w:val="00EC6DF3"/>
    <w:rsid w:val="00EC700B"/>
    <w:rsid w:val="00EC782C"/>
    <w:rsid w:val="00EC7F39"/>
    <w:rsid w:val="00ED066B"/>
    <w:rsid w:val="00ED07DB"/>
    <w:rsid w:val="00ED0834"/>
    <w:rsid w:val="00ED0964"/>
    <w:rsid w:val="00ED0C7E"/>
    <w:rsid w:val="00ED0FE5"/>
    <w:rsid w:val="00ED163F"/>
    <w:rsid w:val="00ED1694"/>
    <w:rsid w:val="00ED1BFC"/>
    <w:rsid w:val="00ED1FBD"/>
    <w:rsid w:val="00ED249C"/>
    <w:rsid w:val="00ED391D"/>
    <w:rsid w:val="00ED464B"/>
    <w:rsid w:val="00ED4AC7"/>
    <w:rsid w:val="00ED4FAF"/>
    <w:rsid w:val="00ED4FCE"/>
    <w:rsid w:val="00ED6EDA"/>
    <w:rsid w:val="00EE02F1"/>
    <w:rsid w:val="00EE0BBA"/>
    <w:rsid w:val="00EE11E7"/>
    <w:rsid w:val="00EE2771"/>
    <w:rsid w:val="00EE2C19"/>
    <w:rsid w:val="00EE3942"/>
    <w:rsid w:val="00EE39FE"/>
    <w:rsid w:val="00EE3A4F"/>
    <w:rsid w:val="00EE3D00"/>
    <w:rsid w:val="00EE43CF"/>
    <w:rsid w:val="00EE477D"/>
    <w:rsid w:val="00EE498D"/>
    <w:rsid w:val="00EE6A9F"/>
    <w:rsid w:val="00EE6BE0"/>
    <w:rsid w:val="00EE73C9"/>
    <w:rsid w:val="00EE7B23"/>
    <w:rsid w:val="00EE7D3A"/>
    <w:rsid w:val="00EF0DDB"/>
    <w:rsid w:val="00EF17B5"/>
    <w:rsid w:val="00EF1D1A"/>
    <w:rsid w:val="00EF1DEC"/>
    <w:rsid w:val="00EF2B8E"/>
    <w:rsid w:val="00EF30BB"/>
    <w:rsid w:val="00EF32EE"/>
    <w:rsid w:val="00EF4911"/>
    <w:rsid w:val="00F001DD"/>
    <w:rsid w:val="00F003E5"/>
    <w:rsid w:val="00F005C9"/>
    <w:rsid w:val="00F009E1"/>
    <w:rsid w:val="00F011A2"/>
    <w:rsid w:val="00F013E9"/>
    <w:rsid w:val="00F0184E"/>
    <w:rsid w:val="00F020DE"/>
    <w:rsid w:val="00F0226E"/>
    <w:rsid w:val="00F03C52"/>
    <w:rsid w:val="00F03F94"/>
    <w:rsid w:val="00F04454"/>
    <w:rsid w:val="00F04C03"/>
    <w:rsid w:val="00F0505C"/>
    <w:rsid w:val="00F053B8"/>
    <w:rsid w:val="00F0625E"/>
    <w:rsid w:val="00F0698E"/>
    <w:rsid w:val="00F06AE8"/>
    <w:rsid w:val="00F07360"/>
    <w:rsid w:val="00F075E1"/>
    <w:rsid w:val="00F07814"/>
    <w:rsid w:val="00F0785E"/>
    <w:rsid w:val="00F10769"/>
    <w:rsid w:val="00F12049"/>
    <w:rsid w:val="00F123DD"/>
    <w:rsid w:val="00F12E28"/>
    <w:rsid w:val="00F12FD0"/>
    <w:rsid w:val="00F1305B"/>
    <w:rsid w:val="00F13568"/>
    <w:rsid w:val="00F136B8"/>
    <w:rsid w:val="00F139DD"/>
    <w:rsid w:val="00F14B7C"/>
    <w:rsid w:val="00F150BD"/>
    <w:rsid w:val="00F1586B"/>
    <w:rsid w:val="00F159D7"/>
    <w:rsid w:val="00F16164"/>
    <w:rsid w:val="00F16278"/>
    <w:rsid w:val="00F169F2"/>
    <w:rsid w:val="00F16A21"/>
    <w:rsid w:val="00F16C01"/>
    <w:rsid w:val="00F16F8D"/>
    <w:rsid w:val="00F1726A"/>
    <w:rsid w:val="00F175B7"/>
    <w:rsid w:val="00F17607"/>
    <w:rsid w:val="00F2062A"/>
    <w:rsid w:val="00F2090B"/>
    <w:rsid w:val="00F20917"/>
    <w:rsid w:val="00F20E4F"/>
    <w:rsid w:val="00F21743"/>
    <w:rsid w:val="00F2291F"/>
    <w:rsid w:val="00F23099"/>
    <w:rsid w:val="00F23479"/>
    <w:rsid w:val="00F23A52"/>
    <w:rsid w:val="00F23DFD"/>
    <w:rsid w:val="00F25042"/>
    <w:rsid w:val="00F25931"/>
    <w:rsid w:val="00F25F64"/>
    <w:rsid w:val="00F25FBB"/>
    <w:rsid w:val="00F264DB"/>
    <w:rsid w:val="00F26657"/>
    <w:rsid w:val="00F266ED"/>
    <w:rsid w:val="00F26961"/>
    <w:rsid w:val="00F270E3"/>
    <w:rsid w:val="00F276DB"/>
    <w:rsid w:val="00F27831"/>
    <w:rsid w:val="00F27900"/>
    <w:rsid w:val="00F27ED8"/>
    <w:rsid w:val="00F3012C"/>
    <w:rsid w:val="00F30C6E"/>
    <w:rsid w:val="00F32B4D"/>
    <w:rsid w:val="00F32F92"/>
    <w:rsid w:val="00F33A76"/>
    <w:rsid w:val="00F342A4"/>
    <w:rsid w:val="00F34899"/>
    <w:rsid w:val="00F34977"/>
    <w:rsid w:val="00F34BBC"/>
    <w:rsid w:val="00F34F23"/>
    <w:rsid w:val="00F357AE"/>
    <w:rsid w:val="00F36405"/>
    <w:rsid w:val="00F3760C"/>
    <w:rsid w:val="00F40253"/>
    <w:rsid w:val="00F41189"/>
    <w:rsid w:val="00F41572"/>
    <w:rsid w:val="00F4174F"/>
    <w:rsid w:val="00F41BA2"/>
    <w:rsid w:val="00F41E85"/>
    <w:rsid w:val="00F42258"/>
    <w:rsid w:val="00F43B42"/>
    <w:rsid w:val="00F43F4D"/>
    <w:rsid w:val="00F443A0"/>
    <w:rsid w:val="00F453F7"/>
    <w:rsid w:val="00F455A9"/>
    <w:rsid w:val="00F45C52"/>
    <w:rsid w:val="00F4664E"/>
    <w:rsid w:val="00F47DB8"/>
    <w:rsid w:val="00F50B4B"/>
    <w:rsid w:val="00F51370"/>
    <w:rsid w:val="00F51ABB"/>
    <w:rsid w:val="00F51EBE"/>
    <w:rsid w:val="00F5305B"/>
    <w:rsid w:val="00F53540"/>
    <w:rsid w:val="00F5392E"/>
    <w:rsid w:val="00F53D8D"/>
    <w:rsid w:val="00F54DAE"/>
    <w:rsid w:val="00F54E2A"/>
    <w:rsid w:val="00F54EBF"/>
    <w:rsid w:val="00F55340"/>
    <w:rsid w:val="00F55536"/>
    <w:rsid w:val="00F55683"/>
    <w:rsid w:val="00F56411"/>
    <w:rsid w:val="00F566AF"/>
    <w:rsid w:val="00F60269"/>
    <w:rsid w:val="00F60DF1"/>
    <w:rsid w:val="00F61931"/>
    <w:rsid w:val="00F6279B"/>
    <w:rsid w:val="00F62826"/>
    <w:rsid w:val="00F62B08"/>
    <w:rsid w:val="00F63985"/>
    <w:rsid w:val="00F63AE5"/>
    <w:rsid w:val="00F63BC4"/>
    <w:rsid w:val="00F6417D"/>
    <w:rsid w:val="00F6449B"/>
    <w:rsid w:val="00F645D0"/>
    <w:rsid w:val="00F64B75"/>
    <w:rsid w:val="00F64F8F"/>
    <w:rsid w:val="00F65146"/>
    <w:rsid w:val="00F656EB"/>
    <w:rsid w:val="00F67A17"/>
    <w:rsid w:val="00F67DC6"/>
    <w:rsid w:val="00F7066C"/>
    <w:rsid w:val="00F71B35"/>
    <w:rsid w:val="00F72116"/>
    <w:rsid w:val="00F73B57"/>
    <w:rsid w:val="00F74E20"/>
    <w:rsid w:val="00F75643"/>
    <w:rsid w:val="00F75B87"/>
    <w:rsid w:val="00F7687D"/>
    <w:rsid w:val="00F7700C"/>
    <w:rsid w:val="00F80569"/>
    <w:rsid w:val="00F8096E"/>
    <w:rsid w:val="00F80D40"/>
    <w:rsid w:val="00F81111"/>
    <w:rsid w:val="00F81DEE"/>
    <w:rsid w:val="00F8256B"/>
    <w:rsid w:val="00F82E35"/>
    <w:rsid w:val="00F83264"/>
    <w:rsid w:val="00F83729"/>
    <w:rsid w:val="00F8372E"/>
    <w:rsid w:val="00F83933"/>
    <w:rsid w:val="00F83961"/>
    <w:rsid w:val="00F83B9E"/>
    <w:rsid w:val="00F846DA"/>
    <w:rsid w:val="00F84760"/>
    <w:rsid w:val="00F84BF2"/>
    <w:rsid w:val="00F84E9A"/>
    <w:rsid w:val="00F84F84"/>
    <w:rsid w:val="00F858AE"/>
    <w:rsid w:val="00F858BA"/>
    <w:rsid w:val="00F85B1E"/>
    <w:rsid w:val="00F85F81"/>
    <w:rsid w:val="00F864B2"/>
    <w:rsid w:val="00F86527"/>
    <w:rsid w:val="00F86C83"/>
    <w:rsid w:val="00F87427"/>
    <w:rsid w:val="00F9055F"/>
    <w:rsid w:val="00F90564"/>
    <w:rsid w:val="00F91249"/>
    <w:rsid w:val="00F918BB"/>
    <w:rsid w:val="00F919BC"/>
    <w:rsid w:val="00F92B3B"/>
    <w:rsid w:val="00F92C72"/>
    <w:rsid w:val="00F939E2"/>
    <w:rsid w:val="00F94447"/>
    <w:rsid w:val="00F95660"/>
    <w:rsid w:val="00F958D6"/>
    <w:rsid w:val="00F96223"/>
    <w:rsid w:val="00F9773A"/>
    <w:rsid w:val="00F97BFD"/>
    <w:rsid w:val="00FA0569"/>
    <w:rsid w:val="00FA186C"/>
    <w:rsid w:val="00FA1993"/>
    <w:rsid w:val="00FA19ED"/>
    <w:rsid w:val="00FA2781"/>
    <w:rsid w:val="00FA2A39"/>
    <w:rsid w:val="00FA2D0C"/>
    <w:rsid w:val="00FA2D91"/>
    <w:rsid w:val="00FA3237"/>
    <w:rsid w:val="00FA32D5"/>
    <w:rsid w:val="00FA3F16"/>
    <w:rsid w:val="00FA3F3C"/>
    <w:rsid w:val="00FA4302"/>
    <w:rsid w:val="00FA4579"/>
    <w:rsid w:val="00FA621A"/>
    <w:rsid w:val="00FA6560"/>
    <w:rsid w:val="00FA66FB"/>
    <w:rsid w:val="00FA69C2"/>
    <w:rsid w:val="00FA7051"/>
    <w:rsid w:val="00FB0A6B"/>
    <w:rsid w:val="00FB22F4"/>
    <w:rsid w:val="00FB2735"/>
    <w:rsid w:val="00FB35E2"/>
    <w:rsid w:val="00FB3790"/>
    <w:rsid w:val="00FB422C"/>
    <w:rsid w:val="00FB466C"/>
    <w:rsid w:val="00FB4761"/>
    <w:rsid w:val="00FB4AAA"/>
    <w:rsid w:val="00FB4F39"/>
    <w:rsid w:val="00FB56EC"/>
    <w:rsid w:val="00FB6118"/>
    <w:rsid w:val="00FB7C24"/>
    <w:rsid w:val="00FC0AC0"/>
    <w:rsid w:val="00FC0EC4"/>
    <w:rsid w:val="00FC165F"/>
    <w:rsid w:val="00FC236B"/>
    <w:rsid w:val="00FC60B1"/>
    <w:rsid w:val="00FC60DF"/>
    <w:rsid w:val="00FC69E5"/>
    <w:rsid w:val="00FC7BCC"/>
    <w:rsid w:val="00FC7ED4"/>
    <w:rsid w:val="00FD14C3"/>
    <w:rsid w:val="00FD157B"/>
    <w:rsid w:val="00FD1FCE"/>
    <w:rsid w:val="00FD3E15"/>
    <w:rsid w:val="00FD4876"/>
    <w:rsid w:val="00FD4FAA"/>
    <w:rsid w:val="00FD5EFF"/>
    <w:rsid w:val="00FD6800"/>
    <w:rsid w:val="00FD6FA8"/>
    <w:rsid w:val="00FD7991"/>
    <w:rsid w:val="00FD7B56"/>
    <w:rsid w:val="00FE107B"/>
    <w:rsid w:val="00FE265D"/>
    <w:rsid w:val="00FE28D5"/>
    <w:rsid w:val="00FE2F36"/>
    <w:rsid w:val="00FE30BB"/>
    <w:rsid w:val="00FE3363"/>
    <w:rsid w:val="00FE34B4"/>
    <w:rsid w:val="00FE4808"/>
    <w:rsid w:val="00FE4CAF"/>
    <w:rsid w:val="00FE5332"/>
    <w:rsid w:val="00FE733B"/>
    <w:rsid w:val="00FE7381"/>
    <w:rsid w:val="00FE784A"/>
    <w:rsid w:val="00FE7C36"/>
    <w:rsid w:val="00FF18D5"/>
    <w:rsid w:val="00FF1D5A"/>
    <w:rsid w:val="00FF2038"/>
    <w:rsid w:val="00FF2A59"/>
    <w:rsid w:val="00FF34A4"/>
    <w:rsid w:val="00FF3DD9"/>
    <w:rsid w:val="00FF4C33"/>
    <w:rsid w:val="00FF5BF4"/>
    <w:rsid w:val="00FF60F2"/>
    <w:rsid w:val="00FF6C20"/>
    <w:rsid w:val="00FF6D1B"/>
    <w:rsid w:val="00FF6D4B"/>
    <w:rsid w:val="0129178C"/>
    <w:rsid w:val="03D92099"/>
    <w:rsid w:val="058E5C21"/>
    <w:rsid w:val="06F27191"/>
    <w:rsid w:val="089263E8"/>
    <w:rsid w:val="0BFC5A62"/>
    <w:rsid w:val="16780A07"/>
    <w:rsid w:val="169467C8"/>
    <w:rsid w:val="16972B65"/>
    <w:rsid w:val="187F5D72"/>
    <w:rsid w:val="1E222BCB"/>
    <w:rsid w:val="202171B4"/>
    <w:rsid w:val="223D2E0A"/>
    <w:rsid w:val="24EF4017"/>
    <w:rsid w:val="252F4421"/>
    <w:rsid w:val="260942D1"/>
    <w:rsid w:val="26D64EA0"/>
    <w:rsid w:val="26E71201"/>
    <w:rsid w:val="28378824"/>
    <w:rsid w:val="285D6D9D"/>
    <w:rsid w:val="2C0A237D"/>
    <w:rsid w:val="2CFD5A71"/>
    <w:rsid w:val="2F5137A0"/>
    <w:rsid w:val="31F51FFD"/>
    <w:rsid w:val="34EC331F"/>
    <w:rsid w:val="35BF65AA"/>
    <w:rsid w:val="369F1CBC"/>
    <w:rsid w:val="36FDC548"/>
    <w:rsid w:val="3BB669B8"/>
    <w:rsid w:val="410968CD"/>
    <w:rsid w:val="42A22296"/>
    <w:rsid w:val="45D706C6"/>
    <w:rsid w:val="4861520C"/>
    <w:rsid w:val="48B30A10"/>
    <w:rsid w:val="4A110C46"/>
    <w:rsid w:val="4B326175"/>
    <w:rsid w:val="4BB1235F"/>
    <w:rsid w:val="4E3E6BCE"/>
    <w:rsid w:val="4FDA743C"/>
    <w:rsid w:val="52CB68A9"/>
    <w:rsid w:val="54374D47"/>
    <w:rsid w:val="5699587F"/>
    <w:rsid w:val="57FF08E6"/>
    <w:rsid w:val="59BE665C"/>
    <w:rsid w:val="5AB1072F"/>
    <w:rsid w:val="5ACC15D8"/>
    <w:rsid w:val="5D0A71BD"/>
    <w:rsid w:val="5DCD264D"/>
    <w:rsid w:val="5F871771"/>
    <w:rsid w:val="61BF5156"/>
    <w:rsid w:val="629D16B3"/>
    <w:rsid w:val="65931809"/>
    <w:rsid w:val="65942AD9"/>
    <w:rsid w:val="667667F7"/>
    <w:rsid w:val="67725897"/>
    <w:rsid w:val="690E3810"/>
    <w:rsid w:val="6A645B88"/>
    <w:rsid w:val="6AD26BE1"/>
    <w:rsid w:val="6BB74B4A"/>
    <w:rsid w:val="71564E4E"/>
    <w:rsid w:val="76BA00E3"/>
    <w:rsid w:val="79C55961"/>
    <w:rsid w:val="7E1F7DB5"/>
    <w:rsid w:val="7E97422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0"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link w:val="31"/>
    <w:qFormat/>
    <w:uiPriority w:val="0"/>
    <w:pPr>
      <w:adjustRightInd w:val="0"/>
      <w:spacing w:before="60" w:after="60" w:line="312" w:lineRule="atLeast"/>
      <w:ind w:firstLine="420"/>
      <w:textAlignment w:val="baseline"/>
    </w:pPr>
    <w:rPr>
      <w:szCs w:val="20"/>
    </w:r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32"/>
    <w:qFormat/>
    <w:uiPriority w:val="99"/>
  </w:style>
  <w:style w:type="paragraph" w:styleId="9">
    <w:name w:val="Body Text"/>
    <w:basedOn w:val="1"/>
    <w:link w:val="33"/>
    <w:qFormat/>
    <w:uiPriority w:val="0"/>
    <w:pPr>
      <w:spacing w:after="120"/>
    </w:pPr>
  </w:style>
  <w:style w:type="paragraph" w:styleId="10">
    <w:name w:val="Block Text"/>
    <w:basedOn w:val="1"/>
    <w:next w:val="9"/>
    <w:qFormat/>
    <w:uiPriority w:val="0"/>
    <w:pPr>
      <w:spacing w:after="120" w:line="240" w:lineRule="atLeast"/>
      <w:ind w:left="1134"/>
    </w:pPr>
    <w:rPr>
      <w:rFonts w:eastAsia="楷体_GB2312"/>
    </w:rPr>
  </w:style>
  <w:style w:type="paragraph" w:styleId="11">
    <w:name w:val="toc 3"/>
    <w:next w:val="1"/>
    <w:semiHidden/>
    <w:unhideWhenUsed/>
    <w:qFormat/>
    <w:uiPriority w:val="0"/>
    <w:pPr>
      <w:widowControl w:val="0"/>
      <w:adjustRightInd w:val="0"/>
      <w:snapToGrid w:val="0"/>
      <w:spacing w:line="360" w:lineRule="auto"/>
      <w:ind w:left="400" w:leftChars="400"/>
      <w:jc w:val="both"/>
    </w:pPr>
    <w:rPr>
      <w:rFonts w:ascii="Times New Roman" w:hAnsi="Times New Roman" w:eastAsia="宋体" w:cs="Times New Roman"/>
      <w:sz w:val="24"/>
      <w:szCs w:val="24"/>
      <w:lang w:val="en-US" w:eastAsia="zh-CN" w:bidi="ar-SA"/>
    </w:rPr>
  </w:style>
  <w:style w:type="paragraph" w:styleId="12">
    <w:name w:val="Balloon Text"/>
    <w:basedOn w:val="1"/>
    <w:link w:val="34"/>
    <w:qFormat/>
    <w:uiPriority w:val="0"/>
    <w:rPr>
      <w:sz w:val="18"/>
      <w:szCs w:val="18"/>
    </w:rPr>
  </w:style>
  <w:style w:type="paragraph" w:styleId="13">
    <w:name w:val="footer"/>
    <w:basedOn w:val="1"/>
    <w:link w:val="35"/>
    <w:qFormat/>
    <w:uiPriority w:val="99"/>
    <w:pPr>
      <w:tabs>
        <w:tab w:val="center" w:pos="4153"/>
        <w:tab w:val="right" w:pos="8306"/>
      </w:tabs>
      <w:snapToGrid w:val="0"/>
    </w:pPr>
    <w:rPr>
      <w:sz w:val="18"/>
      <w:szCs w:val="18"/>
    </w:rPr>
  </w:style>
  <w:style w:type="paragraph" w:styleId="14">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semiHidden/>
    <w:unhideWhenUsed/>
    <w:qFormat/>
    <w:uiPriority w:val="0"/>
    <w:pPr>
      <w:widowControl w:val="0"/>
      <w:adjustRightInd w:val="0"/>
      <w:snapToGrid w:val="0"/>
      <w:spacing w:line="360" w:lineRule="auto"/>
      <w:jc w:val="both"/>
    </w:pPr>
    <w:rPr>
      <w:rFonts w:ascii="Times New Roman" w:hAnsi="Times New Roman" w:eastAsia="宋体" w:cs="Times New Roman"/>
      <w:b/>
      <w:sz w:val="24"/>
      <w:szCs w:val="24"/>
      <w:lang w:val="en-US" w:eastAsia="zh-CN" w:bidi="ar-SA"/>
    </w:rPr>
  </w:style>
  <w:style w:type="paragraph" w:styleId="16">
    <w:name w:val="footnote text"/>
    <w:basedOn w:val="1"/>
    <w:link w:val="78"/>
    <w:semiHidden/>
    <w:unhideWhenUsed/>
    <w:qFormat/>
    <w:uiPriority w:val="0"/>
    <w:pPr>
      <w:snapToGrid w:val="0"/>
    </w:pPr>
    <w:rPr>
      <w:sz w:val="18"/>
    </w:rPr>
  </w:style>
  <w:style w:type="paragraph" w:styleId="17">
    <w:name w:val="toc 2"/>
    <w:next w:val="1"/>
    <w:semiHidden/>
    <w:unhideWhenUsed/>
    <w:qFormat/>
    <w:uiPriority w:val="0"/>
    <w:pPr>
      <w:widowControl w:val="0"/>
      <w:adjustRightInd w:val="0"/>
      <w:snapToGrid w:val="0"/>
      <w:spacing w:line="360" w:lineRule="auto"/>
      <w:ind w:left="200" w:leftChars="200"/>
      <w:jc w:val="both"/>
    </w:pPr>
    <w:rPr>
      <w:rFonts w:ascii="Times New Roman" w:hAnsi="Times New Roman" w:eastAsia="宋体" w:cs="Times New Roman"/>
      <w:sz w:val="24"/>
      <w:szCs w:val="24"/>
      <w:lang w:val="en-US" w:eastAsia="zh-CN" w:bidi="ar-SA"/>
    </w:rPr>
  </w:style>
  <w:style w:type="paragraph" w:styleId="18">
    <w:name w:val="Normal (Web)"/>
    <w:basedOn w:val="1"/>
    <w:qFormat/>
    <w:uiPriority w:val="0"/>
  </w:style>
  <w:style w:type="paragraph" w:styleId="19">
    <w:name w:val="annotation subject"/>
    <w:basedOn w:val="8"/>
    <w:next w:val="8"/>
    <w:link w:val="37"/>
    <w:qFormat/>
    <w:uiPriority w:val="0"/>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Elegant"/>
    <w:basedOn w:val="20"/>
    <w:semiHidden/>
    <w:unhideWhenUsed/>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4">
    <w:name w:val="page number"/>
    <w:basedOn w:val="23"/>
    <w:qFormat/>
    <w:uiPriority w:val="0"/>
  </w:style>
  <w:style w:type="character" w:styleId="25">
    <w:name w:val="Hyperlink"/>
    <w:basedOn w:val="23"/>
    <w:unhideWhenUsed/>
    <w:qFormat/>
    <w:uiPriority w:val="0"/>
    <w:rPr>
      <w:color w:val="0000FF" w:themeColor="hyperlink"/>
      <w:u w:val="single"/>
      <w14:textFill>
        <w14:solidFill>
          <w14:schemeClr w14:val="hlink"/>
        </w14:solidFill>
      </w14:textFill>
    </w:rPr>
  </w:style>
  <w:style w:type="character" w:styleId="26">
    <w:name w:val="annotation reference"/>
    <w:qFormat/>
    <w:uiPriority w:val="99"/>
    <w:rPr>
      <w:sz w:val="21"/>
      <w:szCs w:val="21"/>
    </w:rPr>
  </w:style>
  <w:style w:type="character" w:styleId="27">
    <w:name w:val="footnote reference"/>
    <w:basedOn w:val="23"/>
    <w:semiHidden/>
    <w:unhideWhenUsed/>
    <w:qFormat/>
    <w:uiPriority w:val="0"/>
    <w:rPr>
      <w:vertAlign w:val="superscript"/>
    </w:rPr>
  </w:style>
  <w:style w:type="character" w:customStyle="1" w:styleId="28">
    <w:name w:val="标题 1 字符"/>
    <w:link w:val="2"/>
    <w:qFormat/>
    <w:uiPriority w:val="0"/>
    <w:rPr>
      <w:rFonts w:eastAsia="宋体"/>
      <w:b/>
      <w:bCs/>
      <w:kern w:val="44"/>
      <w:sz w:val="44"/>
      <w:szCs w:val="44"/>
      <w:lang w:val="en-US" w:eastAsia="zh-CN" w:bidi="ar-SA"/>
    </w:rPr>
  </w:style>
  <w:style w:type="character" w:customStyle="1" w:styleId="29">
    <w:name w:val="标题 2 字符"/>
    <w:link w:val="3"/>
    <w:qFormat/>
    <w:uiPriority w:val="0"/>
    <w:rPr>
      <w:rFonts w:ascii="等线 Light" w:hAnsi="等线 Light" w:eastAsia="等线 Light" w:cs="Times New Roman"/>
      <w:b/>
      <w:bCs/>
      <w:kern w:val="2"/>
      <w:sz w:val="32"/>
      <w:szCs w:val="32"/>
    </w:rPr>
  </w:style>
  <w:style w:type="character" w:customStyle="1" w:styleId="30">
    <w:name w:val="标题 3 字符"/>
    <w:link w:val="4"/>
    <w:qFormat/>
    <w:uiPriority w:val="0"/>
    <w:rPr>
      <w:b/>
      <w:bCs/>
      <w:kern w:val="2"/>
      <w:sz w:val="32"/>
      <w:szCs w:val="32"/>
    </w:rPr>
  </w:style>
  <w:style w:type="character" w:customStyle="1" w:styleId="31">
    <w:name w:val="正文缩进 字符"/>
    <w:link w:val="6"/>
    <w:qFormat/>
    <w:uiPriority w:val="0"/>
    <w:rPr>
      <w:sz w:val="24"/>
    </w:rPr>
  </w:style>
  <w:style w:type="character" w:customStyle="1" w:styleId="32">
    <w:name w:val="批注文字 字符"/>
    <w:link w:val="8"/>
    <w:qFormat/>
    <w:uiPriority w:val="99"/>
    <w:rPr>
      <w:kern w:val="2"/>
      <w:sz w:val="21"/>
      <w:szCs w:val="24"/>
    </w:rPr>
  </w:style>
  <w:style w:type="character" w:customStyle="1" w:styleId="33">
    <w:name w:val="正文文本 字符"/>
    <w:link w:val="9"/>
    <w:qFormat/>
    <w:uiPriority w:val="0"/>
    <w:rPr>
      <w:kern w:val="2"/>
      <w:sz w:val="21"/>
      <w:szCs w:val="24"/>
    </w:rPr>
  </w:style>
  <w:style w:type="character" w:customStyle="1" w:styleId="34">
    <w:name w:val="批注框文本 字符"/>
    <w:link w:val="12"/>
    <w:qFormat/>
    <w:uiPriority w:val="0"/>
    <w:rPr>
      <w:kern w:val="2"/>
      <w:sz w:val="18"/>
      <w:szCs w:val="18"/>
    </w:rPr>
  </w:style>
  <w:style w:type="character" w:customStyle="1" w:styleId="35">
    <w:name w:val="页脚 字符"/>
    <w:link w:val="13"/>
    <w:qFormat/>
    <w:uiPriority w:val="99"/>
    <w:rPr>
      <w:kern w:val="2"/>
      <w:sz w:val="18"/>
      <w:szCs w:val="18"/>
    </w:rPr>
  </w:style>
  <w:style w:type="character" w:customStyle="1" w:styleId="36">
    <w:name w:val="页眉 字符"/>
    <w:link w:val="14"/>
    <w:qFormat/>
    <w:uiPriority w:val="0"/>
    <w:rPr>
      <w:kern w:val="2"/>
      <w:sz w:val="18"/>
      <w:szCs w:val="18"/>
    </w:rPr>
  </w:style>
  <w:style w:type="character" w:customStyle="1" w:styleId="37">
    <w:name w:val="批注主题 字符"/>
    <w:basedOn w:val="32"/>
    <w:link w:val="19"/>
    <w:qFormat/>
    <w:uiPriority w:val="0"/>
    <w:rPr>
      <w:kern w:val="2"/>
      <w:sz w:val="21"/>
      <w:szCs w:val="24"/>
    </w:rPr>
  </w:style>
  <w:style w:type="table" w:customStyle="1" w:styleId="38">
    <w:name w:val="网格型3"/>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正文（公告）"/>
    <w:basedOn w:val="1"/>
    <w:link w:val="40"/>
    <w:qFormat/>
    <w:uiPriority w:val="0"/>
    <w:pPr>
      <w:adjustRightInd w:val="0"/>
      <w:snapToGrid w:val="0"/>
      <w:spacing w:line="300" w:lineRule="auto"/>
      <w:ind w:firstLine="560" w:firstLineChars="200"/>
    </w:pPr>
    <w:rPr>
      <w:sz w:val="28"/>
      <w:szCs w:val="28"/>
    </w:rPr>
  </w:style>
  <w:style w:type="character" w:customStyle="1" w:styleId="40">
    <w:name w:val="正文（公告） 字符"/>
    <w:link w:val="39"/>
    <w:qFormat/>
    <w:uiPriority w:val="0"/>
    <w:rPr>
      <w:kern w:val="2"/>
      <w:sz w:val="28"/>
      <w:szCs w:val="28"/>
    </w:rPr>
  </w:style>
  <w:style w:type="paragraph" w:customStyle="1" w:styleId="41">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paragraph" w:customStyle="1" w:styleId="42">
    <w:name w:val="修订1"/>
    <w:hidden/>
    <w:semiHidden/>
    <w:qFormat/>
    <w:uiPriority w:val="99"/>
    <w:rPr>
      <w:rFonts w:ascii="宋体" w:hAnsi="宋体" w:eastAsia="宋体" w:cs="宋体"/>
      <w:sz w:val="24"/>
      <w:szCs w:val="24"/>
      <w:lang w:val="en-US" w:eastAsia="zh-CN" w:bidi="ar-SA"/>
    </w:rPr>
  </w:style>
  <w:style w:type="paragraph" w:customStyle="1" w:styleId="43">
    <w:name w:val="修订2"/>
    <w:hidden/>
    <w:semiHidden/>
    <w:qFormat/>
    <w:uiPriority w:val="99"/>
    <w:rPr>
      <w:rFonts w:ascii="宋体" w:hAnsi="宋体" w:eastAsia="宋体" w:cs="宋体"/>
      <w:sz w:val="24"/>
      <w:szCs w:val="24"/>
      <w:lang w:val="en-US" w:eastAsia="zh-CN" w:bidi="ar-SA"/>
    </w:rPr>
  </w:style>
  <w:style w:type="paragraph" w:customStyle="1" w:styleId="44">
    <w:name w:val="修订3"/>
    <w:hidden/>
    <w:semiHidden/>
    <w:qFormat/>
    <w:uiPriority w:val="99"/>
    <w:rPr>
      <w:rFonts w:ascii="宋体" w:hAnsi="宋体" w:eastAsia="宋体" w:cs="宋体"/>
      <w:sz w:val="24"/>
      <w:szCs w:val="24"/>
      <w:lang w:val="en-US" w:eastAsia="zh-CN" w:bidi="ar-SA"/>
    </w:rPr>
  </w:style>
  <w:style w:type="character" w:customStyle="1" w:styleId="45">
    <w:name w:val="font31"/>
    <w:basedOn w:val="23"/>
    <w:qFormat/>
    <w:uiPriority w:val="0"/>
    <w:rPr>
      <w:rFonts w:ascii="楷体_GB2312" w:eastAsia="楷体_GB2312" w:cs="楷体_GB2312"/>
      <w:color w:val="000000"/>
      <w:sz w:val="20"/>
      <w:szCs w:val="20"/>
      <w:u w:val="none"/>
    </w:rPr>
  </w:style>
  <w:style w:type="paragraph" w:styleId="46">
    <w:name w:val="List Paragraph"/>
    <w:basedOn w:val="1"/>
    <w:qFormat/>
    <w:uiPriority w:val="99"/>
    <w:pPr>
      <w:ind w:firstLine="420" w:firstLineChars="200"/>
    </w:pPr>
  </w:style>
  <w:style w:type="paragraph" w:customStyle="1" w:styleId="47">
    <w:name w:val="修订4"/>
    <w:hidden/>
    <w:semiHidden/>
    <w:qFormat/>
    <w:uiPriority w:val="99"/>
    <w:rPr>
      <w:rFonts w:ascii="宋体" w:hAnsi="宋体" w:eastAsia="宋体" w:cs="宋体"/>
      <w:sz w:val="24"/>
      <w:szCs w:val="24"/>
      <w:lang w:val="en-US" w:eastAsia="zh-CN" w:bidi="ar-SA"/>
    </w:rPr>
  </w:style>
  <w:style w:type="paragraph" w:customStyle="1" w:styleId="48">
    <w:name w:val="修订5"/>
    <w:hidden/>
    <w:semiHidden/>
    <w:qFormat/>
    <w:uiPriority w:val="99"/>
    <w:rPr>
      <w:rFonts w:ascii="宋体" w:hAnsi="宋体" w:eastAsia="宋体" w:cs="宋体"/>
      <w:sz w:val="24"/>
      <w:szCs w:val="24"/>
      <w:lang w:val="en-US" w:eastAsia="zh-CN" w:bidi="ar-SA"/>
    </w:rPr>
  </w:style>
  <w:style w:type="paragraph" w:customStyle="1" w:styleId="49">
    <w:name w:val="修订6"/>
    <w:hidden/>
    <w:semiHidden/>
    <w:qFormat/>
    <w:uiPriority w:val="99"/>
    <w:rPr>
      <w:rFonts w:ascii="宋体" w:hAnsi="宋体" w:eastAsia="宋体" w:cs="宋体"/>
      <w:sz w:val="24"/>
      <w:szCs w:val="24"/>
      <w:lang w:val="en-US" w:eastAsia="zh-CN" w:bidi="ar-SA"/>
    </w:rPr>
  </w:style>
  <w:style w:type="paragraph" w:customStyle="1" w:styleId="50">
    <w:name w:val="修订7"/>
    <w:hidden/>
    <w:unhideWhenUsed/>
    <w:qFormat/>
    <w:uiPriority w:val="99"/>
    <w:rPr>
      <w:rFonts w:ascii="宋体" w:hAnsi="宋体" w:eastAsia="宋体" w:cs="宋体"/>
      <w:sz w:val="24"/>
      <w:szCs w:val="24"/>
      <w:lang w:val="en-US" w:eastAsia="zh-CN" w:bidi="ar-SA"/>
    </w:rPr>
  </w:style>
  <w:style w:type="paragraph" w:customStyle="1" w:styleId="51">
    <w:name w:val="正文（Pros）"/>
    <w:next w:val="1"/>
    <w:link w:val="52"/>
    <w:qFormat/>
    <w:uiPriority w:val="0"/>
    <w:pPr>
      <w:widowControl w:val="0"/>
      <w:adjustRightInd w:val="0"/>
      <w:snapToGrid w:val="0"/>
      <w:spacing w:beforeLines="50" w:line="360" w:lineRule="auto"/>
      <w:ind w:firstLine="200" w:firstLineChars="200"/>
      <w:jc w:val="both"/>
    </w:pPr>
    <w:rPr>
      <w:rFonts w:ascii="Times New Roman" w:hAnsi="Times New Roman" w:eastAsia="宋体" w:cs="Times New Roman"/>
      <w:color w:val="000000"/>
      <w:sz w:val="24"/>
      <w:szCs w:val="28"/>
      <w:lang w:val="en-US" w:eastAsia="zh-CN" w:bidi="ar-SA"/>
    </w:rPr>
  </w:style>
  <w:style w:type="character" w:customStyle="1" w:styleId="52">
    <w:name w:val="正文（Pros） 字符"/>
    <w:basedOn w:val="23"/>
    <w:link w:val="51"/>
    <w:qFormat/>
    <w:uiPriority w:val="0"/>
    <w:rPr>
      <w:color w:val="000000"/>
      <w:sz w:val="24"/>
      <w:szCs w:val="28"/>
    </w:rPr>
  </w:style>
  <w:style w:type="paragraph" w:customStyle="1" w:styleId="53">
    <w:name w:val="项目列表（Pros）"/>
    <w:next w:val="1"/>
    <w:link w:val="54"/>
    <w:qFormat/>
    <w:uiPriority w:val="0"/>
    <w:pPr>
      <w:widowControl w:val="0"/>
      <w:adjustRightInd w:val="0"/>
      <w:snapToGrid w:val="0"/>
      <w:spacing w:beforeLines="50" w:line="360" w:lineRule="auto"/>
      <w:jc w:val="both"/>
    </w:pPr>
    <w:rPr>
      <w:rFonts w:ascii="Times New Roman" w:hAnsi="Times New Roman" w:eastAsia="宋体" w:cs="Times New Roman"/>
      <w:color w:val="000000"/>
      <w:sz w:val="24"/>
      <w:szCs w:val="28"/>
      <w:lang w:val="en-US" w:eastAsia="zh-CN" w:bidi="ar-SA"/>
    </w:rPr>
  </w:style>
  <w:style w:type="character" w:customStyle="1" w:styleId="54">
    <w:name w:val="项目列表（Pros） 字符"/>
    <w:basedOn w:val="23"/>
    <w:link w:val="53"/>
    <w:qFormat/>
    <w:uiPriority w:val="0"/>
    <w:rPr>
      <w:color w:val="000000"/>
      <w:sz w:val="24"/>
      <w:szCs w:val="28"/>
    </w:rPr>
  </w:style>
  <w:style w:type="paragraph" w:customStyle="1" w:styleId="55">
    <w:name w:val="标题1（Pros）"/>
    <w:next w:val="1"/>
    <w:link w:val="56"/>
    <w:qFormat/>
    <w:uiPriority w:val="0"/>
    <w:pPr>
      <w:keepNext/>
      <w:pageBreakBefore/>
      <w:widowControl w:val="0"/>
      <w:adjustRightInd w:val="0"/>
      <w:snapToGrid w:val="0"/>
      <w:spacing w:beforeLines="50" w:line="360" w:lineRule="auto"/>
      <w:jc w:val="center"/>
      <w:outlineLvl w:val="0"/>
    </w:pPr>
    <w:rPr>
      <w:rFonts w:ascii="Times New Roman" w:hAnsi="Times New Roman" w:eastAsia="黑体" w:cs="Times New Roman"/>
      <w:color w:val="000000"/>
      <w:sz w:val="32"/>
      <w:szCs w:val="28"/>
      <w:lang w:val="en-US" w:eastAsia="zh-CN" w:bidi="ar-SA"/>
    </w:rPr>
  </w:style>
  <w:style w:type="character" w:customStyle="1" w:styleId="56">
    <w:name w:val="标题1（Pros） 字符"/>
    <w:basedOn w:val="23"/>
    <w:link w:val="55"/>
    <w:qFormat/>
    <w:uiPriority w:val="0"/>
    <w:rPr>
      <w:rFonts w:eastAsia="黑体"/>
      <w:color w:val="000000"/>
      <w:sz w:val="32"/>
      <w:szCs w:val="28"/>
    </w:rPr>
  </w:style>
  <w:style w:type="paragraph" w:customStyle="1" w:styleId="57">
    <w:name w:val="标题2（Pros）"/>
    <w:next w:val="1"/>
    <w:link w:val="58"/>
    <w:qFormat/>
    <w:uiPriority w:val="0"/>
    <w:pPr>
      <w:keepNext/>
      <w:widowControl w:val="0"/>
      <w:adjustRightInd w:val="0"/>
      <w:snapToGrid w:val="0"/>
      <w:spacing w:beforeLines="50" w:line="360" w:lineRule="auto"/>
      <w:outlineLvl w:val="1"/>
    </w:pPr>
    <w:rPr>
      <w:rFonts w:ascii="Times New Roman" w:hAnsi="Times New Roman" w:eastAsia="黑体" w:cs="Times New Roman"/>
      <w:color w:val="000000"/>
      <w:sz w:val="28"/>
      <w:szCs w:val="28"/>
      <w:lang w:val="en-US" w:eastAsia="zh-CN" w:bidi="ar-SA"/>
    </w:rPr>
  </w:style>
  <w:style w:type="character" w:customStyle="1" w:styleId="58">
    <w:name w:val="标题2（Pros） 字符"/>
    <w:basedOn w:val="23"/>
    <w:link w:val="57"/>
    <w:qFormat/>
    <w:uiPriority w:val="0"/>
    <w:rPr>
      <w:rFonts w:eastAsia="黑体"/>
      <w:color w:val="000000"/>
      <w:sz w:val="28"/>
      <w:szCs w:val="28"/>
    </w:rPr>
  </w:style>
  <w:style w:type="paragraph" w:customStyle="1" w:styleId="59">
    <w:name w:val="标题3（Pros）"/>
    <w:next w:val="1"/>
    <w:link w:val="60"/>
    <w:qFormat/>
    <w:uiPriority w:val="0"/>
    <w:pPr>
      <w:keepNext/>
      <w:widowControl w:val="0"/>
      <w:adjustRightInd w:val="0"/>
      <w:snapToGrid w:val="0"/>
      <w:spacing w:beforeLines="50" w:line="360" w:lineRule="auto"/>
      <w:outlineLvl w:val="2"/>
    </w:pPr>
    <w:rPr>
      <w:rFonts w:ascii="Times New Roman" w:hAnsi="Times New Roman" w:eastAsia="黑体" w:cs="Times New Roman"/>
      <w:color w:val="000000"/>
      <w:sz w:val="24"/>
      <w:szCs w:val="28"/>
      <w:lang w:val="en-US" w:eastAsia="zh-CN" w:bidi="ar-SA"/>
    </w:rPr>
  </w:style>
  <w:style w:type="character" w:customStyle="1" w:styleId="60">
    <w:name w:val="标题3（Pros） 字符"/>
    <w:basedOn w:val="23"/>
    <w:link w:val="59"/>
    <w:qFormat/>
    <w:uiPriority w:val="0"/>
    <w:rPr>
      <w:rFonts w:eastAsia="黑体"/>
      <w:color w:val="000000"/>
      <w:sz w:val="24"/>
      <w:szCs w:val="28"/>
    </w:rPr>
  </w:style>
  <w:style w:type="paragraph" w:customStyle="1" w:styleId="61">
    <w:name w:val="标题4（Pros）"/>
    <w:next w:val="1"/>
    <w:link w:val="62"/>
    <w:qFormat/>
    <w:uiPriority w:val="0"/>
    <w:pPr>
      <w:widowControl w:val="0"/>
      <w:adjustRightInd w:val="0"/>
      <w:snapToGrid w:val="0"/>
      <w:spacing w:beforeLines="50" w:line="360" w:lineRule="auto"/>
      <w:ind w:firstLine="200" w:firstLineChars="200"/>
    </w:pPr>
    <w:rPr>
      <w:rFonts w:ascii="Times New Roman" w:hAnsi="Times New Roman" w:eastAsia="宋体" w:cs="Times New Roman"/>
      <w:b/>
      <w:color w:val="000000"/>
      <w:sz w:val="24"/>
      <w:szCs w:val="28"/>
      <w:lang w:val="en-US" w:eastAsia="zh-CN" w:bidi="ar-SA"/>
    </w:rPr>
  </w:style>
  <w:style w:type="character" w:customStyle="1" w:styleId="62">
    <w:name w:val="标题4（Pros） 字符"/>
    <w:basedOn w:val="23"/>
    <w:link w:val="61"/>
    <w:qFormat/>
    <w:uiPriority w:val="0"/>
    <w:rPr>
      <w:b/>
      <w:color w:val="000000"/>
      <w:sz w:val="24"/>
      <w:szCs w:val="28"/>
    </w:rPr>
  </w:style>
  <w:style w:type="character" w:customStyle="1" w:styleId="63">
    <w:name w:val="TOC Char（Pros）"/>
    <w:qFormat/>
    <w:uiPriority w:val="0"/>
    <w:rPr>
      <w:rFonts w:ascii="Times New Roman" w:hAnsi="Times New Roman" w:eastAsia="宋体" w:cs="Times New Roman"/>
      <w:color w:val="000000"/>
      <w:sz w:val="24"/>
      <w:szCs w:val="28"/>
    </w:rPr>
  </w:style>
  <w:style w:type="character" w:customStyle="1" w:styleId="64">
    <w:name w:val="山能-正文 字符"/>
    <w:link w:val="65"/>
    <w:qFormat/>
    <w:uiPriority w:val="0"/>
    <w:rPr>
      <w:rFonts w:ascii="仿宋_GB2312" w:eastAsia="仿宋_GB2312"/>
      <w:spacing w:val="-6"/>
      <w:sz w:val="32"/>
      <w:szCs w:val="40"/>
    </w:rPr>
  </w:style>
  <w:style w:type="paragraph" w:customStyle="1" w:styleId="65">
    <w:name w:val="山能-正文"/>
    <w:basedOn w:val="1"/>
    <w:link w:val="64"/>
    <w:qFormat/>
    <w:uiPriority w:val="0"/>
    <w:pPr>
      <w:widowControl w:val="0"/>
      <w:adjustRightInd w:val="0"/>
      <w:snapToGrid w:val="0"/>
      <w:spacing w:before="156" w:line="560" w:lineRule="exact"/>
      <w:ind w:firstLine="616" w:firstLineChars="200"/>
      <w:jc w:val="both"/>
    </w:pPr>
    <w:rPr>
      <w:rFonts w:ascii="仿宋_GB2312" w:hAnsi="Times New Roman" w:eastAsia="仿宋_GB2312" w:cs="Times New Roman"/>
      <w:spacing w:val="-6"/>
      <w:sz w:val="32"/>
      <w:szCs w:val="40"/>
    </w:rPr>
  </w:style>
  <w:style w:type="paragraph" w:customStyle="1" w:styleId="66">
    <w:name w:val="修订8"/>
    <w:hidden/>
    <w:unhideWhenUsed/>
    <w:qFormat/>
    <w:uiPriority w:val="99"/>
    <w:rPr>
      <w:rFonts w:ascii="宋体" w:hAnsi="宋体" w:eastAsia="宋体" w:cs="宋体"/>
      <w:sz w:val="24"/>
      <w:szCs w:val="24"/>
      <w:lang w:val="en-US" w:eastAsia="zh-CN" w:bidi="ar-SA"/>
    </w:rPr>
  </w:style>
  <w:style w:type="character" w:customStyle="1" w:styleId="67">
    <w:name w:val="未处理的提及1"/>
    <w:basedOn w:val="23"/>
    <w:semiHidden/>
    <w:unhideWhenUsed/>
    <w:qFormat/>
    <w:uiPriority w:val="99"/>
    <w:rPr>
      <w:color w:val="605E5C"/>
      <w:shd w:val="clear" w:color="auto" w:fill="E1DFDD"/>
    </w:rPr>
  </w:style>
  <w:style w:type="character" w:customStyle="1" w:styleId="68">
    <w:name w:val="标题 4 字符"/>
    <w:basedOn w:val="23"/>
    <w:link w:val="5"/>
    <w:semiHidden/>
    <w:qFormat/>
    <w:uiPriority w:val="0"/>
    <w:rPr>
      <w:rFonts w:asciiTheme="majorHAnsi" w:hAnsiTheme="majorHAnsi" w:eastAsiaTheme="majorEastAsia" w:cstheme="majorBidi"/>
      <w:b/>
      <w:bCs/>
      <w:sz w:val="28"/>
      <w:szCs w:val="28"/>
    </w:rPr>
  </w:style>
  <w:style w:type="paragraph" w:customStyle="1" w:styleId="69">
    <w:name w:val="修订9"/>
    <w:hidden/>
    <w:unhideWhenUsed/>
    <w:qFormat/>
    <w:uiPriority w:val="99"/>
    <w:rPr>
      <w:rFonts w:ascii="宋体" w:hAnsi="宋体" w:eastAsia="宋体" w:cs="宋体"/>
      <w:sz w:val="24"/>
      <w:szCs w:val="24"/>
      <w:lang w:val="en-US" w:eastAsia="zh-CN" w:bidi="ar-SA"/>
    </w:rPr>
  </w:style>
  <w:style w:type="paragraph" w:customStyle="1" w:styleId="70">
    <w:name w:val="目录"/>
    <w:basedOn w:val="1"/>
    <w:link w:val="71"/>
    <w:qFormat/>
    <w:uiPriority w:val="0"/>
    <w:pPr>
      <w:numPr>
        <w:ilvl w:val="0"/>
        <w:numId w:val="1"/>
      </w:numPr>
      <w:adjustRightInd w:val="0"/>
      <w:snapToGrid w:val="0"/>
      <w:spacing w:after="320" w:line="360" w:lineRule="exact"/>
      <w:outlineLvl w:val="0"/>
    </w:pPr>
    <w:rPr>
      <w:rFonts w:ascii="Arial" w:hAnsi="Arial" w:eastAsia="楷体_GB2312" w:cs="Times New Roman"/>
      <w:b/>
      <w:kern w:val="2"/>
    </w:rPr>
  </w:style>
  <w:style w:type="character" w:customStyle="1" w:styleId="71">
    <w:name w:val="目录 字符"/>
    <w:basedOn w:val="23"/>
    <w:link w:val="70"/>
    <w:qFormat/>
    <w:uiPriority w:val="0"/>
    <w:rPr>
      <w:rFonts w:ascii="Arial" w:hAnsi="Arial" w:eastAsia="楷体_GB2312"/>
      <w:b/>
      <w:kern w:val="2"/>
      <w:sz w:val="24"/>
      <w:szCs w:val="24"/>
    </w:rPr>
  </w:style>
  <w:style w:type="paragraph" w:customStyle="1" w:styleId="72">
    <w:name w:val="KWMCN-大标题"/>
    <w:next w:val="1"/>
    <w:link w:val="73"/>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character" w:customStyle="1" w:styleId="73">
    <w:name w:val="KWMCN-大标题 字符"/>
    <w:basedOn w:val="23"/>
    <w:link w:val="72"/>
    <w:qFormat/>
    <w:uiPriority w:val="0"/>
    <w:rPr>
      <w:rFonts w:ascii="Arial" w:hAnsi="Arial" w:eastAsia="楷体_GB2312"/>
      <w:b/>
      <w:kern w:val="2"/>
      <w:sz w:val="24"/>
      <w:szCs w:val="24"/>
    </w:rPr>
  </w:style>
  <w:style w:type="paragraph" w:customStyle="1" w:styleId="74">
    <w:name w:val="修订10"/>
    <w:hidden/>
    <w:unhideWhenUsed/>
    <w:qFormat/>
    <w:uiPriority w:val="99"/>
    <w:rPr>
      <w:rFonts w:ascii="宋体" w:hAnsi="宋体" w:eastAsia="宋体" w:cs="宋体"/>
      <w:sz w:val="24"/>
      <w:szCs w:val="24"/>
      <w:lang w:val="en-US" w:eastAsia="zh-CN" w:bidi="ar-SA"/>
    </w:rPr>
  </w:style>
  <w:style w:type="paragraph" w:customStyle="1" w:styleId="75">
    <w:name w:val="修订11"/>
    <w:hidden/>
    <w:semiHidden/>
    <w:qFormat/>
    <w:uiPriority w:val="99"/>
    <w:rPr>
      <w:rFonts w:ascii="宋体" w:hAnsi="宋体" w:eastAsia="宋体" w:cs="宋体"/>
      <w:sz w:val="24"/>
      <w:szCs w:val="24"/>
      <w:lang w:val="en-US" w:eastAsia="zh-CN" w:bidi="ar-SA"/>
    </w:rPr>
  </w:style>
  <w:style w:type="paragraph" w:customStyle="1" w:styleId="76">
    <w:name w:val="修订12"/>
    <w:hidden/>
    <w:unhideWhenUsed/>
    <w:qFormat/>
    <w:uiPriority w:val="99"/>
    <w:rPr>
      <w:rFonts w:ascii="宋体" w:hAnsi="宋体" w:eastAsia="宋体" w:cs="宋体"/>
      <w:sz w:val="24"/>
      <w:szCs w:val="24"/>
      <w:lang w:val="en-US" w:eastAsia="zh-CN" w:bidi="ar-SA"/>
    </w:rPr>
  </w:style>
  <w:style w:type="paragraph" w:customStyle="1" w:styleId="77">
    <w:name w:val="修订13"/>
    <w:hidden/>
    <w:unhideWhenUsed/>
    <w:qFormat/>
    <w:uiPriority w:val="99"/>
    <w:rPr>
      <w:rFonts w:ascii="宋体" w:hAnsi="宋体" w:eastAsia="宋体" w:cs="宋体"/>
      <w:sz w:val="24"/>
      <w:szCs w:val="24"/>
      <w:lang w:val="en-US" w:eastAsia="zh-CN" w:bidi="ar-SA"/>
    </w:rPr>
  </w:style>
  <w:style w:type="character" w:customStyle="1" w:styleId="78">
    <w:name w:val="脚注文本 字符"/>
    <w:basedOn w:val="23"/>
    <w:link w:val="16"/>
    <w:semiHidden/>
    <w:qFormat/>
    <w:uiPriority w:val="0"/>
    <w:rPr>
      <w:rFonts w:ascii="宋体" w:hAnsi="宋体" w:cs="宋体"/>
      <w:sz w:val="18"/>
      <w:szCs w:val="24"/>
    </w:rPr>
  </w:style>
  <w:style w:type="paragraph" w:customStyle="1" w:styleId="79">
    <w:name w:val="修订14"/>
    <w:hidden/>
    <w:unhideWhenUsed/>
    <w:qFormat/>
    <w:uiPriority w:val="99"/>
    <w:rPr>
      <w:rFonts w:ascii="宋体" w:hAnsi="宋体" w:eastAsia="宋体" w:cs="宋体"/>
      <w:sz w:val="24"/>
      <w:szCs w:val="24"/>
      <w:lang w:val="en-US" w:eastAsia="zh-CN" w:bidi="ar-SA"/>
    </w:rPr>
  </w:style>
  <w:style w:type="paragraph" w:customStyle="1" w:styleId="80">
    <w:name w:val="修订15"/>
    <w:hidden/>
    <w:unhideWhenUsed/>
    <w:qFormat/>
    <w:uiPriority w:val="99"/>
    <w:rPr>
      <w:rFonts w:ascii="宋体" w:hAnsi="宋体" w:eastAsia="宋体" w:cs="宋体"/>
      <w:sz w:val="24"/>
      <w:szCs w:val="24"/>
      <w:lang w:val="en-US" w:eastAsia="zh-CN" w:bidi="ar-SA"/>
    </w:rPr>
  </w:style>
  <w:style w:type="paragraph" w:customStyle="1" w:styleId="81">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9433D-6AC2-47D9-8D2D-3BAE579C47F9}">
  <ds:schemaRefs/>
</ds:datastoreItem>
</file>

<file path=docProps/app.xml><?xml version="1.0" encoding="utf-8"?>
<Properties xmlns="http://schemas.openxmlformats.org/officeDocument/2006/extended-properties" xmlns:vt="http://schemas.openxmlformats.org/officeDocument/2006/docPropsVTypes">
  <Template>Normal.dotm</Template>
  <Company>KWM</Company>
  <Pages>46</Pages>
  <Words>23930</Words>
  <Characters>28071</Characters>
  <Lines>212</Lines>
  <Paragraphs>59</Paragraphs>
  <TotalTime>162</TotalTime>
  <ScaleCrop>false</ScaleCrop>
  <LinksUpToDate>false</LinksUpToDate>
  <CharactersWithSpaces>28196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招股书</cp:category>
  <dcterms:created xsi:type="dcterms:W3CDTF">2023-04-28T05:19:00Z</dcterms:created>
  <dc:creator>sse</dc:creator>
  <cp:lastModifiedBy>YUANSU HU</cp:lastModifiedBy>
  <cp:lastPrinted>2025-04-02T10:31:00Z</cp:lastPrinted>
  <dcterms:modified xsi:type="dcterms:W3CDTF">2025-04-08T12:23:58Z</dcterms:modified>
  <dc:title>第十号 上市公司关联交易公告</dc:title>
  <cp:revision>533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4C08CC9D6B91466287FAF71EC30E960B</vt:lpwstr>
  </property>
  <property fmtid="{D5CDD505-2E9C-101B-9397-08002B2CF9AE}" pid="4" name="KSOTemplateDocerSaveRecord">
    <vt:lpwstr>eyJoZGlkIjoiZjM3ZDVmZjhkOTA2ZjVkODVlYWNhYmRhNTkzNmNlN2YiLCJ1c2VySWQiOiIyNTA3NDczMDUifQ==</vt:lpwstr>
  </property>
  <property fmtid="{D5CDD505-2E9C-101B-9397-08002B2CF9AE}" pid="5" name="5B77E7CEEC58BC6AFAE8886BEB80DBEB">
    <vt:lpwstr>otCYQxs9Dbw2bUEn/Soxv9pYAoWsCRIsU8+gIbxzzmNcJN13+qHIPyWmbF9hFzPHyi2m8DLwi54E5OVVM5pJ0yGmgAiYTaR6oYUdYZxdjep6I9xviFUFZ9aTScfBW9OG7TCCiEppADs5MXylQ0c9Ff4rR4LoI92uPjP7imGFlRg15HBL1k0ghZFM/TsiX1wVwiggzVE1TGaVibAkxBwjx0q31vOgK8sdohOyWYelBCg8LqlJKcfDrGOhUd2GX/qpBNsKARrtxnjPWgsTtd9X5AwniF9tP5BBUn3oGCUajaNujbQ/XI8tHjkk3hLa72zyarq4MLmVVsafy8veWuOCj1CeHKXMlSEks0Mm+RytJWWY5zjHgR5EnOPyw7CbcJUnQrS/CYPM6ngB9S4xbRpq0kFFHh5fTxbWvzYJag7zTbUeHuwhPe92BdcWG0vSxtrdj7I0DaTfwfNQRptsje4IZZZ5QHoRDdKPDEiIAWzGqUYZrDdSSwJBOuJ+5jePJ2QRoa5IKJ3folNYe3VpVtN6dgYnUUAD4VxLFHWuOFx+Dn94MF61nZk2tw+k4ipg5DlQOn3G3GHgQAUu9KM435aWF8CmA7KJdfpiRTHD/o3mlBUyHqWaWkPD/NbEz1hzNAL8</vt:lpwstr>
  </property>
</Properties>
</file>