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w:t>
      </w:r>
      <w:r>
        <w:rPr>
          <w:rFonts w:hint="eastAsia" w:ascii="黑体" w:hAnsi="黑体" w:eastAsia="黑体" w:cs="黑体"/>
          <w:color w:val="000000"/>
        </w:rPr>
        <w:t>02</w:t>
      </w:r>
      <w:r>
        <w:rPr>
          <w:rFonts w:hint="eastAsia" w:ascii="黑体" w:hAnsi="黑体" w:eastAsia="黑体" w:cs="黑体"/>
          <w:color w:val="000000"/>
          <w:lang w:val="en-US" w:eastAsia="zh-CN"/>
        </w:rPr>
        <w:t>5</w:t>
      </w:r>
      <w:r>
        <w:rPr>
          <w:rFonts w:hint="eastAsia" w:ascii="黑体" w:hAnsi="黑体" w:eastAsia="黑体" w:cs="黑体"/>
          <w:color w:val="000000"/>
        </w:rPr>
        <w:t>-0</w:t>
      </w:r>
      <w:r>
        <w:rPr>
          <w:rFonts w:hint="eastAsia" w:ascii="黑体" w:hAnsi="黑体" w:eastAsia="黑体" w:cs="黑体"/>
          <w:color w:val="000000"/>
          <w:lang w:val="en-US" w:eastAsia="zh-CN"/>
        </w:rPr>
        <w:t>17</w:t>
      </w:r>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rFonts w:ascii="黑体" w:eastAsia="黑体"/>
          <w:b/>
          <w:bCs/>
          <w:color w:val="FF0000"/>
          <w:sz w:val="36"/>
          <w:szCs w:val="36"/>
        </w:rPr>
      </w:pPr>
      <w:r>
        <w:rPr>
          <w:rFonts w:hint="eastAsia" w:ascii="黑体" w:eastAsia="黑体"/>
          <w:b/>
          <w:bCs/>
          <w:color w:val="FF0000"/>
          <w:sz w:val="36"/>
          <w:szCs w:val="36"/>
        </w:rPr>
        <w:t>202</w:t>
      </w:r>
      <w:r>
        <w:rPr>
          <w:rFonts w:hint="eastAsia" w:ascii="黑体" w:eastAsia="黑体"/>
          <w:b/>
          <w:bCs/>
          <w:color w:val="FF0000"/>
          <w:sz w:val="36"/>
          <w:szCs w:val="36"/>
          <w:lang w:val="en-US" w:eastAsia="zh-CN"/>
        </w:rPr>
        <w:t>4</w:t>
      </w:r>
      <w:r>
        <w:rPr>
          <w:rFonts w:hint="eastAsia" w:ascii="黑体" w:eastAsia="黑体"/>
          <w:b/>
          <w:bCs/>
          <w:color w:val="FF0000"/>
          <w:sz w:val="36"/>
          <w:szCs w:val="36"/>
        </w:rPr>
        <w:t>年度</w:t>
      </w:r>
      <w:bookmarkStart w:id="0" w:name="OLE_LINK1"/>
      <w:r>
        <w:rPr>
          <w:rFonts w:hint="eastAsia" w:ascii="黑体" w:eastAsia="黑体"/>
          <w:b/>
          <w:bCs/>
          <w:color w:val="FF0000"/>
          <w:sz w:val="36"/>
          <w:szCs w:val="36"/>
        </w:rPr>
        <w:t>利润分配方案</w:t>
      </w:r>
      <w:bookmarkEnd w:id="0"/>
      <w:r>
        <w:rPr>
          <w:rFonts w:hint="eastAsia" w:ascii="黑体" w:eastAsia="黑体"/>
          <w:b/>
          <w:bCs/>
          <w:color w:val="FF0000"/>
          <w:sz w:val="36"/>
          <w:szCs w:val="36"/>
        </w:rPr>
        <w:t>公告</w:t>
      </w:r>
    </w:p>
    <w:p>
      <w:pPr>
        <w:spacing w:line="500" w:lineRule="exact"/>
        <w:jc w:val="center"/>
        <w:rPr>
          <w:rFonts w:ascii="黑体" w:eastAsia="黑体"/>
          <w:b/>
          <w:bCs/>
          <w:color w:val="FF0000"/>
          <w:sz w:val="36"/>
          <w:szCs w:val="36"/>
        </w:rPr>
      </w:pPr>
      <w:r>
        <w:rPr>
          <w:rFonts w:ascii="黑体" w:eastAsia="黑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10160" t="8255" r="8890"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beforeLines="0" w:afterLines="0"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adjustRightInd w:val="0"/>
        <w:snapToGrid w:val="0"/>
        <w:spacing w:beforeLines="0" w:afterLines="0" w:line="520" w:lineRule="exact"/>
        <w:ind w:firstLine="539"/>
        <w:rPr>
          <w:rFonts w:hint="eastAsia" w:ascii="宋体" w:hAnsi="宋体" w:eastAsia="宋体"/>
          <w:color w:val="000000"/>
          <w:sz w:val="28"/>
          <w:szCs w:val="28"/>
          <w:lang w:eastAsia="zh-CN"/>
        </w:rPr>
      </w:pPr>
      <w:r>
        <w:rPr>
          <w:rFonts w:hint="eastAsia" w:ascii="宋体" w:hAnsi="宋体"/>
          <w:color w:val="000000"/>
          <w:sz w:val="28"/>
          <w:szCs w:val="28"/>
        </w:rPr>
        <w:t>● 每股分配比例：每股派发</w:t>
      </w:r>
      <w:r>
        <w:rPr>
          <w:rFonts w:hint="eastAsia" w:ascii="宋体" w:hAnsi="宋体"/>
          <w:color w:val="000000"/>
          <w:sz w:val="28"/>
          <w:szCs w:val="28"/>
          <w:lang w:val="en-US" w:eastAsia="zh-CN"/>
        </w:rPr>
        <w:t>末期现</w:t>
      </w:r>
      <w:r>
        <w:rPr>
          <w:rFonts w:hint="eastAsia" w:ascii="宋体" w:hAnsi="宋体"/>
          <w:color w:val="000000"/>
          <w:sz w:val="28"/>
          <w:szCs w:val="28"/>
        </w:rPr>
        <w:t>金</w:t>
      </w:r>
      <w:r>
        <w:rPr>
          <w:rFonts w:hint="eastAsia" w:ascii="宋体" w:hAnsi="宋体"/>
          <w:color w:val="000000"/>
          <w:sz w:val="28"/>
          <w:szCs w:val="28"/>
          <w:lang w:val="en-US" w:eastAsia="zh-CN"/>
        </w:rPr>
        <w:t>股</w:t>
      </w:r>
      <w:r>
        <w:rPr>
          <w:rFonts w:hint="eastAsia" w:ascii="宋体" w:hAnsi="宋体" w:eastAsia="宋体" w:cs="宋体"/>
          <w:color w:val="000000"/>
          <w:sz w:val="28"/>
          <w:szCs w:val="28"/>
        </w:rPr>
        <w:t>利</w:t>
      </w:r>
      <w:bookmarkStart w:id="16" w:name="_GoBack"/>
      <w:bookmarkEnd w:id="16"/>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0.54</w:t>
      </w:r>
      <w:r>
        <w:rPr>
          <w:rFonts w:hint="eastAsia" w:ascii="宋体" w:hAnsi="宋体" w:eastAsia="宋体" w:cs="宋体"/>
          <w:color w:val="000000"/>
          <w:sz w:val="28"/>
          <w:szCs w:val="28"/>
        </w:rPr>
        <w:t>元</w:t>
      </w:r>
      <w:r>
        <w:rPr>
          <w:rFonts w:hint="eastAsia" w:ascii="宋体" w:hAnsi="宋体"/>
          <w:color w:val="000000"/>
          <w:sz w:val="28"/>
          <w:szCs w:val="28"/>
        </w:rPr>
        <w:t>（含税）</w:t>
      </w:r>
      <w:r>
        <w:rPr>
          <w:rFonts w:hint="eastAsia" w:ascii="宋体" w:hAnsi="宋体"/>
          <w:color w:val="000000"/>
          <w:sz w:val="28"/>
          <w:szCs w:val="28"/>
          <w:lang w:eastAsia="zh-CN"/>
        </w:rPr>
        <w:t>。</w:t>
      </w:r>
    </w:p>
    <w:p>
      <w:pPr>
        <w:adjustRightInd w:val="0"/>
        <w:snapToGrid w:val="0"/>
        <w:spacing w:beforeLines="0" w:afterLines="0" w:line="520" w:lineRule="exact"/>
        <w:ind w:firstLine="539"/>
        <w:rPr>
          <w:rFonts w:ascii="宋体" w:hAnsi="宋体"/>
          <w:color w:val="000000"/>
          <w:sz w:val="28"/>
          <w:szCs w:val="28"/>
        </w:rPr>
      </w:pPr>
      <w:r>
        <w:rPr>
          <w:rFonts w:hint="eastAsia" w:ascii="宋体" w:hAnsi="宋体"/>
          <w:color w:val="000000"/>
          <w:sz w:val="28"/>
          <w:szCs w:val="28"/>
        </w:rPr>
        <w:t>● 本次利润分配以实施权益分派股权登记日登记的总股本为基数，具体日期将在权益分派实施公告中明确。</w:t>
      </w:r>
    </w:p>
    <w:p>
      <w:pPr>
        <w:adjustRightInd w:val="0"/>
        <w:snapToGrid w:val="0"/>
        <w:spacing w:beforeLines="0" w:afterLines="0" w:line="520" w:lineRule="exact"/>
        <w:ind w:firstLine="539"/>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highlight w:val="none"/>
        </w:rPr>
        <w:t>在实施权益分派的股权登记日前公司总股本发生变动的，拟维持每股分配</w:t>
      </w:r>
      <w:r>
        <w:rPr>
          <w:rFonts w:hint="eastAsia" w:ascii="宋体" w:hAnsi="宋体"/>
          <w:color w:val="000000"/>
          <w:sz w:val="28"/>
          <w:szCs w:val="28"/>
          <w:highlight w:val="none"/>
          <w:lang w:val="en-US" w:eastAsia="zh-CN"/>
        </w:rPr>
        <w:t>金额</w:t>
      </w:r>
      <w:r>
        <w:rPr>
          <w:rFonts w:hint="eastAsia" w:ascii="宋体" w:hAnsi="宋体"/>
          <w:color w:val="000000"/>
          <w:sz w:val="28"/>
          <w:szCs w:val="28"/>
          <w:highlight w:val="none"/>
        </w:rPr>
        <w:t>不变，相应调整分配总额，并另行公告具体调整情况。</w:t>
      </w:r>
    </w:p>
    <w:p>
      <w:pPr>
        <w:adjustRightInd w:val="0"/>
        <w:snapToGrid w:val="0"/>
        <w:spacing w:beforeLines="0" w:afterLines="0" w:line="520" w:lineRule="exact"/>
        <w:ind w:firstLine="539"/>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560" w:firstLineChars="200"/>
        <w:textAlignment w:val="auto"/>
        <w:rPr>
          <w:rFonts w:hint="eastAsia" w:ascii="宋体" w:hAnsi="宋体" w:cs="Times New Roman"/>
          <w:color w:val="000000"/>
          <w:sz w:val="28"/>
          <w:szCs w:val="28"/>
          <w:lang w:val="en-US" w:eastAsia="zh-CN"/>
        </w:rPr>
      </w:pPr>
      <w:r>
        <w:rPr>
          <w:rFonts w:hint="eastAsia" w:ascii="宋体" w:hAnsi="宋体" w:cs="Times New Roman"/>
          <w:color w:val="000000"/>
          <w:sz w:val="28"/>
          <w:szCs w:val="28"/>
          <w:lang w:val="en-US" w:eastAsia="zh-CN"/>
        </w:rPr>
        <w:t>经2023年10月27日召开的兖矿能源集团股份有限公司（“公司”）第一次临时股东大会批准，公司</w:t>
      </w:r>
      <w:bookmarkStart w:id="1" w:name="_Hlk53559887"/>
      <w:r>
        <w:rPr>
          <w:rFonts w:hint="eastAsia" w:ascii="宋体" w:hAnsi="宋体" w:cs="Times New Roman"/>
          <w:color w:val="000000"/>
          <w:sz w:val="28"/>
          <w:szCs w:val="28"/>
          <w:lang w:val="en-US" w:eastAsia="zh-CN"/>
        </w:rPr>
        <w:t>2023—2025年度利润分配政策调整为：</w:t>
      </w:r>
      <w:bookmarkStart w:id="2" w:name="_Hlk53302505"/>
      <w:r>
        <w:rPr>
          <w:rFonts w:hint="eastAsia" w:ascii="宋体" w:hAnsi="宋体" w:cs="Times New Roman"/>
          <w:color w:val="000000"/>
          <w:sz w:val="28"/>
          <w:szCs w:val="28"/>
          <w:lang w:val="en-US" w:eastAsia="zh-CN"/>
        </w:rPr>
        <w:t>以中国会计准则和国际财务报告准则财务报表税后利润数较少者为准，公司在各会计年度分配的现金股利总额，应占公司该年度</w:t>
      </w:r>
      <w:bookmarkStart w:id="3" w:name="OLE_LINK5"/>
      <w:r>
        <w:rPr>
          <w:rFonts w:hint="eastAsia" w:ascii="宋体" w:hAnsi="宋体" w:cs="Times New Roman"/>
          <w:color w:val="000000"/>
          <w:sz w:val="28"/>
          <w:szCs w:val="28"/>
          <w:lang w:val="en-US" w:eastAsia="zh-CN"/>
        </w:rPr>
        <w:t>扣除法定储备后</w:t>
      </w:r>
      <w:bookmarkEnd w:id="3"/>
      <w:r>
        <w:rPr>
          <w:rFonts w:hint="eastAsia" w:ascii="宋体" w:hAnsi="宋体" w:cs="Times New Roman"/>
          <w:color w:val="000000"/>
          <w:sz w:val="28"/>
          <w:szCs w:val="28"/>
          <w:lang w:val="en-US" w:eastAsia="zh-CN"/>
        </w:rPr>
        <w:t>净利润的约百分之六十，且每股现金股利不低于人民币0.5元。</w:t>
      </w:r>
      <w:bookmarkEnd w:id="1"/>
      <w:bookmarkEnd w:id="2"/>
    </w:p>
    <w:p>
      <w:pPr>
        <w:adjustRightInd w:val="0"/>
        <w:snapToGrid w:val="0"/>
        <w:spacing w:beforeLines="0" w:afterLines="0" w:line="520" w:lineRule="exact"/>
        <w:ind w:firstLine="539"/>
        <w:rPr>
          <w:rFonts w:ascii="宋体" w:hAnsi="宋体"/>
          <w:b/>
          <w:color w:val="000000"/>
          <w:sz w:val="28"/>
          <w:szCs w:val="28"/>
        </w:rPr>
      </w:pPr>
      <w:r>
        <w:rPr>
          <w:rFonts w:hint="eastAsia" w:ascii="宋体" w:hAnsi="宋体"/>
          <w:b/>
          <w:color w:val="000000"/>
          <w:sz w:val="28"/>
          <w:szCs w:val="28"/>
        </w:rPr>
        <w:t>一、利润分配方案内容</w:t>
      </w:r>
    </w:p>
    <w:p>
      <w:pPr>
        <w:autoSpaceDE w:val="0"/>
        <w:autoSpaceDN w:val="0"/>
        <w:adjustRightInd w:val="0"/>
        <w:snapToGrid w:val="0"/>
        <w:spacing w:line="560" w:lineRule="exact"/>
        <w:ind w:firstLine="560" w:firstLineChars="200"/>
        <w:rPr>
          <w:rFonts w:hint="eastAsia" w:ascii="楷体_GB2312" w:hAnsi="楷体_GB2312" w:eastAsia="楷体_GB2312" w:cs="楷体_GB2312"/>
          <w:b/>
          <w:color w:val="000000"/>
          <w:kern w:val="0"/>
          <w:sz w:val="28"/>
          <w:szCs w:val="28"/>
        </w:rPr>
      </w:pPr>
      <w:r>
        <w:rPr>
          <w:rFonts w:hint="eastAsia" w:ascii="楷体_GB2312" w:hAnsi="楷体_GB2312" w:eastAsia="楷体_GB2312" w:cs="楷体_GB2312"/>
          <w:b/>
          <w:color w:val="000000"/>
          <w:kern w:val="0"/>
          <w:sz w:val="28"/>
          <w:szCs w:val="28"/>
        </w:rPr>
        <w:t>（一）利润分配方案的具体内容</w:t>
      </w:r>
    </w:p>
    <w:p>
      <w:pPr>
        <w:spacing w:beforeLines="0" w:afterLines="0" w:line="520" w:lineRule="exact"/>
        <w:ind w:firstLine="630"/>
        <w:rPr>
          <w:rFonts w:hint="default" w:ascii="宋体" w:hAnsi="宋体" w:eastAsia="宋体"/>
          <w:color w:val="000000"/>
          <w:sz w:val="28"/>
          <w:szCs w:val="28"/>
          <w:lang w:val="en-US" w:eastAsia="zh-CN"/>
        </w:rPr>
      </w:pPr>
      <w:r>
        <w:rPr>
          <w:rFonts w:hint="eastAsia" w:ascii="宋体" w:hAnsi="宋体"/>
          <w:color w:val="000000"/>
          <w:sz w:val="28"/>
          <w:szCs w:val="28"/>
        </w:rPr>
        <w:t>经</w:t>
      </w:r>
      <w:r>
        <w:rPr>
          <w:rFonts w:hint="eastAsia" w:ascii="宋体" w:hAnsi="宋体"/>
          <w:color w:val="000000"/>
          <w:sz w:val="28"/>
          <w:szCs w:val="28"/>
          <w:lang w:val="en-US" w:eastAsia="zh-CN"/>
        </w:rPr>
        <w:t>天职国际</w:t>
      </w:r>
      <w:r>
        <w:rPr>
          <w:rFonts w:hint="eastAsia" w:ascii="宋体" w:hAnsi="宋体"/>
          <w:color w:val="000000"/>
          <w:sz w:val="28"/>
          <w:szCs w:val="28"/>
        </w:rPr>
        <w:t>会计师事务所（特殊普通合伙）审计确认，</w:t>
      </w:r>
      <w:r>
        <w:rPr>
          <w:rFonts w:hint="eastAsia" w:ascii="宋体" w:hAnsi="宋体"/>
          <w:color w:val="000000"/>
          <w:sz w:val="28"/>
          <w:szCs w:val="28"/>
          <w:lang w:val="en-US" w:eastAsia="zh-CN"/>
        </w:rPr>
        <w:t>截至2024年12月31日，公司母公司报表期末未分配</w:t>
      </w:r>
      <w:r>
        <w:rPr>
          <w:rFonts w:hint="eastAsia" w:ascii="宋体" w:hAnsi="宋体" w:eastAsia="宋体" w:cs="宋体"/>
          <w:color w:val="000000"/>
          <w:sz w:val="28"/>
          <w:szCs w:val="28"/>
          <w:lang w:val="en-US" w:eastAsia="zh-CN"/>
        </w:rPr>
        <w:t>利润为</w:t>
      </w:r>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91.75亿</w:t>
      </w:r>
      <w:r>
        <w:rPr>
          <w:rFonts w:hint="eastAsia" w:ascii="宋体" w:hAnsi="宋体"/>
          <w:color w:val="000000"/>
          <w:sz w:val="28"/>
          <w:szCs w:val="28"/>
          <w:lang w:val="en-US" w:eastAsia="zh-CN"/>
        </w:rPr>
        <w:t>元。经董事会决议，公司2024年度拟以</w:t>
      </w:r>
      <w:r>
        <w:rPr>
          <w:rFonts w:hint="eastAsia" w:ascii="宋体" w:hAnsi="宋体"/>
          <w:color w:val="000000"/>
          <w:sz w:val="28"/>
          <w:szCs w:val="28"/>
        </w:rPr>
        <w:t>实施权益分派股权登记日登记的总股本为基数</w:t>
      </w:r>
      <w:r>
        <w:rPr>
          <w:rFonts w:hint="eastAsia" w:ascii="宋体" w:hAnsi="宋体"/>
          <w:color w:val="000000"/>
          <w:sz w:val="28"/>
          <w:szCs w:val="28"/>
          <w:lang w:val="en-US" w:eastAsia="zh-CN"/>
        </w:rPr>
        <w:t>分配利润。本次利润分配方案如下：</w:t>
      </w:r>
    </w:p>
    <w:p>
      <w:pPr>
        <w:spacing w:beforeLines="0" w:afterLines="0" w:line="520" w:lineRule="exact"/>
        <w:ind w:firstLine="630"/>
        <w:rPr>
          <w:rFonts w:hint="eastAsia" w:ascii="宋体" w:hAnsi="宋体" w:eastAsia="宋体"/>
          <w:color w:val="000000"/>
          <w:sz w:val="28"/>
          <w:szCs w:val="28"/>
          <w:lang w:val="en-US" w:eastAsia="zh-CN"/>
        </w:rPr>
      </w:pPr>
      <w:bookmarkStart w:id="4" w:name="OLE_LINK4"/>
      <w:r>
        <w:rPr>
          <w:rFonts w:hint="eastAsia" w:ascii="宋体" w:hAnsi="宋体"/>
          <w:color w:val="000000"/>
          <w:sz w:val="28"/>
          <w:szCs w:val="28"/>
        </w:rPr>
        <w:t>公司拟向全体股东</w:t>
      </w:r>
      <w:r>
        <w:rPr>
          <w:rFonts w:hint="eastAsia" w:ascii="宋体" w:hAnsi="宋体"/>
          <w:color w:val="000000"/>
          <w:sz w:val="28"/>
          <w:szCs w:val="28"/>
          <w:lang w:val="en-US" w:eastAsia="zh-CN"/>
        </w:rPr>
        <w:t>派发末期</w:t>
      </w:r>
      <w:r>
        <w:rPr>
          <w:rFonts w:hint="eastAsia" w:ascii="宋体" w:hAnsi="宋体"/>
          <w:color w:val="000000"/>
          <w:sz w:val="28"/>
          <w:szCs w:val="28"/>
        </w:rPr>
        <w:t>现金股</w:t>
      </w:r>
      <w:r>
        <w:rPr>
          <w:rFonts w:hint="eastAsia" w:ascii="宋体" w:hAnsi="宋体" w:eastAsia="宋体" w:cs="宋体"/>
          <w:color w:val="000000"/>
          <w:sz w:val="28"/>
          <w:szCs w:val="28"/>
        </w:rPr>
        <w:t>利</w:t>
      </w:r>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0.54</w:t>
      </w:r>
      <w:r>
        <w:rPr>
          <w:rFonts w:hint="eastAsia" w:ascii="宋体" w:hAnsi="宋体" w:eastAsia="宋体" w:cs="宋体"/>
          <w:color w:val="000000"/>
          <w:sz w:val="28"/>
          <w:szCs w:val="28"/>
        </w:rPr>
        <w:t>元</w:t>
      </w:r>
      <w:r>
        <w:rPr>
          <w:rFonts w:hint="eastAsia" w:ascii="宋体" w:hAnsi="宋体" w:cs="宋体"/>
          <w:color w:val="000000"/>
          <w:sz w:val="28"/>
          <w:szCs w:val="28"/>
          <w:lang w:val="en-US" w:eastAsia="zh-CN"/>
        </w:rPr>
        <w:t>/股</w:t>
      </w:r>
      <w:r>
        <w:rPr>
          <w:rFonts w:hint="eastAsia" w:ascii="宋体" w:hAnsi="宋体" w:eastAsia="宋体" w:cs="宋体"/>
          <w:color w:val="000000"/>
          <w:sz w:val="28"/>
          <w:szCs w:val="28"/>
        </w:rPr>
        <w:t>（</w:t>
      </w:r>
      <w:r>
        <w:rPr>
          <w:rFonts w:hint="eastAsia" w:ascii="宋体" w:hAnsi="宋体"/>
          <w:color w:val="000000"/>
          <w:sz w:val="28"/>
          <w:szCs w:val="28"/>
        </w:rPr>
        <w:t>含税）</w:t>
      </w:r>
      <w:bookmarkEnd w:id="4"/>
      <w:r>
        <w:rPr>
          <w:rFonts w:hint="eastAsia" w:ascii="宋体" w:hAnsi="宋体"/>
          <w:color w:val="000000"/>
          <w:sz w:val="28"/>
          <w:szCs w:val="28"/>
          <w:highlight w:val="none"/>
        </w:rPr>
        <w:t>。</w:t>
      </w:r>
      <w:r>
        <w:rPr>
          <w:rFonts w:hint="eastAsia" w:ascii="宋体" w:hAnsi="宋体"/>
          <w:color w:val="000000"/>
          <w:sz w:val="28"/>
          <w:szCs w:val="28"/>
        </w:rPr>
        <w:t>截至202</w:t>
      </w:r>
      <w:r>
        <w:rPr>
          <w:rFonts w:hint="eastAsia" w:ascii="宋体" w:hAnsi="宋体"/>
          <w:color w:val="000000"/>
          <w:sz w:val="28"/>
          <w:szCs w:val="28"/>
          <w:lang w:val="en-US" w:eastAsia="zh-CN"/>
        </w:rPr>
        <w:t>4</w:t>
      </w:r>
      <w:r>
        <w:rPr>
          <w:rFonts w:hint="eastAsia" w:ascii="宋体" w:hAnsi="宋体"/>
          <w:color w:val="000000"/>
          <w:sz w:val="28"/>
          <w:szCs w:val="28"/>
        </w:rPr>
        <w:t>年12月31日，公司总股本为10,039,860,402股，以此计算合计拟派发</w:t>
      </w:r>
      <w:r>
        <w:rPr>
          <w:rFonts w:hint="eastAsia" w:ascii="宋体" w:hAnsi="宋体"/>
          <w:color w:val="000000"/>
          <w:sz w:val="28"/>
          <w:szCs w:val="28"/>
          <w:lang w:val="en-US" w:eastAsia="zh-CN"/>
        </w:rPr>
        <w:t>末期</w:t>
      </w:r>
      <w:r>
        <w:rPr>
          <w:rFonts w:hint="eastAsia" w:ascii="宋体" w:hAnsi="宋体"/>
          <w:color w:val="000000"/>
          <w:sz w:val="28"/>
          <w:szCs w:val="28"/>
        </w:rPr>
        <w:t>现金</w:t>
      </w:r>
      <w:r>
        <w:rPr>
          <w:rFonts w:hint="eastAsia" w:ascii="宋体" w:hAnsi="宋体"/>
          <w:color w:val="000000"/>
          <w:sz w:val="28"/>
          <w:szCs w:val="28"/>
          <w:lang w:val="en-US" w:eastAsia="zh-CN"/>
        </w:rPr>
        <w:t>股利</w:t>
      </w:r>
      <w:r>
        <w:rPr>
          <w:rFonts w:hint="eastAsia" w:ascii="宋体" w:hAnsi="宋体" w:cs="宋体"/>
          <w:color w:val="000000"/>
          <w:sz w:val="28"/>
          <w:szCs w:val="28"/>
          <w:lang w:val="en-US" w:eastAsia="zh-CN"/>
        </w:rPr>
        <w:t>人民币</w:t>
      </w:r>
      <w:r>
        <w:rPr>
          <w:rFonts w:hint="eastAsia" w:ascii="宋体" w:hAnsi="宋体" w:eastAsia="宋体" w:cs="宋体"/>
          <w:color w:val="000000"/>
          <w:sz w:val="28"/>
          <w:szCs w:val="28"/>
          <w:lang w:val="en-US" w:eastAsia="zh-CN"/>
        </w:rPr>
        <w:t>5,421,524,617</w:t>
      </w:r>
      <w:r>
        <w:rPr>
          <w:rFonts w:hint="eastAsia" w:ascii="宋体" w:hAnsi="宋体" w:eastAsia="宋体" w:cs="宋体"/>
          <w:color w:val="000000"/>
          <w:sz w:val="28"/>
          <w:szCs w:val="28"/>
        </w:rPr>
        <w:t>元</w:t>
      </w:r>
      <w:r>
        <w:rPr>
          <w:rFonts w:hint="eastAsia" w:ascii="宋体" w:hAnsi="宋体"/>
          <w:color w:val="000000"/>
          <w:sz w:val="28"/>
          <w:szCs w:val="28"/>
        </w:rPr>
        <w:t>（含税）</w:t>
      </w:r>
      <w:r>
        <w:rPr>
          <w:rFonts w:hint="eastAsia" w:ascii="宋体" w:hAnsi="宋体"/>
          <w:color w:val="000000"/>
          <w:sz w:val="28"/>
          <w:szCs w:val="28"/>
          <w:lang w:eastAsia="zh-CN"/>
        </w:rPr>
        <w:t>。</w:t>
      </w:r>
      <w:r>
        <w:rPr>
          <w:rFonts w:hint="eastAsia" w:ascii="宋体" w:hAnsi="宋体"/>
          <w:color w:val="000000"/>
          <w:sz w:val="28"/>
          <w:szCs w:val="28"/>
        </w:rPr>
        <w:t>本年度公司现金分红（包括中期已分配的现金红利）总额</w:t>
      </w:r>
      <w:bookmarkStart w:id="5" w:name="OLE_LINK6"/>
      <w:r>
        <w:rPr>
          <w:rFonts w:hint="eastAsia" w:ascii="宋体" w:hAnsi="宋体"/>
          <w:color w:val="000000"/>
          <w:sz w:val="28"/>
          <w:szCs w:val="28"/>
          <w:lang w:val="en-US" w:eastAsia="zh-CN"/>
        </w:rPr>
        <w:t>人民币</w:t>
      </w:r>
      <w:r>
        <w:rPr>
          <w:rFonts w:hint="eastAsia" w:ascii="宋体" w:hAnsi="宋体" w:eastAsia="宋体" w:cs="宋体"/>
          <w:color w:val="000000"/>
          <w:sz w:val="28"/>
          <w:szCs w:val="28"/>
          <w:lang w:val="en-US" w:eastAsia="zh-CN"/>
        </w:rPr>
        <w:t>7,730,692</w:t>
      </w:r>
      <w:bookmarkStart w:id="6" w:name="OLE_LINK19"/>
      <w:r>
        <w:rPr>
          <w:rFonts w:hint="eastAsia" w:ascii="宋体" w:hAnsi="宋体" w:eastAsia="宋体" w:cs="宋体"/>
          <w:color w:val="000000"/>
          <w:sz w:val="28"/>
          <w:szCs w:val="28"/>
          <w:lang w:val="en-US" w:eastAsia="zh-CN"/>
        </w:rPr>
        <w:t>,509</w:t>
      </w:r>
      <w:bookmarkEnd w:id="5"/>
      <w:bookmarkEnd w:id="6"/>
      <w:r>
        <w:rPr>
          <w:rFonts w:hint="eastAsia" w:ascii="宋体" w:hAnsi="宋体" w:eastAsia="宋体" w:cs="宋体"/>
          <w:color w:val="000000"/>
          <w:sz w:val="28"/>
          <w:szCs w:val="28"/>
        </w:rPr>
        <w:t>元</w:t>
      </w:r>
      <w:r>
        <w:rPr>
          <w:rFonts w:hint="eastAsia" w:ascii="宋体" w:hAnsi="宋体"/>
          <w:color w:val="000000"/>
          <w:sz w:val="28"/>
          <w:szCs w:val="28"/>
        </w:rPr>
        <w:t>（含税）</w:t>
      </w:r>
      <w:r>
        <w:rPr>
          <w:rFonts w:hint="eastAsia" w:ascii="宋体" w:hAnsi="宋体"/>
          <w:color w:val="000000"/>
          <w:sz w:val="28"/>
          <w:szCs w:val="28"/>
          <w:lang w:eastAsia="zh-CN"/>
        </w:rPr>
        <w:t>，</w:t>
      </w:r>
      <w:bookmarkStart w:id="7" w:name="OLE_LINK2"/>
      <w:r>
        <w:rPr>
          <w:rFonts w:hint="eastAsia" w:ascii="宋体" w:hAnsi="宋体"/>
          <w:color w:val="000000"/>
          <w:sz w:val="28"/>
          <w:szCs w:val="28"/>
        </w:rPr>
        <w:t>占</w:t>
      </w:r>
      <w:r>
        <w:rPr>
          <w:rFonts w:hint="eastAsia" w:ascii="宋体" w:hAnsi="宋体"/>
          <w:color w:val="000000"/>
          <w:sz w:val="28"/>
          <w:szCs w:val="28"/>
          <w:lang w:val="en-US" w:eastAsia="zh-CN"/>
        </w:rPr>
        <w:t>本年度</w:t>
      </w:r>
      <w:r>
        <w:rPr>
          <w:rFonts w:hint="eastAsia" w:ascii="宋体" w:hAnsi="宋体"/>
          <w:color w:val="000000"/>
          <w:sz w:val="28"/>
          <w:szCs w:val="28"/>
        </w:rPr>
        <w:t>按中国会计准则实现的归属于母公司股东的净利润的比例为</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w:t>
      </w:r>
      <w:bookmarkEnd w:id="7"/>
      <w:r>
        <w:rPr>
          <w:rFonts w:hint="eastAsia" w:ascii="宋体" w:hAnsi="宋体" w:cs="宋体"/>
          <w:color w:val="000000"/>
          <w:sz w:val="28"/>
          <w:szCs w:val="28"/>
          <w:lang w:eastAsia="zh-CN"/>
        </w:rPr>
        <w:t>；</w:t>
      </w:r>
      <w:r>
        <w:rPr>
          <w:rFonts w:hint="eastAsia" w:ascii="宋体" w:hAnsi="宋体"/>
          <w:color w:val="000000"/>
          <w:sz w:val="28"/>
          <w:szCs w:val="28"/>
        </w:rPr>
        <w:t>占</w:t>
      </w:r>
      <w:r>
        <w:rPr>
          <w:rFonts w:hint="eastAsia" w:ascii="宋体" w:hAnsi="宋体"/>
          <w:color w:val="000000"/>
          <w:sz w:val="28"/>
          <w:szCs w:val="28"/>
          <w:lang w:val="en-US" w:eastAsia="zh-CN"/>
        </w:rPr>
        <w:t>本年度</w:t>
      </w:r>
      <w:r>
        <w:rPr>
          <w:rFonts w:hint="eastAsia" w:ascii="宋体" w:hAnsi="宋体"/>
          <w:color w:val="000000"/>
          <w:sz w:val="28"/>
          <w:szCs w:val="28"/>
        </w:rPr>
        <w:t>按</w:t>
      </w:r>
      <w:r>
        <w:rPr>
          <w:rFonts w:hint="eastAsia" w:ascii="宋体" w:hAnsi="宋体"/>
          <w:color w:val="000000"/>
          <w:sz w:val="28"/>
          <w:szCs w:val="28"/>
          <w:lang w:val="en-US" w:eastAsia="zh-CN"/>
        </w:rPr>
        <w:t>国际财务报告准则</w:t>
      </w:r>
      <w:r>
        <w:rPr>
          <w:rFonts w:hint="eastAsia" w:ascii="宋体" w:hAnsi="宋体"/>
          <w:color w:val="000000"/>
          <w:sz w:val="28"/>
          <w:szCs w:val="28"/>
        </w:rPr>
        <w:t>实现的归属于母公司股东的</w:t>
      </w:r>
      <w:bookmarkStart w:id="8" w:name="OLE_LINK3"/>
      <w:r>
        <w:rPr>
          <w:rFonts w:hint="eastAsia" w:ascii="宋体" w:hAnsi="宋体"/>
          <w:color w:val="000000"/>
          <w:sz w:val="28"/>
          <w:szCs w:val="28"/>
          <w:lang w:val="en-US" w:eastAsia="zh-CN"/>
        </w:rPr>
        <w:t>净收益</w:t>
      </w:r>
      <w:bookmarkEnd w:id="8"/>
      <w:r>
        <w:rPr>
          <w:rFonts w:hint="eastAsia" w:ascii="宋体" w:hAnsi="宋体" w:cs="Times New Roman"/>
          <w:color w:val="000000"/>
          <w:sz w:val="28"/>
          <w:szCs w:val="28"/>
          <w:lang w:val="en-US" w:eastAsia="zh-CN"/>
        </w:rPr>
        <w:t>扣除法定储备后</w:t>
      </w:r>
      <w:r>
        <w:rPr>
          <w:rFonts w:hint="eastAsia" w:ascii="宋体" w:hAnsi="宋体"/>
          <w:color w:val="000000"/>
          <w:sz w:val="28"/>
          <w:szCs w:val="28"/>
        </w:rPr>
        <w:t>的比例为</w:t>
      </w:r>
      <w:r>
        <w:rPr>
          <w:rFonts w:hint="eastAsia" w:ascii="宋体" w:hAnsi="宋体" w:cs="宋体"/>
          <w:color w:val="000000"/>
          <w:sz w:val="28"/>
          <w:szCs w:val="28"/>
          <w:lang w:val="en-US" w:eastAsia="zh-CN"/>
        </w:rPr>
        <w:t>60.03</w:t>
      </w:r>
      <w:r>
        <w:rPr>
          <w:rFonts w:hint="eastAsia" w:ascii="宋体" w:hAnsi="宋体" w:eastAsia="宋体" w:cs="宋体"/>
          <w:color w:val="000000"/>
          <w:sz w:val="28"/>
          <w:szCs w:val="28"/>
        </w:rPr>
        <w:t>%</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符合公司现行利润分配政策</w:t>
      </w:r>
      <w:r>
        <w:rPr>
          <w:rFonts w:hint="eastAsia" w:ascii="宋体" w:hAnsi="宋体" w:eastAsia="宋体" w:cs="宋体"/>
          <w:color w:val="000000"/>
          <w:sz w:val="28"/>
          <w:szCs w:val="28"/>
          <w:lang w:eastAsia="zh-CN"/>
        </w:rPr>
        <w:t>。</w:t>
      </w: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如在本公告披露之日起至实施权益分派股权登记日期间，公司总股本发生变动的，公司拟维持每股分配</w:t>
      </w:r>
      <w:r>
        <w:rPr>
          <w:rFonts w:hint="eastAsia" w:ascii="宋体" w:hAnsi="宋体"/>
          <w:color w:val="000000"/>
          <w:sz w:val="28"/>
          <w:szCs w:val="28"/>
          <w:lang w:val="en-US" w:eastAsia="zh-CN"/>
        </w:rPr>
        <w:t>金额</w:t>
      </w:r>
      <w:r>
        <w:rPr>
          <w:rFonts w:hint="eastAsia" w:ascii="宋体" w:hAnsi="宋体"/>
          <w:color w:val="000000"/>
          <w:sz w:val="28"/>
          <w:szCs w:val="28"/>
        </w:rPr>
        <w:t>不变，相应调整分配总额。如后续总股本发生变化，将另行公告具体调整情况。</w:t>
      </w:r>
    </w:p>
    <w:p>
      <w:pPr>
        <w:spacing w:beforeLines="0" w:afterLines="0" w:line="520" w:lineRule="exact"/>
        <w:ind w:firstLine="630"/>
        <w:rPr>
          <w:rFonts w:hint="eastAsia" w:ascii="宋体" w:hAnsi="宋体"/>
          <w:color w:val="000000"/>
          <w:sz w:val="28"/>
          <w:szCs w:val="28"/>
        </w:rPr>
      </w:pPr>
      <w:r>
        <w:rPr>
          <w:rFonts w:hint="eastAsia" w:ascii="宋体" w:hAnsi="宋体"/>
          <w:color w:val="000000"/>
          <w:sz w:val="28"/>
          <w:szCs w:val="28"/>
        </w:rPr>
        <w:t>本次利润分配方案尚需提交</w:t>
      </w:r>
      <w:r>
        <w:rPr>
          <w:rFonts w:hint="eastAsia" w:ascii="宋体" w:hAnsi="宋体"/>
          <w:color w:val="000000"/>
          <w:sz w:val="28"/>
          <w:szCs w:val="28"/>
          <w:lang w:val="en-US" w:eastAsia="zh-CN"/>
        </w:rPr>
        <w:t>公司</w:t>
      </w:r>
      <w:r>
        <w:rPr>
          <w:rFonts w:hint="eastAsia" w:ascii="宋体" w:hAnsi="宋体"/>
          <w:color w:val="000000"/>
          <w:sz w:val="28"/>
          <w:szCs w:val="28"/>
        </w:rPr>
        <w:t>股东</w:t>
      </w:r>
      <w:r>
        <w:rPr>
          <w:rFonts w:hint="eastAsia" w:ascii="宋体" w:hAnsi="宋体"/>
          <w:color w:val="000000"/>
          <w:sz w:val="28"/>
          <w:szCs w:val="28"/>
          <w:lang w:val="en-US" w:eastAsia="zh-CN"/>
        </w:rPr>
        <w:t>周年</w:t>
      </w:r>
      <w:r>
        <w:rPr>
          <w:rFonts w:hint="eastAsia" w:ascii="宋体" w:hAnsi="宋体"/>
          <w:color w:val="000000"/>
          <w:sz w:val="28"/>
          <w:szCs w:val="28"/>
        </w:rPr>
        <w:t>大会审议。</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after="157" w:afterLines="50" w:line="560" w:lineRule="exact"/>
        <w:ind w:firstLine="560" w:firstLineChars="200"/>
        <w:textAlignment w:val="auto"/>
        <w:rPr>
          <w:rFonts w:hint="eastAsia" w:ascii="楷体_GB2312" w:hAnsi="楷体_GB2312" w:eastAsia="楷体_GB2312" w:cs="楷体_GB2312"/>
          <w:b/>
          <w:color w:val="000000"/>
          <w:kern w:val="0"/>
          <w:sz w:val="28"/>
          <w:szCs w:val="28"/>
        </w:rPr>
      </w:pPr>
      <w:r>
        <w:rPr>
          <w:rFonts w:hint="eastAsia" w:ascii="楷体_GB2312" w:hAnsi="楷体_GB2312" w:eastAsia="楷体_GB2312" w:cs="楷体_GB2312"/>
          <w:b/>
          <w:color w:val="000000"/>
          <w:kern w:val="0"/>
          <w:sz w:val="28"/>
          <w:szCs w:val="28"/>
        </w:rPr>
        <w:t>是否可能触及其他风险警示情形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560" w:lineRule="exact"/>
        <w:jc w:val="right"/>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单位：人民币千元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1732"/>
        <w:gridCol w:w="178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2024</w:t>
            </w:r>
            <w:r>
              <w:rPr>
                <w:rFonts w:hint="eastAsia" w:ascii="宋体" w:hAnsi="宋体" w:eastAsia="宋体" w:cs="宋体"/>
                <w:b/>
                <w:color w:val="000000"/>
                <w:kern w:val="0"/>
                <w:sz w:val="21"/>
                <w:szCs w:val="21"/>
              </w:rPr>
              <w:t>年度</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2023年度</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2022</w:t>
            </w:r>
            <w:r>
              <w:rPr>
                <w:rFonts w:hint="eastAsia" w:ascii="宋体" w:hAnsi="宋体" w:eastAsia="宋体" w:cs="宋体"/>
                <w:b/>
                <w:color w:val="000000"/>
                <w:kern w:val="0"/>
                <w:sz w:val="21"/>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现金分红总额</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vertAlign w:val="subscript"/>
                <w:lang w:val="en-US"/>
              </w:rPr>
            </w:pPr>
            <w:bookmarkStart w:id="9" w:name="OLE_LINK22"/>
            <w:r>
              <w:rPr>
                <w:rFonts w:hint="eastAsia" w:ascii="宋体" w:hAnsi="宋体" w:eastAsia="宋体" w:cs="宋体"/>
                <w:sz w:val="21"/>
                <w:szCs w:val="21"/>
                <w:lang w:val="en-US" w:eastAsia="zh-CN"/>
              </w:rPr>
              <w:t>7,730,69</w:t>
            </w:r>
            <w:bookmarkEnd w:id="9"/>
            <w:r>
              <w:rPr>
                <w:rFonts w:hint="eastAsia" w:ascii="宋体" w:hAnsi="宋体" w:cs="宋体"/>
                <w:sz w:val="21"/>
                <w:szCs w:val="21"/>
                <w:lang w:val="en-US" w:eastAsia="zh-CN"/>
              </w:rPr>
              <w:t>3</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sdt>
              <w:sdtPr>
                <w:rPr>
                  <w:rFonts w:hint="eastAsia" w:ascii="宋体" w:hAnsi="宋体" w:eastAsia="宋体" w:cs="宋体"/>
                  <w:sz w:val="21"/>
                  <w:szCs w:val="21"/>
                </w:rPr>
                <w:alias w:val="税前红利总额"/>
                <w:tag w:val="_GBC_9d46df5d002943fe9d2be253b9fa3310"/>
                <w:id w:val="147461797"/>
                <w:placeholder>
                  <w:docPart w:val="{41c02e6c-df12-4c8c-9659-82d33c2aefe8}"/>
                </w:placeholder>
              </w:sdtPr>
              <w:sdtEndPr>
                <w:rPr>
                  <w:rFonts w:hint="eastAsia" w:ascii="宋体" w:hAnsi="宋体" w:eastAsia="宋体" w:cs="宋体"/>
                  <w:sz w:val="21"/>
                  <w:szCs w:val="21"/>
                  <w:lang w:val="en-US"/>
                </w:rPr>
              </w:sdtEndPr>
              <w:sdtContent>
                <w:bookmarkStart w:id="10" w:name="OLE_LINK23"/>
                <w:sdt>
                  <w:sdtPr>
                    <w:rPr>
                      <w:rFonts w:hint="eastAsia" w:ascii="宋体" w:hAnsi="宋体" w:eastAsia="宋体" w:cs="宋体"/>
                      <w:sz w:val="21"/>
                      <w:szCs w:val="21"/>
                    </w:rPr>
                    <w:alias w:val="税前红利总额"/>
                    <w:tag w:val="_GBC_9d46df5d002943fe9d2be253b9fa3310"/>
                    <w:id w:val="147465970"/>
                    <w:placeholder>
                      <w:docPart w:val="{c563f8ce-3d96-41c7-b2e2-979f6bd64556}"/>
                    </w:placeholder>
                  </w:sdtPr>
                  <w:sdtEndPr>
                    <w:rPr>
                      <w:rFonts w:hint="eastAsia" w:ascii="宋体" w:hAnsi="宋体" w:eastAsia="宋体" w:cs="宋体"/>
                      <w:sz w:val="21"/>
                      <w:szCs w:val="21"/>
                    </w:rPr>
                  </w:sdtEndPr>
                  <w:sdtContent>
                    <w:r>
                      <w:rPr>
                        <w:rFonts w:hint="eastAsia" w:ascii="宋体" w:hAnsi="宋体" w:eastAsia="宋体" w:cs="宋体"/>
                        <w:sz w:val="21"/>
                        <w:szCs w:val="21"/>
                        <w:lang w:eastAsia="zh-CN"/>
                      </w:rPr>
                      <w:t>11,507,22</w:t>
                    </w:r>
                    <w:r>
                      <w:rPr>
                        <w:rFonts w:hint="eastAsia" w:ascii="宋体" w:hAnsi="宋体" w:cs="宋体"/>
                        <w:sz w:val="21"/>
                        <w:szCs w:val="21"/>
                        <w:lang w:val="en-US" w:eastAsia="zh-CN"/>
                      </w:rPr>
                      <w:t>5</w:t>
                    </w:r>
                  </w:sdtContent>
                </w:sdt>
              </w:sdtContent>
            </w:sdt>
            <w:bookmarkEnd w:id="10"/>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bookmarkStart w:id="11" w:name="OLE_LINK24"/>
            <w:sdt>
              <w:sdtPr>
                <w:rPr>
                  <w:rFonts w:hint="eastAsia" w:ascii="宋体" w:hAnsi="宋体" w:eastAsia="宋体" w:cs="宋体"/>
                  <w:sz w:val="21"/>
                  <w:szCs w:val="21"/>
                </w:rPr>
                <w:alias w:val="税前红利总额"/>
                <w:tag w:val="_GBC_9d46df5d002943fe9d2be253b9fa3310"/>
                <w:id w:val="147459060"/>
                <w:lock w:val="sdtLocked"/>
              </w:sdtPr>
              <w:sdtEndPr>
                <w:rPr>
                  <w:rFonts w:hint="eastAsia" w:ascii="宋体" w:hAnsi="宋体" w:eastAsia="宋体" w:cs="宋体"/>
                  <w:sz w:val="21"/>
                  <w:szCs w:val="21"/>
                  <w:lang w:eastAsia="zh-CN"/>
                </w:rPr>
              </w:sdtEndPr>
              <w:sdtContent>
                <w:r>
                  <w:rPr>
                    <w:rFonts w:hint="eastAsia" w:ascii="宋体" w:hAnsi="宋体" w:eastAsia="宋体" w:cs="宋体"/>
                    <w:sz w:val="21"/>
                    <w:szCs w:val="21"/>
                    <w:lang w:eastAsia="zh-CN"/>
                  </w:rPr>
                  <w:t>21,333,850</w:t>
                </w:r>
              </w:sdtContent>
            </w:sdt>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回购注销总额</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vertAlign w:val="subscript"/>
              </w:rPr>
            </w:pPr>
            <w:r>
              <w:rPr>
                <w:rFonts w:hint="eastAsia" w:ascii="宋体" w:hAnsi="宋体" w:cs="宋体"/>
                <w:color w:val="000000"/>
                <w:kern w:val="0"/>
                <w:sz w:val="21"/>
                <w:szCs w:val="21"/>
                <w:lang w:val="en-US" w:eastAsia="zh-CN"/>
              </w:rPr>
              <w:t>-</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归属于上市公司股东的净利润</w:t>
            </w:r>
          </w:p>
        </w:tc>
        <w:tc>
          <w:tcPr>
            <w:tcW w:w="173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14,425,051</w:t>
            </w:r>
          </w:p>
        </w:tc>
        <w:tc>
          <w:tcPr>
            <w:tcW w:w="178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20,143,947</w:t>
            </w:r>
          </w:p>
        </w:tc>
        <w:tc>
          <w:tcPr>
            <w:tcW w:w="15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33,369,371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本年度末母公司报表未分配利润</w:t>
            </w:r>
          </w:p>
        </w:tc>
        <w:tc>
          <w:tcPr>
            <w:tcW w:w="5110" w:type="dxa"/>
            <w:gridSpan w:val="3"/>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9,174,556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最近三个会计年度累计现金分红总额（</w:t>
            </w:r>
            <w:r>
              <w:rPr>
                <w:rFonts w:hint="eastAsia" w:ascii="宋体" w:hAnsi="宋体" w:cs="宋体"/>
                <w:color w:val="000000"/>
                <w:kern w:val="0"/>
                <w:sz w:val="21"/>
                <w:szCs w:val="21"/>
                <w:lang w:val="en-US" w:eastAsia="zh-CN"/>
              </w:rPr>
              <w:t>A</w:t>
            </w:r>
            <w:r>
              <w:rPr>
                <w:rFonts w:hint="eastAsia" w:ascii="宋体" w:hAnsi="宋体" w:eastAsia="宋体" w:cs="宋体"/>
                <w:color w:val="000000"/>
                <w:kern w:val="0"/>
                <w:sz w:val="21"/>
                <w:szCs w:val="21"/>
              </w:rPr>
              <w:t>）</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lang w:val="en-US" w:eastAsia="zh-CN"/>
              </w:rPr>
            </w:pPr>
            <w:bookmarkStart w:id="12" w:name="OLE_LINK28"/>
            <w:r>
              <w:rPr>
                <w:rFonts w:hint="eastAsia" w:ascii="宋体" w:hAnsi="宋体" w:eastAsia="宋体" w:cs="宋体"/>
                <w:color w:val="000000"/>
                <w:kern w:val="0"/>
                <w:sz w:val="21"/>
                <w:szCs w:val="21"/>
                <w:lang w:val="en-US" w:eastAsia="zh-CN"/>
              </w:rPr>
              <w:t>40,571,767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最近三个会计年度累计回购注销总额（</w:t>
            </w:r>
            <w:r>
              <w:rPr>
                <w:rFonts w:hint="eastAsia" w:ascii="宋体" w:hAnsi="宋体" w:cs="宋体"/>
                <w:color w:val="000000"/>
                <w:kern w:val="0"/>
                <w:sz w:val="21"/>
                <w:szCs w:val="21"/>
                <w:lang w:val="en-US" w:eastAsia="zh-CN"/>
              </w:rPr>
              <w:t>B</w:t>
            </w:r>
            <w:r>
              <w:rPr>
                <w:rFonts w:hint="eastAsia" w:ascii="宋体" w:hAnsi="宋体" w:eastAsia="宋体" w:cs="宋体"/>
                <w:color w:val="000000"/>
                <w:kern w:val="0"/>
                <w:sz w:val="21"/>
                <w:szCs w:val="21"/>
              </w:rPr>
              <w:t>）</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最近三个会计年度平均净利润</w:t>
            </w:r>
            <w:bookmarkStart w:id="13" w:name="OLE_LINK33"/>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C</w:t>
            </w:r>
            <w:r>
              <w:rPr>
                <w:rFonts w:hint="eastAsia" w:ascii="宋体" w:hAnsi="宋体" w:eastAsia="宋体" w:cs="宋体"/>
                <w:color w:val="000000"/>
                <w:kern w:val="0"/>
                <w:sz w:val="21"/>
                <w:szCs w:val="21"/>
              </w:rPr>
              <w:t>）</w:t>
            </w:r>
            <w:bookmarkEnd w:id="13"/>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Cs w:val="21"/>
                <w:lang w:val="en-US" w:eastAsia="zh-CN"/>
              </w:rPr>
              <w:t>22,646,123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最近三个会计年度累计现金分红及回购注销总额</w:t>
            </w:r>
            <w:bookmarkStart w:id="14" w:name="OLE_LINK32"/>
            <w:r>
              <w:rPr>
                <w:rFonts w:hint="eastAsia" w:ascii="宋体" w:hAnsi="宋体" w:eastAsia="宋体" w:cs="宋体"/>
                <w:color w:val="000000"/>
                <w:kern w:val="0"/>
                <w:sz w:val="21"/>
                <w:szCs w:val="21"/>
              </w:rPr>
              <w:t>（D=A+B）</w:t>
            </w:r>
            <w:bookmarkEnd w:id="14"/>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40,571,767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最近三个会计年度累计现金分红及回购注销总额</w:t>
            </w:r>
            <w:bookmarkStart w:id="15" w:name="OLE_LINK31"/>
            <w:r>
              <w:rPr>
                <w:rFonts w:hint="eastAsia" w:ascii="宋体" w:hAnsi="宋体" w:eastAsia="宋体" w:cs="宋体"/>
                <w:color w:val="000000"/>
                <w:kern w:val="0"/>
                <w:sz w:val="21"/>
                <w:szCs w:val="21"/>
              </w:rPr>
              <w:t>（D）</w:t>
            </w:r>
            <w:bookmarkEnd w:id="15"/>
            <w:r>
              <w:rPr>
                <w:rFonts w:hint="eastAsia" w:ascii="宋体" w:hAnsi="宋体" w:eastAsia="宋体" w:cs="宋体"/>
                <w:color w:val="000000"/>
                <w:kern w:val="0"/>
                <w:sz w:val="21"/>
                <w:szCs w:val="21"/>
              </w:rPr>
              <w:t>是否低于5000万元</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现金分红比例（E=D/C）</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Cs w:val="21"/>
                <w:lang w:val="en-US" w:eastAsia="zh-CN"/>
              </w:rPr>
              <w:t>179.</w:t>
            </w:r>
            <w:r>
              <w:rPr>
                <w:rFonts w:hint="eastAsia" w:ascii="宋体" w:hAnsi="宋体" w:cs="宋体"/>
                <w:color w:val="000000"/>
                <w:kern w:val="0"/>
                <w:szCs w:val="21"/>
                <w:lang w:val="en-US" w:eastAsia="zh-CN"/>
              </w:rPr>
              <w:t>16</w:t>
            </w:r>
            <w:r>
              <w:rPr>
                <w:rFonts w:hint="eastAsia" w:ascii="宋体" w:hAnsi="宋体" w:eastAsia="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现金分红比例（E）是否低于30%</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是否触及《股票上市规则》第9.8.1条第一款第（八）项规定的可能被实施其他风险警示的情形</w:t>
            </w:r>
          </w:p>
        </w:tc>
        <w:tc>
          <w:tcPr>
            <w:tcW w:w="5110"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right"/>
              <w:textAlignment w:val="auto"/>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rPr>
              <w:t>否</w:t>
            </w:r>
          </w:p>
        </w:tc>
      </w:tr>
    </w:tbl>
    <w:p>
      <w:pPr>
        <w:spacing w:beforeLines="0" w:afterLines="0" w:line="520" w:lineRule="exact"/>
        <w:rPr>
          <w:rFonts w:hint="eastAsia" w:ascii="宋体" w:hAnsi="宋体"/>
          <w:color w:val="000000"/>
          <w:sz w:val="28"/>
          <w:szCs w:val="28"/>
        </w:rPr>
      </w:pPr>
    </w:p>
    <w:p>
      <w:pPr>
        <w:spacing w:beforeLines="0" w:afterLines="0" w:line="520" w:lineRule="exact"/>
        <w:ind w:firstLine="630"/>
        <w:rPr>
          <w:rFonts w:ascii="宋体" w:hAnsi="宋体"/>
          <w:b/>
          <w:bCs/>
          <w:color w:val="000000"/>
          <w:sz w:val="28"/>
          <w:szCs w:val="28"/>
        </w:rPr>
      </w:pPr>
      <w:r>
        <w:rPr>
          <w:rFonts w:hint="eastAsia" w:ascii="宋体" w:hAnsi="宋体"/>
          <w:b/>
          <w:bCs/>
          <w:color w:val="000000"/>
          <w:sz w:val="28"/>
          <w:szCs w:val="28"/>
        </w:rPr>
        <w:t>二、公司履行的决策程序</w:t>
      </w: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公司于202</w:t>
      </w:r>
      <w:r>
        <w:rPr>
          <w:rFonts w:hint="eastAsia" w:ascii="宋体" w:hAnsi="宋体"/>
          <w:color w:val="000000"/>
          <w:sz w:val="28"/>
          <w:szCs w:val="28"/>
          <w:lang w:val="en-US" w:eastAsia="zh-CN"/>
        </w:rPr>
        <w:t>5</w:t>
      </w:r>
      <w:r>
        <w:rPr>
          <w:rFonts w:hint="eastAsia" w:ascii="宋体" w:hAnsi="宋体"/>
          <w:color w:val="000000"/>
          <w:sz w:val="28"/>
          <w:szCs w:val="28"/>
        </w:rPr>
        <w:t>年3月2</w:t>
      </w:r>
      <w:r>
        <w:rPr>
          <w:rFonts w:hint="eastAsia" w:ascii="宋体" w:hAnsi="宋体"/>
          <w:color w:val="000000"/>
          <w:sz w:val="28"/>
          <w:szCs w:val="28"/>
          <w:lang w:val="en-US" w:eastAsia="zh-CN"/>
        </w:rPr>
        <w:t>8</w:t>
      </w:r>
      <w:r>
        <w:rPr>
          <w:rFonts w:hint="eastAsia" w:ascii="宋体" w:hAnsi="宋体"/>
          <w:color w:val="000000"/>
          <w:sz w:val="28"/>
          <w:szCs w:val="28"/>
        </w:rPr>
        <w:t>日召开第</w:t>
      </w:r>
      <w:r>
        <w:rPr>
          <w:rFonts w:hint="eastAsia" w:ascii="宋体" w:hAnsi="宋体"/>
          <w:color w:val="000000"/>
          <w:sz w:val="28"/>
          <w:szCs w:val="28"/>
          <w:lang w:val="en-US" w:eastAsia="zh-CN"/>
        </w:rPr>
        <w:t>九</w:t>
      </w:r>
      <w:r>
        <w:rPr>
          <w:rFonts w:hint="eastAsia" w:ascii="宋体" w:hAnsi="宋体"/>
          <w:color w:val="000000"/>
          <w:sz w:val="28"/>
          <w:szCs w:val="28"/>
        </w:rPr>
        <w:t>届董事会第</w:t>
      </w:r>
      <w:r>
        <w:rPr>
          <w:rFonts w:hint="eastAsia" w:ascii="宋体" w:hAnsi="宋体"/>
          <w:color w:val="000000"/>
          <w:sz w:val="28"/>
          <w:szCs w:val="28"/>
          <w:lang w:val="en-US" w:eastAsia="zh-CN"/>
        </w:rPr>
        <w:t>十四</w:t>
      </w:r>
      <w:r>
        <w:rPr>
          <w:rFonts w:hint="eastAsia" w:ascii="宋体" w:hAnsi="宋体"/>
          <w:color w:val="000000"/>
          <w:sz w:val="28"/>
          <w:szCs w:val="28"/>
        </w:rPr>
        <w:t>次会议，审议通过了公司202</w:t>
      </w:r>
      <w:r>
        <w:rPr>
          <w:rFonts w:hint="eastAsia" w:ascii="宋体" w:hAnsi="宋体"/>
          <w:color w:val="000000"/>
          <w:sz w:val="28"/>
          <w:szCs w:val="28"/>
          <w:lang w:val="en-US" w:eastAsia="zh-CN"/>
        </w:rPr>
        <w:t>4</w:t>
      </w:r>
      <w:r>
        <w:rPr>
          <w:rFonts w:hint="eastAsia" w:ascii="宋体" w:hAnsi="宋体"/>
          <w:color w:val="000000"/>
          <w:sz w:val="28"/>
          <w:szCs w:val="28"/>
        </w:rPr>
        <w:t>年度利润分配</w:t>
      </w:r>
      <w:r>
        <w:rPr>
          <w:rFonts w:hint="eastAsia" w:ascii="宋体" w:hAnsi="宋体"/>
          <w:color w:val="000000"/>
          <w:sz w:val="28"/>
          <w:szCs w:val="28"/>
          <w:lang w:val="en-US" w:eastAsia="zh-CN"/>
        </w:rPr>
        <w:t>方案</w:t>
      </w:r>
      <w:r>
        <w:rPr>
          <w:rFonts w:hint="eastAsia" w:ascii="宋体" w:hAnsi="宋体"/>
          <w:color w:val="000000"/>
          <w:sz w:val="28"/>
          <w:szCs w:val="28"/>
        </w:rPr>
        <w:t>。董事会认为：公司202</w:t>
      </w:r>
      <w:r>
        <w:rPr>
          <w:rFonts w:hint="eastAsia" w:ascii="宋体" w:hAnsi="宋体"/>
          <w:color w:val="000000"/>
          <w:sz w:val="28"/>
          <w:szCs w:val="28"/>
          <w:lang w:val="en-US" w:eastAsia="zh-CN"/>
        </w:rPr>
        <w:t>4</w:t>
      </w:r>
      <w:r>
        <w:rPr>
          <w:rFonts w:hint="eastAsia" w:ascii="宋体" w:hAnsi="宋体"/>
          <w:color w:val="000000"/>
          <w:sz w:val="28"/>
          <w:szCs w:val="28"/>
        </w:rPr>
        <w:t>年度利润分配</w:t>
      </w:r>
      <w:r>
        <w:rPr>
          <w:rFonts w:hint="eastAsia" w:ascii="宋体" w:hAnsi="宋体"/>
          <w:color w:val="000000"/>
          <w:sz w:val="28"/>
          <w:szCs w:val="28"/>
          <w:lang w:val="en-US" w:eastAsia="zh-CN"/>
        </w:rPr>
        <w:t>方案</w:t>
      </w:r>
      <w:r>
        <w:rPr>
          <w:rFonts w:hint="eastAsia" w:ascii="宋体" w:hAnsi="宋体"/>
          <w:color w:val="000000"/>
          <w:sz w:val="28"/>
          <w:szCs w:val="28"/>
        </w:rPr>
        <w:t>充分考虑了公司当前财务状况并兼顾股东长远利益，符合《公司章程》规定的利润分配政策和公司已披露的</w:t>
      </w:r>
      <w:r>
        <w:rPr>
          <w:rFonts w:hint="eastAsia" w:ascii="宋体" w:hAnsi="宋体"/>
          <w:color w:val="000000"/>
          <w:sz w:val="28"/>
          <w:szCs w:val="28"/>
          <w:lang w:val="en-US" w:eastAsia="zh-CN"/>
        </w:rPr>
        <w:t>股东回报规划</w:t>
      </w:r>
      <w:r>
        <w:rPr>
          <w:rFonts w:hint="eastAsia" w:ascii="宋体" w:hAnsi="宋体"/>
          <w:color w:val="000000"/>
          <w:sz w:val="28"/>
          <w:szCs w:val="28"/>
        </w:rPr>
        <w:t>，同意将该议案提交公司股东周年大会审议。</w:t>
      </w:r>
    </w:p>
    <w:p>
      <w:pPr>
        <w:spacing w:beforeLines="0" w:afterLines="0" w:line="520" w:lineRule="exact"/>
        <w:ind w:firstLine="630"/>
        <w:rPr>
          <w:rFonts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、相关风险提示</w:t>
      </w:r>
    </w:p>
    <w:p>
      <w:pPr>
        <w:spacing w:beforeLines="0" w:afterLines="0" w:line="520" w:lineRule="exact"/>
        <w:ind w:firstLine="630"/>
        <w:rPr>
          <w:rFonts w:hint="eastAsia" w:ascii="宋体" w:hAnsi="宋体"/>
          <w:color w:val="000000"/>
          <w:sz w:val="28"/>
          <w:szCs w:val="28"/>
          <w:lang w:val="en-US" w:eastAsia="zh-CN"/>
        </w:rPr>
      </w:pPr>
      <w:r>
        <w:rPr>
          <w:rFonts w:hint="eastAsia" w:ascii="宋体" w:hAnsi="宋体"/>
          <w:color w:val="000000"/>
          <w:sz w:val="28"/>
          <w:szCs w:val="28"/>
        </w:rPr>
        <w:t>（一）</w:t>
      </w:r>
      <w:r>
        <w:rPr>
          <w:rFonts w:hint="eastAsia" w:ascii="宋体" w:hAnsi="宋体"/>
          <w:color w:val="000000"/>
          <w:sz w:val="28"/>
          <w:szCs w:val="28"/>
          <w:lang w:val="en-US" w:eastAsia="zh-CN"/>
        </w:rPr>
        <w:t>公司综合考虑目前盈利水平、资金需求等因素，拟定2024年度利润分配方案，不会对公司现金流产生重大影响，不会影响公司正常经营和长期发展。</w:t>
      </w: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（二）本次利润分配方案尚需提交公司202</w:t>
      </w:r>
      <w:r>
        <w:rPr>
          <w:rFonts w:hint="eastAsia" w:ascii="宋体" w:hAnsi="宋体"/>
          <w:color w:val="000000"/>
          <w:sz w:val="28"/>
          <w:szCs w:val="28"/>
          <w:lang w:val="en-US" w:eastAsia="zh-CN"/>
        </w:rPr>
        <w:t>4</w:t>
      </w:r>
      <w:r>
        <w:rPr>
          <w:rFonts w:hint="eastAsia" w:ascii="宋体" w:hAnsi="宋体"/>
          <w:color w:val="000000"/>
          <w:sz w:val="28"/>
          <w:szCs w:val="28"/>
        </w:rPr>
        <w:t>年度股东周年大会审议，待审议通过后方可实施。</w:t>
      </w:r>
    </w:p>
    <w:p>
      <w:pPr>
        <w:spacing w:beforeLines="0" w:afterLines="0" w:line="520" w:lineRule="exact"/>
        <w:rPr>
          <w:rFonts w:ascii="宋体" w:hAnsi="宋体"/>
          <w:color w:val="000000"/>
          <w:sz w:val="28"/>
          <w:szCs w:val="28"/>
        </w:rPr>
      </w:pPr>
    </w:p>
    <w:p>
      <w:pPr>
        <w:spacing w:beforeLines="0" w:afterLines="0" w:line="520" w:lineRule="exact"/>
        <w:ind w:firstLine="630"/>
        <w:rPr>
          <w:rFonts w:ascii="宋体" w:hAnsi="宋体"/>
          <w:color w:val="000000"/>
          <w:sz w:val="28"/>
          <w:szCs w:val="28"/>
        </w:rPr>
      </w:pPr>
      <w:r>
        <w:rPr>
          <w:rFonts w:hint="eastAsia" w:ascii="宋体" w:hAnsi="宋体"/>
          <w:color w:val="000000"/>
          <w:sz w:val="28"/>
          <w:szCs w:val="28"/>
        </w:rPr>
        <w:t>特此公告。</w:t>
      </w:r>
    </w:p>
    <w:p>
      <w:pPr>
        <w:spacing w:beforeLines="0" w:afterLines="0" w:line="520" w:lineRule="exact"/>
        <w:ind w:firstLine="630"/>
        <w:rPr>
          <w:rFonts w:ascii="宋体" w:hAnsi="宋体"/>
          <w:color w:val="000000"/>
          <w:sz w:val="28"/>
          <w:szCs w:val="28"/>
        </w:rPr>
      </w:pPr>
    </w:p>
    <w:p>
      <w:pPr>
        <w:spacing w:beforeLines="0" w:afterLines="0" w:line="520" w:lineRule="exact"/>
        <w:ind w:firstLine="630"/>
        <w:rPr>
          <w:rFonts w:ascii="宋体" w:hAnsi="宋体"/>
          <w:color w:val="000000"/>
          <w:sz w:val="28"/>
          <w:szCs w:val="28"/>
        </w:rPr>
      </w:pPr>
    </w:p>
    <w:p>
      <w:pPr>
        <w:adjustRightInd w:val="0"/>
        <w:snapToGrid w:val="0"/>
        <w:spacing w:beforeLines="0" w:afterLines="0" w:line="520" w:lineRule="exact"/>
        <w:ind w:firstLine="4480" w:firstLineChars="1600"/>
        <w:rPr>
          <w:rFonts w:ascii="宋体" w:hAnsi="宋体"/>
          <w:color w:val="000000"/>
          <w:sz w:val="28"/>
          <w:szCs w:val="28"/>
        </w:rPr>
      </w:pPr>
      <w:r>
        <w:rPr>
          <w:rFonts w:hint="eastAsia" w:ascii="宋体" w:hAnsi="宋体"/>
          <w:color w:val="000000"/>
          <w:sz w:val="28"/>
          <w:szCs w:val="28"/>
        </w:rPr>
        <w:t>兖矿能源集团股份有限公司董事会</w:t>
      </w:r>
    </w:p>
    <w:p>
      <w:pPr>
        <w:adjustRightInd w:val="0"/>
        <w:snapToGrid w:val="0"/>
        <w:spacing w:beforeLines="0" w:afterLines="0" w:line="520" w:lineRule="exact"/>
        <w:ind w:firstLine="5600" w:firstLineChars="2000"/>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5</w:t>
      </w:r>
      <w:r>
        <w:rPr>
          <w:rFonts w:hint="eastAsia" w:ascii="宋体" w:hAnsi="宋体"/>
          <w:color w:val="000000"/>
          <w:sz w:val="28"/>
          <w:szCs w:val="28"/>
        </w:rPr>
        <w:t>年3月2</w:t>
      </w:r>
      <w:r>
        <w:rPr>
          <w:rFonts w:hint="eastAsia" w:ascii="宋体" w:hAnsi="宋体"/>
          <w:color w:val="000000"/>
          <w:sz w:val="28"/>
          <w:szCs w:val="28"/>
          <w:lang w:val="en-US" w:eastAsia="zh-CN"/>
        </w:rPr>
        <w:t>8</w:t>
      </w:r>
      <w:r>
        <w:rPr>
          <w:rFonts w:hint="eastAsia" w:ascii="宋体" w:hAnsi="宋体"/>
          <w:color w:val="000000"/>
          <w:sz w:val="28"/>
          <w:szCs w:val="28"/>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78C8E"/>
    <w:multiLevelType w:val="singleLevel"/>
    <w:tmpl w:val="C8578C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43a14701-f02b-4d52-9e22-f30b6f29e892"/>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2BBC"/>
    <w:rsid w:val="00056597"/>
    <w:rsid w:val="00056E40"/>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429A"/>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67E07"/>
    <w:rsid w:val="001702E8"/>
    <w:rsid w:val="001710E6"/>
    <w:rsid w:val="001723C6"/>
    <w:rsid w:val="00172B92"/>
    <w:rsid w:val="00174DB2"/>
    <w:rsid w:val="0017535D"/>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E5AE2"/>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1F21"/>
    <w:rsid w:val="00342EC4"/>
    <w:rsid w:val="003468C1"/>
    <w:rsid w:val="003475E3"/>
    <w:rsid w:val="003504E3"/>
    <w:rsid w:val="003517CB"/>
    <w:rsid w:val="00353B50"/>
    <w:rsid w:val="00354828"/>
    <w:rsid w:val="00356C7A"/>
    <w:rsid w:val="0036105B"/>
    <w:rsid w:val="00361481"/>
    <w:rsid w:val="00362AB2"/>
    <w:rsid w:val="00362B84"/>
    <w:rsid w:val="00365905"/>
    <w:rsid w:val="00367782"/>
    <w:rsid w:val="00370C02"/>
    <w:rsid w:val="0037169E"/>
    <w:rsid w:val="0037171C"/>
    <w:rsid w:val="003727D6"/>
    <w:rsid w:val="0037389C"/>
    <w:rsid w:val="00382979"/>
    <w:rsid w:val="003832E6"/>
    <w:rsid w:val="00383CEA"/>
    <w:rsid w:val="00386052"/>
    <w:rsid w:val="003866E8"/>
    <w:rsid w:val="00390DB7"/>
    <w:rsid w:val="0039344E"/>
    <w:rsid w:val="0039366A"/>
    <w:rsid w:val="003977B7"/>
    <w:rsid w:val="00397E1A"/>
    <w:rsid w:val="003A2833"/>
    <w:rsid w:val="003B4E49"/>
    <w:rsid w:val="003B6E18"/>
    <w:rsid w:val="003C0976"/>
    <w:rsid w:val="003C323D"/>
    <w:rsid w:val="003C5316"/>
    <w:rsid w:val="003D2F8D"/>
    <w:rsid w:val="003D41D0"/>
    <w:rsid w:val="003D4C2D"/>
    <w:rsid w:val="003D6483"/>
    <w:rsid w:val="003D69B9"/>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1198"/>
    <w:rsid w:val="00435781"/>
    <w:rsid w:val="0044668E"/>
    <w:rsid w:val="00450237"/>
    <w:rsid w:val="00450DA1"/>
    <w:rsid w:val="004547D2"/>
    <w:rsid w:val="00455889"/>
    <w:rsid w:val="00461A88"/>
    <w:rsid w:val="00464520"/>
    <w:rsid w:val="00467F4B"/>
    <w:rsid w:val="00470AE7"/>
    <w:rsid w:val="00470CA9"/>
    <w:rsid w:val="00471C27"/>
    <w:rsid w:val="00471FC9"/>
    <w:rsid w:val="00472A24"/>
    <w:rsid w:val="0047354B"/>
    <w:rsid w:val="004777C3"/>
    <w:rsid w:val="004803DD"/>
    <w:rsid w:val="00481DBE"/>
    <w:rsid w:val="00482903"/>
    <w:rsid w:val="00485459"/>
    <w:rsid w:val="00486F95"/>
    <w:rsid w:val="004935A1"/>
    <w:rsid w:val="004A278C"/>
    <w:rsid w:val="004A343E"/>
    <w:rsid w:val="004A41D3"/>
    <w:rsid w:val="004A6538"/>
    <w:rsid w:val="004A6667"/>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B2665"/>
    <w:rsid w:val="005B5482"/>
    <w:rsid w:val="005B7EC3"/>
    <w:rsid w:val="005C147B"/>
    <w:rsid w:val="005C2F10"/>
    <w:rsid w:val="005C4795"/>
    <w:rsid w:val="005C5A2A"/>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1CAF"/>
    <w:rsid w:val="00695716"/>
    <w:rsid w:val="00696B88"/>
    <w:rsid w:val="00697447"/>
    <w:rsid w:val="006A1145"/>
    <w:rsid w:val="006A19E1"/>
    <w:rsid w:val="006A3B24"/>
    <w:rsid w:val="006B4BC2"/>
    <w:rsid w:val="006B5268"/>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4943"/>
    <w:rsid w:val="0078750B"/>
    <w:rsid w:val="00793A51"/>
    <w:rsid w:val="007944F2"/>
    <w:rsid w:val="00794620"/>
    <w:rsid w:val="00794C77"/>
    <w:rsid w:val="00795BF6"/>
    <w:rsid w:val="007A1165"/>
    <w:rsid w:val="007A2AC9"/>
    <w:rsid w:val="007A5ACB"/>
    <w:rsid w:val="007A5FC6"/>
    <w:rsid w:val="007A6B1B"/>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57BF"/>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3A2C"/>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1A2D"/>
    <w:rsid w:val="0090211E"/>
    <w:rsid w:val="0090511B"/>
    <w:rsid w:val="00906C92"/>
    <w:rsid w:val="00913BDF"/>
    <w:rsid w:val="009204E7"/>
    <w:rsid w:val="009210CF"/>
    <w:rsid w:val="00922772"/>
    <w:rsid w:val="00923ED4"/>
    <w:rsid w:val="00927C54"/>
    <w:rsid w:val="009307E8"/>
    <w:rsid w:val="00930BDD"/>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4D21"/>
    <w:rsid w:val="009C5C9F"/>
    <w:rsid w:val="009C6448"/>
    <w:rsid w:val="009C74B0"/>
    <w:rsid w:val="009D2963"/>
    <w:rsid w:val="009D2CCF"/>
    <w:rsid w:val="009D2EF6"/>
    <w:rsid w:val="009D35C0"/>
    <w:rsid w:val="009D73F1"/>
    <w:rsid w:val="009D7E9A"/>
    <w:rsid w:val="009D7EA2"/>
    <w:rsid w:val="009E42CB"/>
    <w:rsid w:val="009E4682"/>
    <w:rsid w:val="009E4D5A"/>
    <w:rsid w:val="009E5693"/>
    <w:rsid w:val="009E7113"/>
    <w:rsid w:val="009E7CB4"/>
    <w:rsid w:val="009F07B8"/>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1C7B"/>
    <w:rsid w:val="00B42464"/>
    <w:rsid w:val="00B42D22"/>
    <w:rsid w:val="00B44564"/>
    <w:rsid w:val="00B51371"/>
    <w:rsid w:val="00B60411"/>
    <w:rsid w:val="00B60906"/>
    <w:rsid w:val="00B63297"/>
    <w:rsid w:val="00B63472"/>
    <w:rsid w:val="00B7141E"/>
    <w:rsid w:val="00B73D7D"/>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5634"/>
    <w:rsid w:val="00C05DEC"/>
    <w:rsid w:val="00C07942"/>
    <w:rsid w:val="00C07CAB"/>
    <w:rsid w:val="00C1004E"/>
    <w:rsid w:val="00C10305"/>
    <w:rsid w:val="00C13779"/>
    <w:rsid w:val="00C14E3C"/>
    <w:rsid w:val="00C16ECD"/>
    <w:rsid w:val="00C1713D"/>
    <w:rsid w:val="00C236B2"/>
    <w:rsid w:val="00C268EA"/>
    <w:rsid w:val="00C27170"/>
    <w:rsid w:val="00C30320"/>
    <w:rsid w:val="00C346EF"/>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61EF"/>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D7B3D"/>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75A9"/>
    <w:rsid w:val="00E41C44"/>
    <w:rsid w:val="00E45BB3"/>
    <w:rsid w:val="00E5124D"/>
    <w:rsid w:val="00E51F9A"/>
    <w:rsid w:val="00E520CE"/>
    <w:rsid w:val="00E52A71"/>
    <w:rsid w:val="00E55F70"/>
    <w:rsid w:val="00E57253"/>
    <w:rsid w:val="00E5771C"/>
    <w:rsid w:val="00E578B9"/>
    <w:rsid w:val="00E60BA0"/>
    <w:rsid w:val="00E6217F"/>
    <w:rsid w:val="00E63007"/>
    <w:rsid w:val="00E63088"/>
    <w:rsid w:val="00E63D89"/>
    <w:rsid w:val="00E649AD"/>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3A54"/>
    <w:rsid w:val="00F2524B"/>
    <w:rsid w:val="00F259FF"/>
    <w:rsid w:val="00F260E9"/>
    <w:rsid w:val="00F2675B"/>
    <w:rsid w:val="00F313B8"/>
    <w:rsid w:val="00F3237F"/>
    <w:rsid w:val="00F32597"/>
    <w:rsid w:val="00F3646B"/>
    <w:rsid w:val="00F42221"/>
    <w:rsid w:val="00F43DDB"/>
    <w:rsid w:val="00F44480"/>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0A78AE"/>
    <w:rsid w:val="021D4C24"/>
    <w:rsid w:val="03C2777E"/>
    <w:rsid w:val="03E01ABB"/>
    <w:rsid w:val="065310FB"/>
    <w:rsid w:val="0D786450"/>
    <w:rsid w:val="0F4A3B35"/>
    <w:rsid w:val="1130228A"/>
    <w:rsid w:val="11AF2290"/>
    <w:rsid w:val="176470DA"/>
    <w:rsid w:val="182D487C"/>
    <w:rsid w:val="18515C19"/>
    <w:rsid w:val="186A0E25"/>
    <w:rsid w:val="19C25148"/>
    <w:rsid w:val="19E576EB"/>
    <w:rsid w:val="1A2A65EF"/>
    <w:rsid w:val="1EC8518B"/>
    <w:rsid w:val="22890DBA"/>
    <w:rsid w:val="234A2E0A"/>
    <w:rsid w:val="23C438CA"/>
    <w:rsid w:val="2A6D564A"/>
    <w:rsid w:val="2BF632BA"/>
    <w:rsid w:val="2D5E4D30"/>
    <w:rsid w:val="31AD4159"/>
    <w:rsid w:val="32636B04"/>
    <w:rsid w:val="34ED28ED"/>
    <w:rsid w:val="3546393E"/>
    <w:rsid w:val="36DE740B"/>
    <w:rsid w:val="3A472CC1"/>
    <w:rsid w:val="3CDA16AD"/>
    <w:rsid w:val="3CFC726D"/>
    <w:rsid w:val="3D600EAF"/>
    <w:rsid w:val="42A45ADC"/>
    <w:rsid w:val="438A3A14"/>
    <w:rsid w:val="45EB1A98"/>
    <w:rsid w:val="48760991"/>
    <w:rsid w:val="48947988"/>
    <w:rsid w:val="48F14E60"/>
    <w:rsid w:val="4AA626C9"/>
    <w:rsid w:val="4C1F276D"/>
    <w:rsid w:val="4CC86F21"/>
    <w:rsid w:val="50F477D1"/>
    <w:rsid w:val="51936769"/>
    <w:rsid w:val="550169F7"/>
    <w:rsid w:val="553A75EB"/>
    <w:rsid w:val="57822893"/>
    <w:rsid w:val="57B80539"/>
    <w:rsid w:val="5AA24BA8"/>
    <w:rsid w:val="5C64411C"/>
    <w:rsid w:val="5D5D3774"/>
    <w:rsid w:val="5DE007BC"/>
    <w:rsid w:val="60C464C4"/>
    <w:rsid w:val="610325A1"/>
    <w:rsid w:val="61B5770B"/>
    <w:rsid w:val="636225C5"/>
    <w:rsid w:val="6986427D"/>
    <w:rsid w:val="69A77D86"/>
    <w:rsid w:val="6ACC6B33"/>
    <w:rsid w:val="75CD7A22"/>
    <w:rsid w:val="76FF13B0"/>
    <w:rsid w:val="787F1C42"/>
    <w:rsid w:val="7B2A76F2"/>
    <w:rsid w:val="7FB71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30"/>
    <w:semiHidden/>
    <w:qFormat/>
    <w:uiPriority w:val="99"/>
    <w:pPr>
      <w:jc w:val="left"/>
    </w:pPr>
  </w:style>
  <w:style w:type="paragraph" w:styleId="4">
    <w:name w:val="Body Text"/>
    <w:basedOn w:val="1"/>
    <w:next w:val="5"/>
    <w:qFormat/>
    <w:uiPriority w:val="0"/>
    <w:pPr>
      <w:spacing w:after="120"/>
    </w:pPr>
  </w:style>
  <w:style w:type="paragraph" w:customStyle="1" w:styleId="5">
    <w:name w:val="Date1"/>
    <w:basedOn w:val="1"/>
    <w:next w:val="1"/>
    <w:qFormat/>
    <w:uiPriority w:val="0"/>
    <w:rPr>
      <w:szCs w:val="20"/>
    </w:rPr>
  </w:style>
  <w:style w:type="paragraph" w:styleId="6">
    <w:name w:val="Body Text Indent"/>
    <w:basedOn w:val="1"/>
    <w:qFormat/>
    <w:uiPriority w:val="0"/>
    <w:pPr>
      <w:spacing w:line="480" w:lineRule="exact"/>
      <w:ind w:firstLine="560"/>
    </w:pPr>
    <w:rPr>
      <w:rFonts w:ascii="宋体" w:hAnsi="宋体"/>
    </w:rPr>
  </w:style>
  <w:style w:type="paragraph" w:styleId="7">
    <w:name w:val="Plain Text"/>
    <w:basedOn w:val="1"/>
    <w:qFormat/>
    <w:uiPriority w:val="0"/>
    <w:rPr>
      <w:rFonts w:ascii="宋体" w:hAnsi="Courier New"/>
    </w:rPr>
  </w:style>
  <w:style w:type="paragraph" w:styleId="8">
    <w:name w:val="Date"/>
    <w:basedOn w:val="1"/>
    <w:next w:val="1"/>
    <w:link w:val="31"/>
    <w:qFormat/>
    <w:uiPriority w:val="0"/>
    <w:rPr>
      <w:sz w:val="24"/>
    </w:rPr>
  </w:style>
  <w:style w:type="paragraph" w:styleId="9">
    <w:name w:val="Body Text Indent 2"/>
    <w:basedOn w:val="1"/>
    <w:qFormat/>
    <w:uiPriority w:val="0"/>
    <w:pPr>
      <w:ind w:firstLine="539"/>
    </w:pPr>
    <w:rPr>
      <w:color w:val="FF0000"/>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440" w:lineRule="exact"/>
      <w:ind w:firstLine="480"/>
    </w:pPr>
    <w:rPr>
      <w:rFonts w:ascii="宋体" w:hAnsi="宋体"/>
      <w:sz w:val="24"/>
    </w:rPr>
  </w:style>
  <w:style w:type="paragraph" w:styleId="14">
    <w:name w:val="index 1"/>
    <w:basedOn w:val="1"/>
    <w:next w:val="1"/>
    <w:qFormat/>
    <w:uiPriority w:val="0"/>
    <w:rPr>
      <w:rFonts w:eastAsia="楷体_GB2312"/>
      <w:sz w:val="28"/>
      <w:szCs w:val="24"/>
    </w:rPr>
  </w:style>
  <w:style w:type="paragraph" w:styleId="15">
    <w:name w:val="annotation subject"/>
    <w:basedOn w:val="3"/>
    <w:next w:val="3"/>
    <w:semiHidden/>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Colorful 2"/>
    <w:basedOn w:val="16"/>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semiHidden/>
    <w:qFormat/>
    <w:uiPriority w:val="0"/>
    <w:rPr>
      <w:sz w:val="21"/>
      <w:szCs w:val="21"/>
    </w:rPr>
  </w:style>
  <w:style w:type="paragraph" w:customStyle="1" w:styleId="24">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5">
    <w:name w:val="默认段落字体 Para Char Char Char Char Char Char Char"/>
    <w:basedOn w:val="1"/>
    <w:qFormat/>
    <w:uiPriority w:val="0"/>
    <w:rPr>
      <w:rFonts w:ascii="Tahoma" w:hAnsi="Tahoma"/>
      <w:sz w:val="24"/>
    </w:rPr>
  </w:style>
  <w:style w:type="paragraph" w:customStyle="1" w:styleId="26">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7">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9">
    <w:name w:val="页眉 字符"/>
    <w:link w:val="12"/>
    <w:qFormat/>
    <w:uiPriority w:val="0"/>
    <w:rPr>
      <w:kern w:val="2"/>
      <w:sz w:val="18"/>
      <w:szCs w:val="18"/>
    </w:rPr>
  </w:style>
  <w:style w:type="character" w:customStyle="1" w:styleId="30">
    <w:name w:val="批注文字 字符"/>
    <w:link w:val="3"/>
    <w:semiHidden/>
    <w:qFormat/>
    <w:uiPriority w:val="99"/>
    <w:rPr>
      <w:kern w:val="2"/>
      <w:sz w:val="21"/>
    </w:rPr>
  </w:style>
  <w:style w:type="character" w:customStyle="1" w:styleId="31">
    <w:name w:val="日期 字符"/>
    <w:link w:val="8"/>
    <w:qFormat/>
    <w:uiPriority w:val="0"/>
    <w:rPr>
      <w:kern w:val="2"/>
      <w:sz w:val="24"/>
    </w:rPr>
  </w:style>
  <w:style w:type="paragraph" w:customStyle="1" w:styleId="32">
    <w:name w:val="修订1"/>
    <w:hidden/>
    <w:semiHidden/>
    <w:qFormat/>
    <w:uiPriority w:val="99"/>
    <w:rPr>
      <w:rFonts w:ascii="Times New Roman" w:hAnsi="Times New Roman" w:eastAsia="宋体" w:cs="Times New Roman"/>
      <w:kern w:val="2"/>
      <w:sz w:val="21"/>
      <w:lang w:val="en-US" w:eastAsia="zh-CN" w:bidi="ar-SA"/>
    </w:rPr>
  </w:style>
  <w:style w:type="paragraph" w:styleId="33">
    <w:name w:val="List Paragraph"/>
    <w:basedOn w:val="1"/>
    <w:qFormat/>
    <w:uiPriority w:val="34"/>
    <w:pPr>
      <w:ind w:firstLine="420" w:firstLineChars="200"/>
    </w:pPr>
  </w:style>
  <w:style w:type="paragraph" w:customStyle="1" w:styleId="34">
    <w:name w:val="修订2"/>
    <w:hidden/>
    <w:semiHidden/>
    <w:qFormat/>
    <w:uiPriority w:val="99"/>
    <w:rPr>
      <w:rFonts w:ascii="Times New Roman" w:hAnsi="Times New Roman" w:eastAsia="宋体" w:cs="Times New Roman"/>
      <w:kern w:val="2"/>
      <w:sz w:val="21"/>
      <w:lang w:val="en-US" w:eastAsia="zh-CN" w:bidi="ar-SA"/>
    </w:rPr>
  </w:style>
  <w:style w:type="paragraph" w:customStyle="1" w:styleId="3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c02e6c-df12-4c8c-9659-82d33c2aefe8}"/>
        <w:style w:val=""/>
        <w:category>
          <w:name w:val="常规"/>
          <w:gallery w:val="placeholder"/>
        </w:category>
        <w:types>
          <w:type w:val="bbPlcHdr"/>
        </w:types>
        <w:behaviors>
          <w:behavior w:val="content"/>
        </w:behaviors>
        <w:description w:val=""/>
        <w:guid w:val="{41c02e6c-df12-4c8c-9659-82d33c2aefe8}"/>
      </w:docPartPr>
      <w:docPartBody>
        <w:p>
          <w:r>
            <w:rPr>
              <w:rStyle w:val="2"/>
              <w:rFonts w:hint="eastAsia"/>
              <w:color w:val="333399"/>
              <w:u w:val="single"/>
            </w:rPr>
            <w:t>　　　</w:t>
          </w:r>
        </w:p>
      </w:docPartBody>
    </w:docPart>
    <w:docPart>
      <w:docPartPr>
        <w:name w:val="{c563f8ce-3d96-41c7-b2e2-979f6bd64556}"/>
        <w:style w:val=""/>
        <w:category>
          <w:name w:val="常规"/>
          <w:gallery w:val="placeholder"/>
        </w:category>
        <w:types>
          <w:type w:val="bbPlcHdr"/>
        </w:types>
        <w:behaviors>
          <w:behavior w:val="content"/>
        </w:behaviors>
        <w:description w:val=""/>
        <w:guid w:val="{c563f8ce-3d96-41c7-b2e2-979f6bd64556}"/>
      </w:docPartPr>
      <w:docPartBody>
        <w:p>
          <w:r>
            <w:rPr>
              <w:rStyle w:val="2"/>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character" w:styleId="2">
    <w:name w:val="Placeholder Text"/>
    <w:basedOn w:val="1"/>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C7D1B-EA1F-444C-896D-E5E7F2382914}">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3</Pages>
  <Words>1303</Words>
  <Characters>1539</Characters>
  <Lines>22</Lines>
  <Paragraphs>6</Paragraphs>
  <TotalTime>2</TotalTime>
  <ScaleCrop>false</ScaleCrop>
  <LinksUpToDate>false</LinksUpToDate>
  <CharactersWithSpaces>1568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2023-03-16T11:53:00Z</dcterms:created>
  <dc:creator>lx</dc:creator>
  <cp:lastModifiedBy>YUANSU HU</cp:lastModifiedBy>
  <cp:lastPrinted>2025-03-25T03:06:00Z</cp:lastPrinted>
  <dcterms:modified xsi:type="dcterms:W3CDTF">2025-03-28T11:15:05Z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</vt:lpwstr>
  </property>
  <property fmtid="{D5CDD505-2E9C-101B-9397-08002B2CF9AE}" pid="3" name="KSOProductBuildVer">
    <vt:lpwstr>2052-11.1.0.14309</vt:lpwstr>
  </property>
  <property fmtid="{D5CDD505-2E9C-101B-9397-08002B2CF9AE}" pid="4" name="ICV">
    <vt:lpwstr>771DB7390FA046B7BF5B023BE099F549_13</vt:lpwstr>
  </property>
</Properties>
</file>