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]]></m:sse>
</m:mapping>
</file>

<file path=customXml\item3.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4.xml><?xml version="1.0" encoding="utf-8"?>
<sc:sections xmlns:sc="http://mapping.word.org/2014/section/customiz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]]></t:sse>
</t:template>
</file>

<file path=customXml\itemProps1.xml><?xml version="1.0" encoding="utf-8"?>
<ds:datastoreItem xmlns:ds="http://schemas.openxmlformats.org/officeDocument/2006/customXml" ds:itemID="{6239062A-1D1B-4E14-BC6C-5B40630453E6}">
  <ds:schemaRefs>
    <ds:schemaRef ds:uri="http://schemas.openxmlformats.org/officeDocument/2006/bibliography"/>
  </ds:schemaRefs>
</ds:datastoreItem>
</file>

<file path=customXml\itemProps2.xml><?xml version="1.0" encoding="utf-8"?>
<ds:datastoreItem xmlns:ds="http://schemas.openxmlformats.org/officeDocument/2006/customXml" ds:itemID="{6B2E6901-FC44-4666-8441-B409DAA07940}">
  <ds:schemaRefs>
    <ds:schemaRef ds:uri="http://mapping.word.org/2012/mapping"/>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85413154-ED28-4AF6-A1C7-0AB11806CE11}">
  <ds:schemaRefs>
    <ds:schemaRef ds:uri="http://mapping.word.org/2014/section/customiz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0AA2AA1-89EF-480A-A477-8D3DE5B9952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965</TotalTime>
  <Pages>1</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YUANSU HU</dc:creator>
  <cp:lastModifiedBy>波 张</cp:lastModifiedBy>
  <cp:revision>11</cp:revision>
  <dcterms:created xsi:type="dcterms:W3CDTF">2024-03-04T07:43:00Z</dcterms:created>
  <dcterms:modified xsi:type="dcterms:W3CDTF">2025-03-03T09:06:00Z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</vt:lpwstr>
  </property>
  <property fmtid="{D5CDD505-2E9C-101B-9397-08002B2CF9AE}" pid="3" name="KSOProductBuildVer">
    <vt:lpwstr>2052-11.1.0.14309</vt:lpwstr>
  </property>
  <property fmtid="{D5CDD505-2E9C-101B-9397-08002B2CF9AE}" pid="4" name="ICV">
    <vt:lpwstr>7A2F14EEDE5C4C7E9778C08715371868_12</vt:lpwstr>
  </property>
</Propertie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ppData\Roaming\Microsoft\Templates\SSEReport.dotm"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0B6" w:rsidRDefault="00D250B6"/>
    <w:sdt>
      <w:sdtPr>
        <w:rPr>
          <w:rFonts w:asciiTheme="majorEastAsia" w:eastAsiaTheme="majorEastAsia" w:hAnsiTheme="majorEastAsia" w:hint="eastAsia"/>
          <w:b/>
          <w:szCs w:val="24"/>
        </w:rPr>
        <w:alias w:val="选项模块:A股"/>
        <w:tag w:val="_SEC_e03362b794b84f94aa9e1cf0d75ab0a7"/>
        <w:id w:val="-699464507"/>
        <w:lock w:val="sdtLocked"/>
        <w:placeholder>
          <w:docPart w:val="GBC22222222222222222222222222222"/>
        </w:placeholder>
      </w:sdtPr>
      <w:sdtEndPr>
        <w:rPr>
          <w:rFonts w:asciiTheme="minorHAnsi" w:eastAsiaTheme="minorEastAsia" w:hAnsiTheme="minorHAnsi"/>
          <w:b w:val="0"/>
        </w:rPr>
      </w:sdtEndPr>
      <w:sdtContent>
        <w:p w:rsidR="00D250B6" w:rsidRDefault="00000000">
          <w:pPr>
            <w:jc w:val="left"/>
            <w:rPr>
              <w:rFonts w:ascii="黑体" w:eastAsia="黑体" w:hAnsi="黑体" w:hint="eastAsia"/>
              <w:bCs/>
              <w:sz w:val="21"/>
              <w:szCs w:val="21"/>
            </w:rPr>
          </w:pPr>
          <w:r>
            <w:rPr>
              <w:rFonts w:ascii="黑体" w:eastAsia="黑体" w:hAnsi="黑体" w:hint="eastAsia"/>
              <w:bCs/>
              <w:sz w:val="21"/>
              <w:szCs w:val="21"/>
            </w:rPr>
            <w:t>股票代码：</w:t>
          </w:r>
          <w:sdt>
            <w:sdtPr>
              <w:rPr>
                <w:rFonts w:ascii="黑体" w:eastAsia="黑体" w:hAnsi="黑体" w:hint="eastAsia"/>
                <w:bCs/>
                <w:sz w:val="21"/>
                <w:szCs w:val="21"/>
              </w:rPr>
              <w:alias w:val="A股代码"/>
              <w:tag w:val="_GBC_cc6fdf7dc2054e4f9e082ed74b6a5425"/>
              <w:id w:val="1661113043"/>
              <w:lock w:val="sdtLocked"/>
              <w:placeholder>
                <w:docPart w:val="GBC22222222222222222222222222222"/>
              </w:placeholder>
            </w:sdtPr>
            <w:sdtContent>
              <w:r>
                <w:rPr>
                  <w:rFonts w:ascii="黑体" w:eastAsia="黑体" w:hAnsi="黑体" w:hint="eastAsia"/>
                  <w:bCs/>
                  <w:sz w:val="21"/>
                  <w:szCs w:val="21"/>
                </w:rPr>
                <w:t>600188</w:t>
              </w:r>
            </w:sdtContent>
          </w:sdt>
          <w:r>
            <w:rPr>
              <w:rFonts w:ascii="黑体" w:eastAsia="黑体" w:hAnsi="黑体" w:hint="eastAsia"/>
              <w:bCs/>
              <w:sz w:val="21"/>
              <w:szCs w:val="21"/>
            </w:rPr>
            <w:t xml:space="preserve">   </w:t>
          </w:r>
          <w:r>
            <w:rPr>
              <w:rFonts w:ascii="黑体" w:eastAsia="黑体" w:hAnsi="黑体"/>
              <w:bCs/>
              <w:sz w:val="21"/>
              <w:szCs w:val="21"/>
            </w:rPr>
            <w:t xml:space="preserve">          </w:t>
          </w:r>
          <w:r>
            <w:rPr>
              <w:rFonts w:ascii="黑体" w:eastAsia="黑体" w:hAnsi="黑体" w:hint="eastAsia"/>
              <w:bCs/>
              <w:sz w:val="21"/>
              <w:szCs w:val="21"/>
            </w:rPr>
            <w:t xml:space="preserve">   股票简称：</w:t>
          </w:r>
          <w:sdt>
            <w:sdtPr>
              <w:rPr>
                <w:rFonts w:ascii="黑体" w:eastAsia="黑体" w:hAnsi="黑体" w:hint="eastAsia"/>
                <w:bCs/>
                <w:sz w:val="21"/>
                <w:szCs w:val="21"/>
              </w:rPr>
              <w:alias w:val="A股简称"/>
              <w:tag w:val="_GBC_77e8fad392474aa4be479414251ffb31"/>
              <w:id w:val="-1434240"/>
              <w:lock w:val="sdtLocked"/>
              <w:placeholder>
                <w:docPart w:val="GBC22222222222222222222222222222"/>
              </w:placeholder>
            </w:sdtPr>
            <w:sdtContent>
              <w:proofErr w:type="gramStart"/>
              <w:r>
                <w:rPr>
                  <w:rFonts w:ascii="黑体" w:eastAsia="黑体" w:hAnsi="黑体" w:hint="eastAsia"/>
                  <w:bCs/>
                  <w:sz w:val="21"/>
                  <w:szCs w:val="21"/>
                </w:rPr>
                <w:t>兖</w:t>
              </w:r>
              <w:proofErr w:type="gramEnd"/>
              <w:r>
                <w:rPr>
                  <w:rFonts w:ascii="黑体" w:eastAsia="黑体" w:hAnsi="黑体" w:hint="eastAsia"/>
                  <w:bCs/>
                  <w:sz w:val="21"/>
                  <w:szCs w:val="21"/>
                </w:rPr>
                <w:t>矿能源</w:t>
              </w:r>
            </w:sdtContent>
          </w:sdt>
          <w:r>
            <w:rPr>
              <w:rFonts w:ascii="黑体" w:eastAsia="黑体" w:hAnsi="黑体" w:hint="eastAsia"/>
              <w:bCs/>
              <w:sz w:val="21"/>
              <w:szCs w:val="21"/>
            </w:rPr>
            <w:t xml:space="preserve">    </w:t>
          </w:r>
          <w:r>
            <w:rPr>
              <w:rFonts w:ascii="黑体" w:eastAsia="黑体" w:hAnsi="黑体"/>
              <w:bCs/>
              <w:sz w:val="21"/>
              <w:szCs w:val="21"/>
            </w:rPr>
            <w:t xml:space="preserve">     </w:t>
          </w:r>
          <w:r>
            <w:rPr>
              <w:rFonts w:ascii="黑体" w:eastAsia="黑体" w:hAnsi="黑体" w:hint="eastAsia"/>
              <w:bCs/>
              <w:sz w:val="21"/>
              <w:szCs w:val="21"/>
            </w:rPr>
            <w:t xml:space="preserve">    编号：临</w:t>
          </w:r>
          <w:r>
            <w:rPr>
              <w:rFonts w:ascii="黑体" w:eastAsia="黑体" w:hAnsi="黑体"/>
              <w:bCs/>
              <w:sz w:val="21"/>
              <w:szCs w:val="21"/>
            </w:rPr>
            <w:t xml:space="preserve"> </w:t>
          </w:r>
          <w:sdt>
            <w:sdtPr>
              <w:rPr>
                <w:rFonts w:ascii="黑体" w:eastAsia="黑体" w:hAnsi="黑体" w:hint="eastAsia"/>
                <w:bCs/>
                <w:sz w:val="21"/>
                <w:szCs w:val="21"/>
              </w:rPr>
              <w:alias w:val="临时公告编号"/>
              <w:tag w:val="_GBC_fff01b59764149628ec7651b658cdfb6"/>
              <w:id w:val="-25950851"/>
              <w:lock w:val="sdtLocked"/>
              <w:placeholder>
                <w:docPart w:val="GBC22222222222222222222222222222"/>
              </w:placeholder>
            </w:sdtPr>
            <w:sdtContent>
              <w:r>
                <w:rPr>
                  <w:rFonts w:ascii="黑体" w:eastAsia="黑体" w:hAnsi="黑体" w:hint="eastAsia"/>
                  <w:bCs/>
                  <w:sz w:val="21"/>
                  <w:szCs w:val="21"/>
                </w:rPr>
                <w:t>2025-</w:t>
              </w:r>
              <w:r>
                <w:rPr>
                  <w:rFonts w:ascii="黑体" w:eastAsia="黑体" w:hAnsi="黑体"/>
                  <w:bCs/>
                  <w:sz w:val="21"/>
                  <w:szCs w:val="21"/>
                </w:rPr>
                <w:t>0</w:t>
              </w:r>
              <w:r>
                <w:rPr>
                  <w:rFonts w:ascii="黑体" w:eastAsia="黑体" w:hAnsi="黑体" w:hint="eastAsia"/>
                  <w:bCs/>
                  <w:sz w:val="21"/>
                  <w:szCs w:val="21"/>
                </w:rPr>
                <w:t>12</w:t>
              </w:r>
            </w:sdtContent>
          </w:sdt>
        </w:p>
        <w:p w:rsidR="00D250B6" w:rsidRDefault="00000000">
          <w:pPr>
            <w:rPr>
              <w:szCs w:val="24"/>
            </w:rPr>
          </w:pPr>
        </w:p>
      </w:sdtContent>
    </w:sdt>
    <w:sdt>
      <w:sdtPr>
        <w:rPr>
          <w:rFonts w:ascii="黑体" w:eastAsia="黑体" w:hAnsi="黑体" w:hint="eastAsia"/>
          <w:b/>
          <w:sz w:val="28"/>
          <w:szCs w:val="28"/>
        </w:rPr>
        <w:alias w:val="模块:可转债上市公告"/>
        <w:tag w:val="_SEC_b41758ce170d4001bde4cc3e7b883f48"/>
        <w:id w:val="-1107196385"/>
        <w:lock w:val="sdtLocked"/>
        <w:placeholder>
          <w:docPart w:val="GBC22222222222222222222222222222"/>
        </w:placeholder>
      </w:sdtPr>
      <w:sdtEndPr>
        <w:rPr>
          <w:color w:val="FF0000"/>
        </w:rPr>
      </w:sdtEndPr>
      <w:sdtContent>
        <w:p w:rsidR="00D250B6" w:rsidRDefault="00000000">
          <w:pPr>
            <w:spacing w:beforeLines="50" w:before="156" w:line="520" w:lineRule="exact"/>
            <w:jc w:val="center"/>
            <w:rPr>
              <w:rFonts w:ascii="黑体" w:eastAsia="黑体" w:hAnsi="黑体" w:hint="eastAsia"/>
              <w:b/>
              <w:color w:val="FF0000"/>
              <w:sz w:val="28"/>
              <w:szCs w:val="28"/>
            </w:rPr>
          </w:pPr>
          <w:sdt>
            <w:sdtPr>
              <w:rPr>
                <w:rFonts w:ascii="黑体" w:eastAsia="黑体" w:hAnsi="黑体" w:hint="eastAsia"/>
                <w:b/>
                <w:color w:val="FF0000"/>
                <w:sz w:val="36"/>
                <w:szCs w:val="36"/>
              </w:rPr>
              <w:alias w:val="公司法定中文名称"/>
              <w:tag w:val="_GBC_469ed98c26544cde935109dfa7edca74"/>
              <w:id w:val="975722112"/>
              <w:lock w:val="sdtLocked"/>
              <w:placeholder>
                <w:docPart w:val="GBC22222222222222222222222222222"/>
              </w:placeholder>
              <w:dataBinding w:prefixMappings="xmlns:clcta-gie='clcta-gie'" w:xpath="/*/clcta-gie:GongSiFaDingZhongWenMingCheng[not(@periodRef)]" w:storeItemID="{F9CFF96E-F764-41B9-B1F0-CADBA89E637A}"/>
              <w:text/>
            </w:sdtPr>
            <w:sdtContent>
              <w:proofErr w:type="gramStart"/>
              <w:r>
                <w:rPr>
                  <w:rFonts w:ascii="黑体" w:eastAsia="黑体" w:hAnsi="黑体" w:hint="eastAsia"/>
                  <w:b/>
                  <w:color w:val="FF0000"/>
                  <w:sz w:val="36"/>
                  <w:szCs w:val="36"/>
                </w:rPr>
                <w:t>兖</w:t>
              </w:r>
              <w:proofErr w:type="gramEnd"/>
              <w:r>
                <w:rPr>
                  <w:rFonts w:ascii="黑体" w:eastAsia="黑体" w:hAnsi="黑体" w:hint="eastAsia"/>
                  <w:b/>
                  <w:color w:val="FF0000"/>
                  <w:sz w:val="36"/>
                  <w:szCs w:val="36"/>
                </w:rPr>
                <w:t>矿能源集团股份有限公司</w:t>
              </w:r>
            </w:sdtContent>
          </w:sdt>
        </w:p>
        <w:p w:rsidR="00D250B6" w:rsidRDefault="00000000">
          <w:pPr>
            <w:adjustRightInd w:val="0"/>
            <w:snapToGrid w:val="0"/>
            <w:jc w:val="center"/>
            <w:rPr>
              <w:rFonts w:ascii="黑体" w:eastAsia="黑体" w:hAnsi="黑体" w:hint="eastAsia"/>
              <w:b/>
              <w:bCs/>
              <w:color w:val="FF0000"/>
              <w:sz w:val="36"/>
              <w:szCs w:val="36"/>
            </w:rPr>
          </w:pPr>
          <w:r>
            <w:rPr>
              <w:rFonts w:ascii="黑体" w:eastAsia="黑体" w:hAnsi="黑体" w:hint="eastAsia"/>
              <w:b/>
              <w:bCs/>
              <w:color w:val="FF0000"/>
              <w:sz w:val="36"/>
              <w:szCs w:val="36"/>
            </w:rPr>
            <w:t>关于2021年A股限制性股票激励计划</w:t>
          </w:r>
        </w:p>
        <w:p w:rsidR="00D250B6" w:rsidRDefault="00000000">
          <w:pPr>
            <w:adjustRightInd w:val="0"/>
            <w:snapToGrid w:val="0"/>
            <w:jc w:val="center"/>
            <w:rPr>
              <w:rFonts w:ascii="Times New Roman" w:eastAsia="宋体" w:hAnsi="Times New Roman"/>
              <w:sz w:val="21"/>
              <w:szCs w:val="21"/>
            </w:rPr>
          </w:pPr>
          <w:r>
            <w:rPr>
              <w:rFonts w:ascii="黑体" w:eastAsia="黑体" w:hAnsi="黑体" w:hint="eastAsia"/>
              <w:b/>
              <w:bCs/>
              <w:color w:val="FF0000"/>
              <w:sz w:val="36"/>
              <w:szCs w:val="36"/>
            </w:rPr>
            <w:t>第二期解除限售暨</w:t>
          </w:r>
          <w:r>
            <w:rPr>
              <w:rStyle w:val="fontstyle01"/>
              <w:rFonts w:ascii="黑体" w:eastAsia="黑体" w:hAnsi="黑体" w:hint="default"/>
              <w:b/>
            </w:rPr>
            <w:t>上市的公告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337612550"/>
        <w:lock w:val="sdtLocked"/>
        <w:placeholder>
          <w:docPart w:val="GBC22222222222222222222222222222"/>
        </w:placeholder>
      </w:sdtPr>
      <w:sdtEndPr>
        <w:rPr>
          <w:rFonts w:asciiTheme="minorHAnsi" w:hAnsiTheme="minorHAnsi"/>
          <w:szCs w:val="21"/>
        </w:rPr>
      </w:sdtEndPr>
      <w:sdtContent>
        <w:tbl>
          <w:tblPr>
            <w:tblStyle w:val="af2"/>
            <w:tblW w:w="5000" w:type="pct"/>
            <w:tblLook w:val="04A0" w:firstRow="1" w:lastRow="0" w:firstColumn="1" w:lastColumn="0" w:noHBand="0" w:noVBand="1"/>
          </w:tblPr>
          <w:tblGrid>
            <w:gridCol w:w="8720"/>
          </w:tblGrid>
          <w:tr w:rsidR="00D250B6">
            <w:tc>
              <w:tcPr>
                <w:tcW w:w="5000" w:type="pct"/>
              </w:tcPr>
              <w:p w:rsidR="00D250B6" w:rsidRDefault="00000000">
                <w:pPr>
                  <w:spacing w:line="520" w:lineRule="exact"/>
                  <w:rPr>
                    <w:rFonts w:ascii="宋体" w:eastAsia="宋体" w:hAnsi="宋体" w:hint="eastAsia"/>
                    <w:sz w:val="28"/>
                    <w:szCs w:val="28"/>
                  </w:rPr>
                </w:pPr>
                <w:r>
                  <w:rPr>
                    <w:rFonts w:asciiTheme="minorEastAsia" w:hAnsiTheme="minorEastAsia" w:hint="eastAsia"/>
                    <w:szCs w:val="24"/>
                  </w:rPr>
                  <w:t xml:space="preserve">   </w:t>
                </w:r>
                <w:r>
                  <w:rPr>
                    <w:rFonts w:asciiTheme="minorEastAsia" w:hAnsiTheme="minorEastAsia" w:hint="eastAsia"/>
                    <w:sz w:val="28"/>
                    <w:szCs w:val="28"/>
                  </w:rPr>
                  <w:t xml:space="preserve"> </w:t>
                </w:r>
                <w:r>
                  <w:rPr>
                    <w:rFonts w:ascii="宋体" w:eastAsia="宋体" w:hAnsi="宋体" w:hint="eastAsia"/>
                    <w:sz w:val="28"/>
                    <w:szCs w:val="28"/>
                  </w:rPr>
                  <w:t>本公司董事会及全体董事保证本公告内容不存在任何虚假记载、误导性陈述或者重大遗漏，并对其内容的真实性、准确性和完整性依法承担法律责任。</w:t>
                </w:r>
              </w:p>
            </w:tc>
          </w:tr>
        </w:tbl>
        <w:p w:rsidR="00D250B6" w:rsidRDefault="00000000">
          <w:pPr>
            <w:rPr>
              <w:i/>
              <w:color w:val="0070C0"/>
              <w:szCs w:val="21"/>
            </w:rPr>
          </w:pPr>
        </w:p>
      </w:sdtContent>
    </w:sdt>
    <w:p w:rsidR="00D250B6" w:rsidRDefault="00000000">
      <w:pPr>
        <w:pStyle w:val="1"/>
        <w:keepNext w:val="0"/>
        <w:keepLines w:val="0"/>
        <w:tabs>
          <w:tab w:val="left" w:pos="3372"/>
        </w:tabs>
        <w:spacing w:line="240" w:lineRule="auto"/>
        <w:ind w:firstLineChars="46" w:firstLine="129"/>
        <w:rPr>
          <w:rFonts w:ascii="Calibri" w:eastAsia="宋体" w:hAnsi="Calibri" w:cs="Times New Roman"/>
          <w:kern w:val="0"/>
          <w:sz w:val="28"/>
          <w:szCs w:val="28"/>
        </w:rPr>
      </w:pPr>
      <w:r>
        <w:rPr>
          <w:rFonts w:ascii="Calibri" w:eastAsia="宋体" w:hAnsi="Calibri" w:cs="Times New Roman" w:hint="eastAsia"/>
          <w:kern w:val="0"/>
          <w:sz w:val="28"/>
          <w:szCs w:val="28"/>
        </w:rPr>
        <w:t>重要内容提示：</w:t>
      </w:r>
    </w:p>
    <w:sdt>
      <w:sdtPr>
        <w:rPr>
          <w:rFonts w:ascii="仿宋_GB2312" w:eastAsia="仿宋_GB2312" w:hAnsiTheme="minorEastAsia" w:hint="eastAsia"/>
          <w:sz w:val="28"/>
        </w:rPr>
        <w:alias w:val="模块:股票上市类型"/>
        <w:tag w:val="_SEC_b43a402482764390adb7b6e242651dbd"/>
        <w:id w:val="-1208952064"/>
        <w:lock w:val="sdtLocked"/>
        <w:placeholder>
          <w:docPart w:val="GBC22222222222222222222222222222"/>
        </w:placeholder>
      </w:sdtPr>
      <w:sdtEndPr>
        <w:rPr>
          <w:rFonts w:asciiTheme="majorEastAsia" w:eastAsiaTheme="majorEastAsia" w:hAnsiTheme="majorEastAsia"/>
        </w:rPr>
      </w:sdtEndPr>
      <w:sdtContent>
        <w:p w:rsidR="00D250B6" w:rsidRDefault="00000000">
          <w:pPr>
            <w:numPr>
              <w:ilvl w:val="0"/>
              <w:numId w:val="1"/>
            </w:numPr>
            <w:adjustRightInd w:val="0"/>
            <w:snapToGrid w:val="0"/>
            <w:spacing w:line="360" w:lineRule="auto"/>
            <w:ind w:left="0" w:firstLineChars="200" w:firstLine="560"/>
            <w:rPr>
              <w:rFonts w:asciiTheme="majorEastAsia" w:eastAsiaTheme="majorEastAsia" w:hAnsiTheme="majorEastAsia" w:hint="eastAsia"/>
              <w:sz w:val="28"/>
            </w:rPr>
          </w:pPr>
          <w:r>
            <w:rPr>
              <w:rFonts w:asciiTheme="majorEastAsia" w:eastAsiaTheme="majorEastAsia" w:hAnsiTheme="majorEastAsia" w:hint="eastAsia"/>
              <w:sz w:val="28"/>
            </w:rPr>
            <w:t>本次股票上市类型为</w:t>
          </w:r>
          <w:sdt>
            <w:sdtPr>
              <w:rPr>
                <w:rFonts w:asciiTheme="majorEastAsia" w:eastAsiaTheme="majorEastAsia" w:hAnsiTheme="majorEastAsia" w:hint="eastAsia"/>
                <w:sz w:val="28"/>
              </w:rPr>
              <w:alias w:val="股票上市类型"/>
              <w:tag w:val="_GBC_878a3e380d604621b88f15d69b03bcf2"/>
              <w:id w:val="675077338"/>
              <w:lock w:val="sdtLocked"/>
              <w:placeholder>
                <w:docPart w:val="GBC22222222222222222222222222222"/>
              </w:placeholder>
              <w:comboBox>
                <w:listItem w:displayText="首发" w:value="首发"/>
                <w:listItem w:displayText="非公开发行" w:value="非公开发行"/>
                <w:listItem w:displayText="股权激励" w:value="股权激励"/>
                <w:listItem w:displayText="首发战略配售股票/存托凭证（限售期为XX月）" w:value="首发战略配售股票/存托凭证（限售期为XX月）"/>
                <w:listItem w:displayText="配股/存" w:value="配股/存"/>
                <w:listItem w:displayText="增发" w:value="增发"/>
                <w:listItem w:displayText="吸收合并" w:value="吸收合并"/>
                <w:listItem w:displayText="股改后限售" w:value="股改后限售"/>
                <w:listItem w:displayText="其他" w:value="其他"/>
              </w:comboBox>
            </w:sdtPr>
            <w:sdtContent>
              <w:r>
                <w:rPr>
                  <w:rFonts w:asciiTheme="majorEastAsia" w:eastAsiaTheme="majorEastAsia" w:hAnsiTheme="majorEastAsia" w:hint="eastAsia"/>
                  <w:sz w:val="28"/>
                </w:rPr>
                <w:t>股权激励</w:t>
              </w:r>
            </w:sdtContent>
          </w:sdt>
          <w:r>
            <w:rPr>
              <w:rFonts w:asciiTheme="majorEastAsia" w:eastAsiaTheme="majorEastAsia" w:hAnsiTheme="majorEastAsia" w:hint="eastAsia"/>
              <w:sz w:val="28"/>
            </w:rPr>
            <w:t>股份；股票认购方式为</w:t>
          </w:r>
          <w:sdt>
            <w:sdtPr>
              <w:rPr>
                <w:rFonts w:asciiTheme="majorEastAsia" w:eastAsiaTheme="majorEastAsia" w:hAnsiTheme="majorEastAsia" w:hint="eastAsia"/>
                <w:sz w:val="28"/>
              </w:rPr>
              <w:alias w:val="股票认购方式"/>
              <w:tag w:val="_GBC_9655fcaae98c4749b579c929b144972c"/>
              <w:id w:val="80812053"/>
              <w:lock w:val="sdtLocked"/>
              <w:placeholder>
                <w:docPart w:val="GBC22222222222222222222222222222"/>
              </w:placeholder>
              <w:comboBox>
                <w:listItem w:displayText="网下" w:value="网下"/>
                <w:listItem w:displayText="网上" w:value="网上"/>
              </w:comboBox>
            </w:sdtPr>
            <w:sdtContent>
              <w:r>
                <w:rPr>
                  <w:rFonts w:asciiTheme="majorEastAsia" w:eastAsiaTheme="majorEastAsia" w:hAnsiTheme="majorEastAsia" w:hint="eastAsia"/>
                  <w:sz w:val="28"/>
                </w:rPr>
                <w:t>网下</w:t>
              </w:r>
            </w:sdtContent>
          </w:sdt>
          <w:r>
            <w:rPr>
              <w:rFonts w:asciiTheme="majorEastAsia" w:eastAsiaTheme="majorEastAsia" w:hAnsiTheme="majorEastAsia" w:hint="eastAsia"/>
              <w:sz w:val="28"/>
            </w:rPr>
            <w:t>，上市股数为</w:t>
          </w:r>
          <w:sdt>
            <w:sdtPr>
              <w:rPr>
                <w:rFonts w:asciiTheme="majorEastAsia" w:eastAsiaTheme="majorEastAsia" w:hAnsiTheme="majorEastAsia" w:hint="eastAsia"/>
                <w:sz w:val="28"/>
              </w:rPr>
              <w:alias w:val="上市股数"/>
              <w:tag w:val="_GBC_586888b94dd747cfb51c31d725e99366"/>
              <w:id w:val="422465959"/>
              <w:lock w:val="sdtLocked"/>
              <w:placeholder>
                <w:docPart w:val="GBC22222222222222222222222222222"/>
              </w:placeholder>
            </w:sdtPr>
            <w:sdtEndPr>
              <w:rPr>
                <w:rFonts w:hint="default"/>
              </w:rPr>
            </w:sdtEndPr>
            <w:sdtContent>
              <w:r>
                <w:rPr>
                  <w:rFonts w:asciiTheme="majorEastAsia" w:eastAsiaTheme="majorEastAsia" w:hAnsiTheme="majorEastAsia" w:hint="eastAsia"/>
                  <w:sz w:val="28"/>
                </w:rPr>
                <w:t>36,738,702</w:t>
              </w:r>
            </w:sdtContent>
          </w:sdt>
          <w:r>
            <w:rPr>
              <w:rFonts w:asciiTheme="majorEastAsia" w:eastAsiaTheme="majorEastAsia" w:hAnsiTheme="majorEastAsia" w:hint="eastAsia"/>
              <w:sz w:val="28"/>
            </w:rPr>
            <w:t>股。</w:t>
          </w:r>
        </w:p>
      </w:sdtContent>
    </w:sdt>
    <w:sdt>
      <w:sdtPr>
        <w:rPr>
          <w:rFonts w:asciiTheme="majorEastAsia" w:eastAsiaTheme="majorEastAsia" w:hAnsiTheme="majorEastAsia" w:hint="eastAsia"/>
          <w:sz w:val="28"/>
        </w:rPr>
        <w:alias w:val="模块:本次股票上市流通总数"/>
        <w:tag w:val="_SEC_aa6cbb3e26d8440b81ae392c6a790d80"/>
        <w:id w:val="-2017226946"/>
        <w:lock w:val="sdtLocked"/>
        <w:placeholder>
          <w:docPart w:val="GBC22222222222222222222222222222"/>
        </w:placeholder>
      </w:sdtPr>
      <w:sdtContent>
        <w:p w:rsidR="00D250B6" w:rsidRDefault="00000000">
          <w:pPr>
            <w:adjustRightInd w:val="0"/>
            <w:snapToGrid w:val="0"/>
            <w:spacing w:line="360" w:lineRule="auto"/>
            <w:ind w:left="560"/>
            <w:rPr>
              <w:rFonts w:asciiTheme="majorEastAsia" w:eastAsiaTheme="majorEastAsia" w:hAnsiTheme="majorEastAsia" w:hint="eastAsia"/>
              <w:sz w:val="28"/>
            </w:rPr>
          </w:pPr>
          <w:r>
            <w:rPr>
              <w:rFonts w:asciiTheme="majorEastAsia" w:eastAsiaTheme="majorEastAsia" w:hAnsiTheme="majorEastAsia" w:hint="eastAsia"/>
              <w:sz w:val="28"/>
            </w:rPr>
            <w:t>本次股票上市流通总数为</w:t>
          </w:r>
          <w:sdt>
            <w:sdtPr>
              <w:rPr>
                <w:rFonts w:asciiTheme="majorEastAsia" w:eastAsiaTheme="majorEastAsia" w:hAnsiTheme="majorEastAsia" w:hint="eastAsia"/>
                <w:sz w:val="28"/>
              </w:rPr>
              <w:alias w:val="股票上市流通总数"/>
              <w:tag w:val="_GBC_1e2b45d78acb44ea90706152f652a13a"/>
              <w:id w:val="-398988039"/>
              <w:lock w:val="sdtLocked"/>
              <w:placeholder>
                <w:docPart w:val="GBC22222222222222222222222222222"/>
              </w:placeholder>
            </w:sdtPr>
            <w:sdtContent>
              <w:r>
                <w:rPr>
                  <w:rFonts w:asciiTheme="majorEastAsia" w:eastAsiaTheme="majorEastAsia" w:hAnsiTheme="majorEastAsia" w:hint="eastAsia"/>
                  <w:sz w:val="28"/>
                </w:rPr>
                <w:t>36,738,702</w:t>
              </w:r>
            </w:sdtContent>
          </w:sdt>
          <w:r>
            <w:rPr>
              <w:rFonts w:asciiTheme="majorEastAsia" w:eastAsiaTheme="majorEastAsia" w:hAnsiTheme="majorEastAsia" w:hint="eastAsia"/>
              <w:sz w:val="28"/>
            </w:rPr>
            <w:t>股。</w:t>
          </w:r>
        </w:p>
      </w:sdtContent>
    </w:sdt>
    <w:sdt>
      <w:sdtPr>
        <w:rPr>
          <w:rFonts w:asciiTheme="majorEastAsia" w:eastAsiaTheme="majorEastAsia" w:hAnsiTheme="majorEastAsia" w:hint="eastAsia"/>
          <w:sz w:val="28"/>
        </w:rPr>
        <w:alias w:val="模块:本次股票上市流通日期"/>
        <w:tag w:val="_SEC_b0ab61e502194c8da2f28470fa0a0c8b"/>
        <w:id w:val="1364870239"/>
        <w:lock w:val="sdtLocked"/>
        <w:placeholder>
          <w:docPart w:val="GBC22222222222222222222222222222"/>
        </w:placeholder>
      </w:sdtPr>
      <w:sdtContent>
        <w:p w:rsidR="00D250B6" w:rsidRDefault="00000000">
          <w:pPr>
            <w:numPr>
              <w:ilvl w:val="0"/>
              <w:numId w:val="1"/>
            </w:numPr>
            <w:adjustRightInd w:val="0"/>
            <w:snapToGrid w:val="0"/>
            <w:spacing w:line="360" w:lineRule="auto"/>
            <w:ind w:left="0" w:firstLineChars="200" w:firstLine="560"/>
            <w:rPr>
              <w:rFonts w:asciiTheme="majorEastAsia" w:eastAsiaTheme="majorEastAsia" w:hAnsiTheme="majorEastAsia" w:hint="eastAsia"/>
              <w:sz w:val="28"/>
            </w:rPr>
          </w:pPr>
          <w:r>
            <w:rPr>
              <w:rFonts w:asciiTheme="majorEastAsia" w:eastAsiaTheme="majorEastAsia" w:hAnsiTheme="majorEastAsia" w:hint="eastAsia"/>
              <w:sz w:val="28"/>
            </w:rPr>
            <w:t>本次股票上市流通日期为</w:t>
          </w:r>
          <w:sdt>
            <w:sdtPr>
              <w:rPr>
                <w:rFonts w:asciiTheme="majorEastAsia" w:eastAsiaTheme="majorEastAsia" w:hAnsiTheme="majorEastAsia" w:hint="eastAsia"/>
                <w:sz w:val="28"/>
              </w:rPr>
              <w:alias w:val="股票上市流通日期"/>
              <w:tag w:val="_GBC_7b8cb92800c64ed9b06bd4a7bd82668f"/>
              <w:id w:val="-1367296413"/>
              <w:lock w:val="sdtLocked"/>
              <w:placeholder>
                <w:docPart w:val="GBC22222222222222222222222222222"/>
              </w:placeholder>
              <w:date w:fullDate="2025-03-07T00:00:00Z">
                <w:dateFormat w:val="yyyy'年'M'月'd'日'"/>
                <w:lid w:val="zh-CN"/>
                <w:storeMappedDataAs w:val="dateTime"/>
                <w:calendar w:val="gregorian"/>
              </w:date>
            </w:sdtPr>
            <w:sdtContent>
              <w:r>
                <w:rPr>
                  <w:rFonts w:asciiTheme="majorEastAsia" w:eastAsiaTheme="majorEastAsia" w:hAnsiTheme="majorEastAsia" w:hint="eastAsia"/>
                  <w:sz w:val="28"/>
                </w:rPr>
                <w:t>2025年3月7日</w:t>
              </w:r>
            </w:sdtContent>
          </w:sdt>
          <w:r>
            <w:rPr>
              <w:rFonts w:asciiTheme="majorEastAsia" w:eastAsiaTheme="majorEastAsia" w:hAnsiTheme="majorEastAsia" w:hint="eastAsia"/>
              <w:sz w:val="28"/>
            </w:rPr>
            <w:t>。</w:t>
          </w:r>
        </w:p>
      </w:sdtContent>
    </w:sdt>
    <w:p w:rsidR="00D250B6" w:rsidRDefault="00D250B6"/>
    <w:p w:rsidR="00D250B6" w:rsidRDefault="00000000">
      <w:pPr>
        <w:autoSpaceDE w:val="0"/>
        <w:spacing w:line="520" w:lineRule="exact"/>
        <w:ind w:firstLineChars="200" w:firstLine="560"/>
        <w:rPr>
          <w:rFonts w:ascii="宋体" w:hAnsi="宋体" w:hint="eastAsia"/>
          <w:sz w:val="28"/>
          <w:szCs w:val="28"/>
        </w:rPr>
      </w:pPr>
      <w:r>
        <w:rPr>
          <w:rFonts w:ascii="宋体" w:hAnsi="宋体" w:hint="eastAsia"/>
          <w:sz w:val="28"/>
          <w:szCs w:val="28"/>
        </w:rPr>
        <w:t>兖矿能源集团股份有限公司（“公司”）于2025年2月24日召开第九届董事会第十三次会议和第九届监事会第九次会议，通过了《关于审议批准解禁A股限制性股票激励第二批限售股份的议案》，确认公司2021年A股限制性股票激励计划（“本激励计划”）第二个解除限售期解除限售条件已经达成，同意为1,171名激励对象办理相关限制性股票解除限售事宜。根据本激励计划规定和公司2022年度第一次临时股东大会、2022年度第一次A股及H股类别股东大会（“股东大会”）授权，现就第二期解除限售暨上市的相关事项说明如下：</w:t>
      </w:r>
    </w:p>
    <w:p w:rsidR="00D250B6" w:rsidRDefault="00000000">
      <w:pPr>
        <w:autoSpaceDE w:val="0"/>
        <w:spacing w:line="520" w:lineRule="exact"/>
        <w:ind w:firstLineChars="200" w:firstLine="560"/>
        <w:rPr>
          <w:rFonts w:ascii="黑体" w:eastAsia="黑体" w:hAnsi="黑体" w:hint="eastAsia"/>
          <w:sz w:val="28"/>
          <w:szCs w:val="28"/>
        </w:rPr>
      </w:pPr>
      <w:r>
        <w:rPr>
          <w:rFonts w:ascii="黑体" w:eastAsia="黑体" w:hAnsi="黑体" w:hint="eastAsia"/>
          <w:sz w:val="28"/>
          <w:szCs w:val="28"/>
        </w:rPr>
        <w:t>一、本激励计划批准及实施情况</w:t>
      </w:r>
    </w:p>
    <w:p w:rsidR="00D250B6" w:rsidRDefault="00000000">
      <w:pPr>
        <w:pStyle w:val="p0"/>
        <w:widowControl w:val="0"/>
        <w:autoSpaceDE w:val="0"/>
        <w:snapToGrid w:val="0"/>
        <w:spacing w:line="520" w:lineRule="exact"/>
        <w:ind w:firstLineChars="200" w:firstLine="562"/>
        <w:rPr>
          <w:rFonts w:ascii="楷体_GB2312" w:eastAsia="楷体_GB2312"/>
          <w:b/>
          <w:bCs/>
          <w:color w:val="000000"/>
          <w:sz w:val="28"/>
          <w:szCs w:val="28"/>
        </w:rPr>
      </w:pPr>
      <w:r>
        <w:rPr>
          <w:rFonts w:ascii="楷体_GB2312" w:eastAsia="楷体_GB2312" w:hint="eastAsia"/>
          <w:b/>
          <w:bCs/>
          <w:color w:val="000000"/>
          <w:sz w:val="28"/>
          <w:szCs w:val="28"/>
        </w:rPr>
        <w:t>（一）本激励计划履行的程序</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1.2021年12月1日，公司第八届董事会第十八次会议和第八届监</w:t>
      </w:r>
      <w:r>
        <w:rPr>
          <w:rFonts w:ascii="宋体" w:hAnsi="宋体" w:hint="eastAsia"/>
          <w:color w:val="000000"/>
          <w:sz w:val="28"/>
          <w:szCs w:val="28"/>
        </w:rPr>
        <w:lastRenderedPageBreak/>
        <w:t>事会第十一次会议审议通过了《关于讨论审议公司〈2021年A股限制性股票激励计划（草案）〉及其摘要的议案》《关于讨论审议公司〈2021年A股限制性股票激励计划实施考核管理办法〉的议案》（上述议案合称“激励计划相关议案”）《关于授权董事会办理公司2021年A股限制性股票激励计划相关事项的议案》。</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2.2021年12月31日，公司第八届董事会第十九次会议和第八届监事会第十二次会议审议通过了激励计划相关议案（修订稿）。</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3.2021年12月31日至2022年1月9日，公司在办公地点公示了本激励计划的激励对象名单。公示期满后，监事会对本激励计划激励对象名单进行了核查并对公示情况进行了说明。</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4.2022年1月14日，公司收到山东能源集团有限公司《关于同意兖矿能源集团股份有限公司实施2021年A股限制性股票激励计划的批复》，同意公司按照有关规定实施本激励计划。</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5.2022年1月27日，公司2022年度第一次临时股东大会、2022年度第一次A股及H股类别股东大会审议批准了激励计划相关议案和《关于授权董事会办理公司2021年A股限制性股票激励计划相关事项的议案》。同日，将本激励计划内幕信息知情人买卖公司股票情况自查报告进行了公告，未发现相关内幕信息知情人利用内幕信息买卖公司股票的情况。</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6.2022年1月27日，公司第八届董事会第二十次会议和第八届监事会第十三次会议审议批准了《关于调整公司2021年A股限制性股票激励计划相关事项的议案》《关于向2021年A股限制性股票激励计划激励对象授予限制性股票的议案》。</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7.2022年2月24日，公司收到中国证券登记结算有限责任公司上海分公司出具的《证券变更登记证明》，完成了2021年A股限制性股票激励计划授予登记工作。</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lastRenderedPageBreak/>
        <w:t>8.2023年8月25日，公司第九届董事会第二次会议和第九届监事会第二次会议审议批准了《关于调整2021年A股限制性股票激励计划相关事项的议案》。</w:t>
      </w:r>
      <w:r>
        <w:rPr>
          <w:rFonts w:ascii="宋体" w:hAnsi="宋体" w:hint="eastAsia"/>
          <w:sz w:val="28"/>
          <w:szCs w:val="28"/>
        </w:rPr>
        <w:t>鉴于</w:t>
      </w:r>
      <w:r>
        <w:rPr>
          <w:rFonts w:ascii="宋体" w:hAnsi="宋体" w:hint="eastAsia"/>
          <w:color w:val="000000"/>
          <w:sz w:val="28"/>
          <w:szCs w:val="28"/>
        </w:rPr>
        <w:t>本激励计划26名激励对象因调动、退休等原因，已不符合激励条件，应对其已获授但尚未解除限售的限制性股票267万股进行回购注销；</w:t>
      </w:r>
      <w:r>
        <w:rPr>
          <w:rFonts w:ascii="宋体" w:hAnsi="宋体" w:hint="eastAsia"/>
          <w:sz w:val="28"/>
          <w:szCs w:val="28"/>
        </w:rPr>
        <w:t>鉴于公司2021年度、2022年度利润分配方案已经实施完毕，根据公司《2021年A股限制性股票激励计划》相关规定，公司对限制性股票的回购价格及回购数量进行相应的调整</w:t>
      </w:r>
      <w:r>
        <w:rPr>
          <w:rFonts w:ascii="宋体" w:hAnsi="宋体" w:hint="eastAsia"/>
          <w:color w:val="000000"/>
          <w:sz w:val="28"/>
          <w:szCs w:val="28"/>
        </w:rPr>
        <w:t>。</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9.2023年11月16日，公司收到中国证券登记结算有限责任公司上海分公司出具的《证券变更登记证明》，完成了267万股限制性股票回购注销。</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10.2024年2月23日，公司召开第九届董事会薪酬与考核委员会第一次会议，审议通过了《关于公司2021年A股限制性股票激励计划第一个解除限售期解除限售条件成就的议案》《关于回购注销部分激励对象限制性股票的议案》，同意将该议案提交董事会审议。</w:t>
      </w:r>
    </w:p>
    <w:p w:rsidR="00D250B6" w:rsidRDefault="00000000">
      <w:pPr>
        <w:pStyle w:val="p0"/>
        <w:widowControl w:val="0"/>
        <w:autoSpaceDE w:val="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11.2024年2月23日，公司第九届董事会第五次会议和第九届监事会第四次会议审议批准了《关于回购注销部分激励对象限制性股票的议案》《关于公司2021年A股限制性股票激励计划第一个解除限售期条件成就的议案》。鉴于本激励计划16名激励对象因职务调动等原因已不符合激励条件，2名激励对象绩效考核结果为“不合格”，4名激励对象绩效考核结果为“达标”，应对上述22名激励对象已获授但尚未解除限售的限制性股票140.118万股进行回购注销。同时2021年A股限制性股票激励计划第一个解除限售期解除限售条件已经达成，同意对1,201名激励对象所获授的2,916.342万股限制性股票解除限售。</w:t>
      </w:r>
    </w:p>
    <w:p w:rsidR="00D250B6" w:rsidRDefault="00000000">
      <w:pPr>
        <w:pStyle w:val="p0"/>
        <w:snapToGrid w:val="0"/>
        <w:spacing w:line="520" w:lineRule="exact"/>
        <w:ind w:firstLineChars="200" w:firstLine="560"/>
        <w:rPr>
          <w:rFonts w:ascii="宋体" w:hAnsi="宋体" w:hint="eastAsia"/>
          <w:sz w:val="28"/>
          <w:szCs w:val="28"/>
        </w:rPr>
      </w:pPr>
      <w:r>
        <w:rPr>
          <w:rFonts w:ascii="宋体" w:hAnsi="宋体" w:hint="eastAsia"/>
          <w:color w:val="000000"/>
          <w:sz w:val="28"/>
          <w:szCs w:val="28"/>
        </w:rPr>
        <w:t>12.</w:t>
      </w:r>
      <w:r>
        <w:rPr>
          <w:rFonts w:ascii="宋体" w:hAnsi="宋体" w:hint="eastAsia"/>
          <w:sz w:val="28"/>
          <w:szCs w:val="28"/>
        </w:rPr>
        <w:t>2024年5月13日，公司收到中国证券登记结算有限责任公司上海分公司出具的《证券变更登记证明》，完成了140.118万股限制性股票回购注销。</w:t>
      </w:r>
    </w:p>
    <w:p w:rsidR="00D250B6" w:rsidRDefault="00000000">
      <w:pPr>
        <w:pStyle w:val="p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lastRenderedPageBreak/>
        <w:t>13.2025年2月</w:t>
      </w:r>
      <w:r>
        <w:rPr>
          <w:rFonts w:ascii="宋体" w:hAnsi="宋体" w:hint="eastAsia"/>
          <w:sz w:val="28"/>
          <w:szCs w:val="28"/>
        </w:rPr>
        <w:t>21</w:t>
      </w:r>
      <w:r>
        <w:rPr>
          <w:rFonts w:ascii="宋体" w:hAnsi="宋体" w:hint="eastAsia"/>
          <w:color w:val="000000"/>
          <w:sz w:val="28"/>
          <w:szCs w:val="28"/>
        </w:rPr>
        <w:t>日，公司召开第九届董事会薪酬委员会第四次会议，审议通过了《关于回购注销部分激励对象限制性股票的议案》《</w:t>
      </w:r>
      <w:bookmarkStart w:id="0" w:name="OLE_LINK1"/>
      <w:r>
        <w:rPr>
          <w:rFonts w:ascii="宋体" w:hAnsi="宋体" w:hint="eastAsia"/>
          <w:color w:val="000000"/>
          <w:sz w:val="28"/>
          <w:szCs w:val="28"/>
        </w:rPr>
        <w:t>关于审议批准解禁A股限制性股票激励第二批限售股份的议案</w:t>
      </w:r>
      <w:bookmarkEnd w:id="0"/>
      <w:r>
        <w:rPr>
          <w:rFonts w:ascii="宋体" w:hAnsi="宋体" w:hint="eastAsia"/>
          <w:color w:val="000000"/>
          <w:sz w:val="28"/>
          <w:szCs w:val="28"/>
        </w:rPr>
        <w:t>》，同意将该议案提交董事会审议。</w:t>
      </w:r>
    </w:p>
    <w:p w:rsidR="00D250B6" w:rsidRDefault="00000000">
      <w:pPr>
        <w:pStyle w:val="p0"/>
        <w:snapToGrid w:val="0"/>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14.2025年2月24日，公司第九届董事会第十三次会议和第九届监事会第九次会议审议批准了《关于回购注销部分激励对象限制性股票的议案》《关于审议批准解禁A股限制性股票激励第二批限售股份的议案》。</w:t>
      </w:r>
      <w:r>
        <w:rPr>
          <w:rFonts w:ascii="宋体" w:hAnsi="宋体" w:hint="eastAsia"/>
          <w:sz w:val="28"/>
          <w:szCs w:val="28"/>
        </w:rPr>
        <w:t>鉴于</w:t>
      </w:r>
      <w:r>
        <w:rPr>
          <w:rFonts w:ascii="宋体" w:hAnsi="宋体" w:hint="eastAsia"/>
          <w:color w:val="000000"/>
          <w:sz w:val="28"/>
          <w:szCs w:val="28"/>
        </w:rPr>
        <w:t>本激励计划</w:t>
      </w:r>
      <w:r>
        <w:rPr>
          <w:rFonts w:ascii="宋体" w:hAnsi="宋体" w:hint="eastAsia"/>
          <w:sz w:val="28"/>
          <w:szCs w:val="28"/>
        </w:rPr>
        <w:t>27</w:t>
      </w:r>
      <w:r>
        <w:rPr>
          <w:rFonts w:ascii="宋体" w:hAnsi="宋体" w:hint="eastAsia"/>
          <w:color w:val="000000"/>
          <w:sz w:val="28"/>
          <w:szCs w:val="28"/>
        </w:rPr>
        <w:t>名激励对象因职务调动等原因已不符合激励条件，</w:t>
      </w:r>
      <w:r>
        <w:rPr>
          <w:rFonts w:ascii="宋体" w:hAnsi="宋体" w:hint="eastAsia"/>
          <w:sz w:val="28"/>
          <w:szCs w:val="28"/>
        </w:rPr>
        <w:t>5</w:t>
      </w:r>
      <w:r>
        <w:rPr>
          <w:rFonts w:ascii="宋体" w:hAnsi="宋体" w:hint="eastAsia"/>
          <w:color w:val="000000"/>
          <w:sz w:val="28"/>
          <w:szCs w:val="28"/>
        </w:rPr>
        <w:t>名激励对象绩效考核结果为“不合格”，</w:t>
      </w:r>
      <w:r>
        <w:rPr>
          <w:rFonts w:ascii="宋体" w:hAnsi="宋体" w:hint="eastAsia"/>
          <w:sz w:val="28"/>
          <w:szCs w:val="28"/>
        </w:rPr>
        <w:t>9</w:t>
      </w:r>
      <w:r>
        <w:rPr>
          <w:rFonts w:ascii="宋体" w:hAnsi="宋体" w:hint="eastAsia"/>
          <w:color w:val="000000"/>
          <w:sz w:val="28"/>
          <w:szCs w:val="28"/>
        </w:rPr>
        <w:t>名激励对象绩效考核结果为“达标”，应对</w:t>
      </w:r>
      <w:r>
        <w:rPr>
          <w:rFonts w:ascii="宋体" w:hAnsi="宋体" w:hint="eastAsia"/>
          <w:sz w:val="28"/>
          <w:szCs w:val="28"/>
        </w:rPr>
        <w:t>上述41名激励对象已获授但尚未解除限售的限制性股票237.986万股</w:t>
      </w:r>
      <w:r>
        <w:rPr>
          <w:rFonts w:ascii="宋体" w:hAnsi="宋体" w:hint="eastAsia"/>
          <w:color w:val="000000"/>
          <w:sz w:val="28"/>
          <w:szCs w:val="28"/>
        </w:rPr>
        <w:t>进行回购注销</w:t>
      </w:r>
      <w:r>
        <w:rPr>
          <w:rFonts w:ascii="宋体" w:hAnsi="宋体" w:hint="eastAsia"/>
          <w:sz w:val="28"/>
          <w:szCs w:val="28"/>
        </w:rPr>
        <w:t>。同时2021年A股限制性股票激励计划第二个解除限售期解除限售条件已经达成，同意对1,171名激励对象所获授的3,673.870万股限制性股票解除限售。</w:t>
      </w:r>
    </w:p>
    <w:p w:rsidR="00D250B6" w:rsidRDefault="00000000">
      <w:pPr>
        <w:pStyle w:val="p0"/>
        <w:widowControl w:val="0"/>
        <w:autoSpaceDE w:val="0"/>
        <w:snapToGrid w:val="0"/>
        <w:spacing w:afterLines="50" w:after="156" w:line="520" w:lineRule="exact"/>
        <w:ind w:firstLineChars="200" w:firstLine="562"/>
        <w:rPr>
          <w:rFonts w:ascii="楷体_GB2312" w:eastAsia="楷体_GB2312"/>
          <w:b/>
          <w:bCs/>
          <w:sz w:val="28"/>
          <w:szCs w:val="28"/>
        </w:rPr>
      </w:pPr>
      <w:r>
        <w:rPr>
          <w:rFonts w:ascii="楷体_GB2312" w:eastAsia="楷体_GB2312" w:hint="eastAsia"/>
          <w:b/>
          <w:bCs/>
          <w:sz w:val="28"/>
          <w:szCs w:val="28"/>
        </w:rPr>
        <w:t>（二）本激励计划限制性股票授予情况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806"/>
        <w:gridCol w:w="1984"/>
        <w:gridCol w:w="2602"/>
      </w:tblGrid>
      <w:tr w:rsidR="00D250B6">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授予日期</w:t>
            </w:r>
          </w:p>
        </w:tc>
        <w:tc>
          <w:tcPr>
            <w:tcW w:w="1806"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授予价格</w:t>
            </w:r>
          </w:p>
        </w:tc>
        <w:tc>
          <w:tcPr>
            <w:tcW w:w="1984"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授予股票数量</w:t>
            </w:r>
          </w:p>
        </w:tc>
        <w:tc>
          <w:tcPr>
            <w:tcW w:w="2602"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授予激励对象人数</w:t>
            </w:r>
          </w:p>
        </w:tc>
      </w:tr>
      <w:tr w:rsidR="00D250B6">
        <w:trPr>
          <w:trHeight w:val="567"/>
        </w:trPr>
        <w:tc>
          <w:tcPr>
            <w:tcW w:w="2130"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2022/1/27</w:t>
            </w:r>
          </w:p>
        </w:tc>
        <w:tc>
          <w:tcPr>
            <w:tcW w:w="1806"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11.72 元/股</w:t>
            </w:r>
          </w:p>
        </w:tc>
        <w:tc>
          <w:tcPr>
            <w:tcW w:w="1984"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6174万股</w:t>
            </w:r>
          </w:p>
        </w:tc>
        <w:tc>
          <w:tcPr>
            <w:tcW w:w="2602" w:type="dxa"/>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1245人</w:t>
            </w:r>
          </w:p>
        </w:tc>
      </w:tr>
    </w:tbl>
    <w:p w:rsidR="00D250B6" w:rsidRDefault="00000000">
      <w:pPr>
        <w:autoSpaceDE w:val="0"/>
        <w:spacing w:afterLines="50" w:after="156" w:line="520" w:lineRule="exact"/>
        <w:ind w:firstLineChars="200" w:firstLine="562"/>
        <w:rPr>
          <w:rFonts w:ascii="楷体_GB2312" w:eastAsia="楷体_GB2312"/>
          <w:b/>
          <w:bCs/>
          <w:sz w:val="28"/>
          <w:szCs w:val="28"/>
        </w:rPr>
      </w:pPr>
      <w:r>
        <w:rPr>
          <w:rFonts w:ascii="楷体_GB2312" w:eastAsia="楷体_GB2312" w:hint="eastAsia"/>
          <w:b/>
          <w:bCs/>
          <w:sz w:val="28"/>
          <w:szCs w:val="28"/>
        </w:rPr>
        <w:t>（三）历次限制性股票解除限售情况</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333"/>
        <w:gridCol w:w="1416"/>
        <w:gridCol w:w="1522"/>
        <w:gridCol w:w="1589"/>
        <w:gridCol w:w="1846"/>
      </w:tblGrid>
      <w:tr w:rsidR="00D250B6">
        <w:trPr>
          <w:trHeight w:val="567"/>
        </w:trPr>
        <w:tc>
          <w:tcPr>
            <w:tcW w:w="737"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批次</w:t>
            </w:r>
          </w:p>
        </w:tc>
        <w:tc>
          <w:tcPr>
            <w:tcW w:w="737"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解除限售日期</w:t>
            </w:r>
          </w:p>
        </w:tc>
        <w:tc>
          <w:tcPr>
            <w:tcW w:w="783"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解除限售数量（股）</w:t>
            </w:r>
          </w:p>
        </w:tc>
        <w:tc>
          <w:tcPr>
            <w:tcW w:w="842"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hint="eastAsia"/>
                <w:b/>
                <w:bCs/>
              </w:rPr>
              <w:t>剩余未解除限售数量（股）</w:t>
            </w:r>
          </w:p>
        </w:tc>
        <w:tc>
          <w:tcPr>
            <w:tcW w:w="879"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b/>
                <w:bCs/>
              </w:rPr>
            </w:pPr>
            <w:r>
              <w:rPr>
                <w:rFonts w:ascii="宋体" w:hAnsi="宋体"/>
                <w:b/>
                <w:bCs/>
              </w:rPr>
              <w:t>取消</w:t>
            </w:r>
            <w:r>
              <w:rPr>
                <w:rFonts w:ascii="宋体" w:hAnsi="宋体" w:hint="eastAsia"/>
                <w:b/>
                <w:bCs/>
              </w:rPr>
              <w:t>解除限售</w:t>
            </w:r>
            <w:r>
              <w:rPr>
                <w:rFonts w:ascii="宋体" w:hAnsi="宋体"/>
                <w:b/>
                <w:bCs/>
              </w:rPr>
              <w:t>股票数量及原因</w:t>
            </w:r>
            <w:r>
              <w:rPr>
                <w:rFonts w:ascii="宋体" w:hAnsi="宋体" w:hint="eastAsia"/>
                <w:b/>
                <w:bCs/>
                <w:vertAlign w:val="superscript"/>
              </w:rPr>
              <w:t>注</w:t>
            </w:r>
          </w:p>
        </w:tc>
        <w:tc>
          <w:tcPr>
            <w:tcW w:w="1021" w:type="pct"/>
            <w:tcBorders>
              <w:top w:val="single" w:sz="4" w:space="0" w:color="auto"/>
              <w:left w:val="single" w:sz="4" w:space="0" w:color="auto"/>
              <w:bottom w:val="single" w:sz="4" w:space="0" w:color="auto"/>
              <w:right w:val="single" w:sz="4" w:space="0" w:color="auto"/>
            </w:tcBorders>
          </w:tcPr>
          <w:p w:rsidR="00D250B6" w:rsidRDefault="00000000">
            <w:pPr>
              <w:pStyle w:val="p0"/>
              <w:snapToGrid w:val="0"/>
              <w:jc w:val="center"/>
              <w:rPr>
                <w:rFonts w:ascii="宋体" w:hAnsi="宋体" w:hint="eastAsia"/>
                <w:b/>
                <w:bCs/>
              </w:rPr>
            </w:pPr>
            <w:r>
              <w:rPr>
                <w:rFonts w:ascii="宋体" w:hAnsi="宋体"/>
                <w:b/>
                <w:bCs/>
              </w:rPr>
              <w:t>因分红送转导致</w:t>
            </w:r>
            <w:r>
              <w:rPr>
                <w:rFonts w:ascii="宋体" w:hAnsi="宋体" w:hint="eastAsia"/>
                <w:b/>
                <w:bCs/>
              </w:rPr>
              <w:t>解除限售</w:t>
            </w:r>
            <w:r>
              <w:rPr>
                <w:rFonts w:ascii="宋体" w:hAnsi="宋体"/>
                <w:b/>
                <w:bCs/>
              </w:rPr>
              <w:t>股票数量变化</w:t>
            </w:r>
          </w:p>
        </w:tc>
      </w:tr>
      <w:tr w:rsidR="00D250B6">
        <w:trPr>
          <w:trHeight w:val="567"/>
        </w:trPr>
        <w:tc>
          <w:tcPr>
            <w:tcW w:w="737"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rPr>
                <w:rFonts w:ascii="宋体" w:hAnsi="宋体" w:hint="eastAsia"/>
                <w:color w:val="000000"/>
              </w:rPr>
            </w:pPr>
            <w:r>
              <w:rPr>
                <w:rFonts w:ascii="宋体" w:hAnsi="宋体" w:hint="eastAsia"/>
                <w:color w:val="000000"/>
              </w:rPr>
              <w:t>2021年A股限制性股票激励计划第一期</w:t>
            </w:r>
          </w:p>
        </w:tc>
        <w:tc>
          <w:tcPr>
            <w:tcW w:w="737"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2024/3/8</w:t>
            </w:r>
          </w:p>
        </w:tc>
        <w:tc>
          <w:tcPr>
            <w:tcW w:w="783"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29,163,420</w:t>
            </w:r>
          </w:p>
        </w:tc>
        <w:tc>
          <w:tcPr>
            <w:tcW w:w="842"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59,375,400</w:t>
            </w:r>
          </w:p>
        </w:tc>
        <w:tc>
          <w:tcPr>
            <w:tcW w:w="879" w:type="pct"/>
            <w:tcBorders>
              <w:top w:val="single" w:sz="4" w:space="0" w:color="auto"/>
              <w:left w:val="single" w:sz="4" w:space="0" w:color="auto"/>
              <w:bottom w:val="single" w:sz="4" w:space="0" w:color="auto"/>
              <w:right w:val="single" w:sz="4" w:space="0" w:color="auto"/>
            </w:tcBorders>
            <w:vAlign w:val="center"/>
          </w:tcPr>
          <w:p w:rsidR="00D250B6" w:rsidRDefault="00000000">
            <w:pPr>
              <w:pStyle w:val="p0"/>
              <w:snapToGrid w:val="0"/>
              <w:jc w:val="center"/>
              <w:rPr>
                <w:rFonts w:ascii="宋体" w:hAnsi="宋体" w:hint="eastAsia"/>
                <w:color w:val="000000"/>
              </w:rPr>
            </w:pPr>
            <w:r>
              <w:rPr>
                <w:rFonts w:ascii="宋体" w:hAnsi="宋体" w:hint="eastAsia"/>
                <w:color w:val="000000"/>
              </w:rPr>
              <w:t>4,071,180</w:t>
            </w:r>
          </w:p>
        </w:tc>
        <w:tc>
          <w:tcPr>
            <w:tcW w:w="1021" w:type="pct"/>
            <w:tcBorders>
              <w:top w:val="single" w:sz="4" w:space="0" w:color="auto"/>
              <w:left w:val="single" w:sz="4" w:space="0" w:color="auto"/>
              <w:bottom w:val="single" w:sz="4" w:space="0" w:color="auto"/>
              <w:right w:val="single" w:sz="4" w:space="0" w:color="auto"/>
            </w:tcBorders>
          </w:tcPr>
          <w:p w:rsidR="00D250B6" w:rsidRDefault="00000000">
            <w:pPr>
              <w:pStyle w:val="p0"/>
              <w:snapToGrid w:val="0"/>
              <w:jc w:val="center"/>
              <w:rPr>
                <w:rFonts w:ascii="宋体" w:hAnsi="宋体" w:hint="eastAsia"/>
                <w:color w:val="000000"/>
              </w:rPr>
            </w:pPr>
            <w:r>
              <w:rPr>
                <w:rFonts w:ascii="宋体" w:hAnsi="宋体" w:hint="eastAsia"/>
                <w:color w:val="000000"/>
              </w:rPr>
              <w:t>因实施2022 年度利润分配方案,每股派送红股0.5股,解除限售股票数量由19,442,280</w:t>
            </w:r>
            <w:r w:rsidR="00FA0A0C">
              <w:rPr>
                <w:rFonts w:ascii="宋体" w:hAnsi="宋体" w:hint="eastAsia"/>
                <w:color w:val="000000"/>
              </w:rPr>
              <w:t>股</w:t>
            </w:r>
            <w:r>
              <w:rPr>
                <w:rFonts w:ascii="宋体" w:hAnsi="宋体" w:hint="eastAsia"/>
                <w:color w:val="000000"/>
              </w:rPr>
              <w:t>调整为29,163,420股。</w:t>
            </w:r>
          </w:p>
        </w:tc>
      </w:tr>
    </w:tbl>
    <w:p w:rsidR="00D250B6" w:rsidRDefault="00000000">
      <w:pPr>
        <w:pStyle w:val="p0"/>
        <w:autoSpaceDE w:val="0"/>
        <w:snapToGrid w:val="0"/>
        <w:spacing w:line="520" w:lineRule="exact"/>
        <w:ind w:firstLineChars="200" w:firstLine="560"/>
        <w:rPr>
          <w:rFonts w:ascii="楷体_GB2312" w:eastAsia="楷体_GB2312"/>
          <w:kern w:val="2"/>
          <w:sz w:val="28"/>
          <w:szCs w:val="28"/>
        </w:rPr>
      </w:pPr>
      <w:r>
        <w:rPr>
          <w:rFonts w:ascii="楷体_GB2312" w:eastAsia="楷体_GB2312" w:hint="eastAsia"/>
          <w:kern w:val="2"/>
          <w:sz w:val="28"/>
          <w:szCs w:val="28"/>
        </w:rPr>
        <w:t>注：</w:t>
      </w:r>
    </w:p>
    <w:p w:rsidR="00D250B6" w:rsidRDefault="00000000">
      <w:pPr>
        <w:pStyle w:val="p0"/>
        <w:numPr>
          <w:ilvl w:val="0"/>
          <w:numId w:val="2"/>
        </w:numPr>
        <w:autoSpaceDE w:val="0"/>
        <w:snapToGrid w:val="0"/>
        <w:spacing w:line="520" w:lineRule="exact"/>
        <w:ind w:firstLineChars="200" w:firstLine="560"/>
        <w:rPr>
          <w:rFonts w:ascii="楷体_GB2312" w:eastAsia="楷体_GB2312"/>
          <w:kern w:val="2"/>
          <w:sz w:val="28"/>
          <w:szCs w:val="28"/>
        </w:rPr>
      </w:pPr>
      <w:r>
        <w:rPr>
          <w:rFonts w:ascii="楷体_GB2312" w:eastAsia="楷体_GB2312" w:hint="eastAsia"/>
          <w:kern w:val="2"/>
          <w:sz w:val="28"/>
          <w:szCs w:val="28"/>
        </w:rPr>
        <w:lastRenderedPageBreak/>
        <w:t>2023年8月25日，鉴于本激励计划26名激励对象因调动、退休等原因，已不符合激励条件，应对其已获授但尚未解除限售的限制性股票267万股进行回购注销</w:t>
      </w:r>
      <w:bookmarkStart w:id="1" w:name="OLE_LINK2"/>
      <w:r>
        <w:rPr>
          <w:rFonts w:ascii="楷体_GB2312" w:eastAsia="楷体_GB2312" w:hint="eastAsia"/>
          <w:kern w:val="2"/>
          <w:sz w:val="28"/>
          <w:szCs w:val="28"/>
        </w:rPr>
        <w:t>；鉴于公司2021年度、2022年度利润分配方案已经实施完毕，根据本激励计划相关规定，公司对限制性股票的回购价格及回购数量进行相应调整。</w:t>
      </w:r>
      <w:bookmarkEnd w:id="1"/>
    </w:p>
    <w:p w:rsidR="00D250B6" w:rsidRDefault="00000000">
      <w:pPr>
        <w:pStyle w:val="p0"/>
        <w:numPr>
          <w:ilvl w:val="0"/>
          <w:numId w:val="2"/>
        </w:numPr>
        <w:autoSpaceDE w:val="0"/>
        <w:snapToGrid w:val="0"/>
        <w:spacing w:line="520" w:lineRule="exact"/>
        <w:ind w:firstLineChars="200" w:firstLine="560"/>
        <w:rPr>
          <w:rFonts w:ascii="楷体_GB2312" w:eastAsia="楷体_GB2312"/>
          <w:kern w:val="2"/>
          <w:sz w:val="28"/>
          <w:szCs w:val="28"/>
        </w:rPr>
      </w:pPr>
      <w:r>
        <w:rPr>
          <w:rFonts w:ascii="楷体_GB2312" w:eastAsia="楷体_GB2312" w:hint="eastAsia"/>
          <w:kern w:val="2"/>
          <w:sz w:val="28"/>
          <w:szCs w:val="28"/>
        </w:rPr>
        <w:t>2024年2月23日，鉴于本激励计划16名激励对象因职务调动等原因已不符合激励条件，2名激励对象绩效考核结果为“不合格”，4名激励对象绩效考核结果为“达标”，应对上述22名激励对象已获授但尚未解除限售的限制性股票140.118万股进行回购注销。</w:t>
      </w:r>
    </w:p>
    <w:p w:rsidR="00D250B6" w:rsidRDefault="00000000">
      <w:pPr>
        <w:autoSpaceDE w:val="0"/>
        <w:spacing w:line="520" w:lineRule="exact"/>
        <w:ind w:firstLineChars="200" w:firstLine="562"/>
        <w:rPr>
          <w:rFonts w:ascii="宋体" w:hAnsi="宋体" w:hint="eastAsia"/>
          <w:b/>
          <w:bCs/>
          <w:sz w:val="28"/>
          <w:szCs w:val="28"/>
        </w:rPr>
      </w:pPr>
      <w:r>
        <w:rPr>
          <w:rFonts w:ascii="宋体" w:hAnsi="宋体" w:hint="eastAsia"/>
          <w:b/>
          <w:bCs/>
          <w:sz w:val="28"/>
          <w:szCs w:val="28"/>
        </w:rPr>
        <w:t>二、本激励计划第二个解除限售期解除限售条件达成的说明</w:t>
      </w:r>
    </w:p>
    <w:p w:rsidR="00D250B6" w:rsidRDefault="00000000">
      <w:pPr>
        <w:spacing w:line="520" w:lineRule="exact"/>
        <w:ind w:firstLineChars="200" w:firstLine="560"/>
        <w:rPr>
          <w:rFonts w:ascii="宋体" w:hAnsi="宋体" w:cs="宋体" w:hint="eastAsia"/>
          <w:sz w:val="28"/>
          <w:szCs w:val="28"/>
        </w:rPr>
      </w:pPr>
      <w:r>
        <w:rPr>
          <w:rFonts w:ascii="宋体" w:hAnsi="宋体" w:cs="宋体" w:hint="eastAsia"/>
          <w:sz w:val="28"/>
          <w:szCs w:val="28"/>
        </w:rPr>
        <w:t>根据</w:t>
      </w:r>
      <w:r w:rsidR="00FA0A0C">
        <w:rPr>
          <w:rFonts w:ascii="宋体" w:hAnsi="宋体" w:cs="宋体" w:hint="eastAsia"/>
          <w:sz w:val="28"/>
          <w:szCs w:val="28"/>
        </w:rPr>
        <w:t>本</w:t>
      </w:r>
      <w:r>
        <w:rPr>
          <w:rFonts w:ascii="宋体" w:hAnsi="宋体" w:cs="宋体" w:hint="eastAsia"/>
          <w:sz w:val="28"/>
          <w:szCs w:val="28"/>
        </w:rPr>
        <w:t>激励计划相关规定，公司2021年A股限制性股票激励计划第二个解除限售期解除限售条件已经达成，具体情况如下：</w:t>
      </w:r>
    </w:p>
    <w:p w:rsidR="00D250B6" w:rsidRDefault="00000000">
      <w:pPr>
        <w:spacing w:line="520" w:lineRule="exact"/>
        <w:ind w:firstLineChars="200" w:firstLine="560"/>
        <w:rPr>
          <w:rFonts w:ascii="宋体" w:hAnsi="宋体" w:cs="宋体" w:hint="eastAsia"/>
          <w:sz w:val="28"/>
          <w:szCs w:val="28"/>
        </w:rPr>
      </w:pPr>
      <w:r>
        <w:rPr>
          <w:rFonts w:ascii="宋体" w:hAnsi="宋体" w:cs="宋体" w:hint="eastAsia"/>
          <w:sz w:val="28"/>
          <w:szCs w:val="28"/>
        </w:rPr>
        <w:t>（一）限售期届满</w:t>
      </w:r>
    </w:p>
    <w:p w:rsidR="00D250B6" w:rsidRDefault="00000000">
      <w:pPr>
        <w:spacing w:line="520" w:lineRule="exact"/>
        <w:ind w:firstLineChars="200" w:firstLine="560"/>
        <w:rPr>
          <w:rFonts w:ascii="宋体" w:hAnsi="宋体" w:cs="宋体" w:hint="eastAsia"/>
          <w:sz w:val="28"/>
          <w:szCs w:val="28"/>
        </w:rPr>
      </w:pPr>
      <w:r>
        <w:rPr>
          <w:rFonts w:ascii="宋体" w:hAnsi="宋体" w:cs="宋体" w:hint="eastAsia"/>
          <w:sz w:val="28"/>
          <w:szCs w:val="28"/>
        </w:rPr>
        <w:t>本激励计划第二个限售期为自限制性股票完成登记日起24个月后的首个交易日起至限制性股票完成登记日起36个月内的最后一个交易日当日止，限售比例为获授限制性股票总数的33%。</w:t>
      </w:r>
    </w:p>
    <w:p w:rsidR="00D250B6" w:rsidRDefault="00000000">
      <w:pPr>
        <w:spacing w:line="520" w:lineRule="exact"/>
        <w:ind w:firstLineChars="200" w:firstLine="560"/>
        <w:rPr>
          <w:rFonts w:ascii="宋体" w:hAnsi="宋体" w:cs="宋体" w:hint="eastAsia"/>
          <w:sz w:val="28"/>
          <w:szCs w:val="28"/>
        </w:rPr>
      </w:pPr>
      <w:r>
        <w:rPr>
          <w:rFonts w:ascii="宋体" w:hAnsi="宋体" w:cs="宋体" w:hint="eastAsia"/>
          <w:sz w:val="28"/>
          <w:szCs w:val="28"/>
        </w:rPr>
        <w:t>本激励计划授予的限制性股票登记完成之日为2022年2月24日，第二个限售期于2025年2月23日届满。</w:t>
      </w:r>
    </w:p>
    <w:p w:rsidR="00D250B6" w:rsidRDefault="00000000">
      <w:pPr>
        <w:spacing w:line="520" w:lineRule="exact"/>
        <w:ind w:firstLineChars="200" w:firstLine="560"/>
        <w:rPr>
          <w:rFonts w:ascii="宋体" w:eastAsia="宋体" w:hAnsi="宋体" w:cs="宋体" w:hint="eastAsia"/>
          <w:sz w:val="28"/>
          <w:szCs w:val="28"/>
        </w:rPr>
      </w:pPr>
      <w:r>
        <w:rPr>
          <w:rFonts w:ascii="宋体" w:hAnsi="宋体" w:cs="宋体" w:hint="eastAsia"/>
          <w:sz w:val="28"/>
          <w:szCs w:val="28"/>
        </w:rPr>
        <w:t>（二）限制性股票解除限售条件已经达成</w:t>
      </w:r>
    </w:p>
    <w:p w:rsidR="00D250B6" w:rsidRDefault="00000000">
      <w:pPr>
        <w:spacing w:line="520" w:lineRule="exact"/>
        <w:ind w:firstLineChars="200" w:firstLine="560"/>
        <w:rPr>
          <w:rFonts w:ascii="宋体" w:hAnsi="宋体" w:hint="eastAsia"/>
          <w:sz w:val="28"/>
          <w:szCs w:val="28"/>
        </w:rPr>
      </w:pPr>
      <w:r>
        <w:rPr>
          <w:rFonts w:ascii="宋体" w:hAnsi="宋体" w:cs="宋体" w:hint="eastAsia"/>
          <w:sz w:val="28"/>
          <w:szCs w:val="28"/>
        </w:rPr>
        <w:t>解除限售期内，同时满足下列条件时，激励对象获授的限制性股票方可解除限售：</w:t>
      </w: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2967"/>
      </w:tblGrid>
      <w:tr w:rsidR="00D250B6">
        <w:trPr>
          <w:jc w:val="center"/>
        </w:trPr>
        <w:tc>
          <w:tcPr>
            <w:tcW w:w="6941" w:type="dxa"/>
            <w:tcBorders>
              <w:top w:val="single" w:sz="4" w:space="0" w:color="000000"/>
              <w:left w:val="single" w:sz="4" w:space="0" w:color="000000"/>
              <w:bottom w:val="single" w:sz="4" w:space="0" w:color="000000"/>
              <w:right w:val="single" w:sz="4" w:space="0" w:color="000000"/>
            </w:tcBorders>
          </w:tcPr>
          <w:p w:rsidR="00D250B6" w:rsidRDefault="00000000">
            <w:pPr>
              <w:widowControl/>
              <w:spacing w:line="400" w:lineRule="exact"/>
              <w:jc w:val="center"/>
              <w:rPr>
                <w:rFonts w:ascii="宋体" w:hAnsi="宋体" w:hint="eastAsia"/>
                <w:b/>
                <w:kern w:val="0"/>
                <w:szCs w:val="24"/>
              </w:rPr>
            </w:pPr>
            <w:r>
              <w:rPr>
                <w:rFonts w:ascii="宋体" w:hAnsi="宋体" w:hint="eastAsia"/>
                <w:b/>
                <w:color w:val="000000"/>
                <w:kern w:val="0"/>
                <w:szCs w:val="24"/>
              </w:rPr>
              <w:t>解除限售条件</w:t>
            </w:r>
          </w:p>
        </w:tc>
        <w:tc>
          <w:tcPr>
            <w:tcW w:w="2967" w:type="dxa"/>
            <w:tcBorders>
              <w:top w:val="single" w:sz="4" w:space="0" w:color="000000"/>
              <w:left w:val="single" w:sz="4" w:space="0" w:color="000000"/>
              <w:bottom w:val="single" w:sz="4" w:space="0" w:color="000000"/>
              <w:right w:val="single" w:sz="4" w:space="0" w:color="000000"/>
            </w:tcBorders>
          </w:tcPr>
          <w:p w:rsidR="00D250B6" w:rsidRDefault="00000000">
            <w:pPr>
              <w:widowControl/>
              <w:spacing w:line="400" w:lineRule="exact"/>
              <w:jc w:val="center"/>
              <w:rPr>
                <w:rFonts w:ascii="宋体" w:hAnsi="宋体" w:hint="eastAsia"/>
                <w:b/>
                <w:kern w:val="0"/>
                <w:szCs w:val="24"/>
              </w:rPr>
            </w:pPr>
            <w:r>
              <w:rPr>
                <w:rFonts w:ascii="宋体" w:hAnsi="宋体" w:hint="eastAsia"/>
                <w:b/>
                <w:kern w:val="0"/>
                <w:szCs w:val="24"/>
              </w:rPr>
              <w:t>达成情况</w:t>
            </w:r>
          </w:p>
        </w:tc>
      </w:tr>
      <w:tr w:rsidR="00D250B6">
        <w:trPr>
          <w:jc w:val="center"/>
        </w:trPr>
        <w:tc>
          <w:tcPr>
            <w:tcW w:w="6941" w:type="dxa"/>
            <w:tcBorders>
              <w:top w:val="single" w:sz="4" w:space="0" w:color="000000"/>
              <w:left w:val="single" w:sz="4" w:space="0" w:color="000000"/>
              <w:bottom w:val="single" w:sz="4" w:space="0" w:color="000000"/>
              <w:right w:val="single" w:sz="4" w:space="0" w:color="000000"/>
            </w:tcBorders>
          </w:tcPr>
          <w:p w:rsidR="00D250B6" w:rsidRDefault="00000000">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（一）公司未发生如下任一情形：</w:t>
            </w:r>
          </w:p>
          <w:p w:rsidR="00D250B6" w:rsidRDefault="00000000">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1. 最近一个会计年度财务会计报告被注册会计师出具否定意见或者无法表示意见的审计报告；</w:t>
            </w:r>
          </w:p>
          <w:p w:rsidR="00D250B6" w:rsidRDefault="00000000">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2. 最近一个会计年度财务报告内部控制被注册会计师出具否定意见或者无法表示意见的审计报告；</w:t>
            </w:r>
          </w:p>
          <w:p w:rsidR="00D250B6" w:rsidRDefault="00000000">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3．上市后最近36个月内出现过未按法律法规、公司章程、公开承</w:t>
            </w:r>
            <w:r>
              <w:rPr>
                <w:rFonts w:ascii="宋体" w:hAnsi="宋体" w:hint="eastAsia"/>
                <w:kern w:val="0"/>
                <w:szCs w:val="24"/>
              </w:rPr>
              <w:lastRenderedPageBreak/>
              <w:t>诺进行利润分配的情形；</w:t>
            </w:r>
          </w:p>
          <w:p w:rsidR="00D250B6" w:rsidRDefault="00000000">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4．法律法规规定不得实行股权激励的；</w:t>
            </w:r>
          </w:p>
          <w:p w:rsidR="00D250B6" w:rsidRDefault="00000000">
            <w:pPr>
              <w:widowControl/>
              <w:autoSpaceDE w:val="0"/>
              <w:autoSpaceDN w:val="0"/>
              <w:spacing w:line="400" w:lineRule="exact"/>
              <w:jc w:val="left"/>
              <w:rPr>
                <w:rFonts w:ascii="宋体" w:hAnsi="宋体" w:hint="eastAsia"/>
                <w:kern w:val="0"/>
                <w:szCs w:val="24"/>
              </w:rPr>
            </w:pPr>
            <w:r>
              <w:rPr>
                <w:rFonts w:ascii="宋体" w:hAnsi="宋体" w:hint="eastAsia"/>
                <w:kern w:val="0"/>
                <w:szCs w:val="24"/>
              </w:rPr>
              <w:t>5．中国证监会认定的其他情形。</w:t>
            </w:r>
          </w:p>
        </w:tc>
        <w:tc>
          <w:tcPr>
            <w:tcW w:w="2967" w:type="dxa"/>
            <w:tcBorders>
              <w:top w:val="single" w:sz="4" w:space="0" w:color="000000"/>
              <w:left w:val="single" w:sz="4" w:space="0" w:color="000000"/>
              <w:bottom w:val="single" w:sz="4" w:space="0" w:color="000000"/>
              <w:right w:val="single" w:sz="4" w:space="0" w:color="000000"/>
            </w:tcBorders>
            <w:vAlign w:val="center"/>
          </w:tcPr>
          <w:p w:rsidR="00D250B6" w:rsidRDefault="00000000">
            <w:pPr>
              <w:widowControl/>
              <w:spacing w:line="400" w:lineRule="exact"/>
              <w:rPr>
                <w:rFonts w:ascii="宋体" w:hAnsi="宋体" w:hint="eastAsia"/>
                <w:kern w:val="0"/>
                <w:szCs w:val="24"/>
              </w:rPr>
            </w:pPr>
            <w:r>
              <w:rPr>
                <w:rFonts w:ascii="宋体" w:hAnsi="宋体" w:hint="eastAsia"/>
                <w:kern w:val="0"/>
                <w:szCs w:val="24"/>
              </w:rPr>
              <w:lastRenderedPageBreak/>
              <w:t>公司未发生前述情形，满足解除限售条件。</w:t>
            </w:r>
          </w:p>
        </w:tc>
      </w:tr>
      <w:tr w:rsidR="00D250B6">
        <w:trPr>
          <w:jc w:val="center"/>
        </w:trPr>
        <w:tc>
          <w:tcPr>
            <w:tcW w:w="6941" w:type="dxa"/>
            <w:tcBorders>
              <w:top w:val="single" w:sz="4" w:space="0" w:color="000000"/>
              <w:left w:val="single" w:sz="4" w:space="0" w:color="000000"/>
              <w:bottom w:val="single" w:sz="4" w:space="0" w:color="000000"/>
              <w:right w:val="single" w:sz="4" w:space="0" w:color="000000"/>
            </w:tcBorders>
          </w:tcPr>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（二）激励对象未发生以下任一情形：</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1．最近12个月内被证券交易所认定为不适当人选；</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2. 最近12个月内被中国证监会及其派出机构认定为不适当人选；</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3．最近12个月内因重大违法违规行为被中国证监会及其派出机构行政处罚或者采取市场禁入措施；</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4．具有《公司法》规定的不得担任公司董事、高级管理人员情形的；</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5．法律法规规定不得参与上市公司股权激励的；</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6．中国证监会认定的其他情形。</w:t>
            </w:r>
          </w:p>
        </w:tc>
        <w:tc>
          <w:tcPr>
            <w:tcW w:w="2967" w:type="dxa"/>
            <w:tcBorders>
              <w:top w:val="single" w:sz="4" w:space="0" w:color="000000"/>
              <w:left w:val="single" w:sz="4" w:space="0" w:color="000000"/>
              <w:bottom w:val="single" w:sz="4" w:space="0" w:color="000000"/>
              <w:right w:val="single" w:sz="4" w:space="0" w:color="000000"/>
            </w:tcBorders>
            <w:vAlign w:val="center"/>
          </w:tcPr>
          <w:p w:rsidR="00D250B6" w:rsidRDefault="00000000">
            <w:pPr>
              <w:widowControl/>
              <w:spacing w:line="400" w:lineRule="exact"/>
              <w:rPr>
                <w:rFonts w:ascii="宋体" w:hAnsi="宋体" w:hint="eastAsia"/>
                <w:kern w:val="0"/>
                <w:szCs w:val="24"/>
              </w:rPr>
            </w:pPr>
            <w:r>
              <w:rPr>
                <w:rFonts w:ascii="宋体" w:hAnsi="宋体" w:hint="eastAsia"/>
                <w:kern w:val="0"/>
                <w:szCs w:val="24"/>
              </w:rPr>
              <w:t>激励对象未发生前述情形，满足解除限售条件。</w:t>
            </w:r>
          </w:p>
        </w:tc>
      </w:tr>
      <w:tr w:rsidR="00D250B6">
        <w:trPr>
          <w:trHeight w:val="494"/>
          <w:jc w:val="center"/>
        </w:trPr>
        <w:tc>
          <w:tcPr>
            <w:tcW w:w="6941" w:type="dxa"/>
            <w:tcBorders>
              <w:top w:val="single" w:sz="4" w:space="0" w:color="000000"/>
              <w:left w:val="single" w:sz="4" w:space="0" w:color="000000"/>
              <w:bottom w:val="single" w:sz="4" w:space="0" w:color="000000"/>
              <w:right w:val="single" w:sz="4" w:space="0" w:color="000000"/>
            </w:tcBorders>
          </w:tcPr>
          <w:p w:rsidR="00D250B6" w:rsidRDefault="00000000">
            <w:pPr>
              <w:widowControl/>
              <w:spacing w:line="400" w:lineRule="exact"/>
              <w:jc w:val="left"/>
              <w:rPr>
                <w:rFonts w:ascii="宋体" w:hAnsi="宋体" w:cs="宋体" w:hint="eastAsia"/>
                <w:kern w:val="0"/>
              </w:rPr>
            </w:pPr>
            <w:r>
              <w:rPr>
                <w:rFonts w:ascii="宋体" w:hAnsi="宋体" w:cs="宋体" w:hint="eastAsia"/>
                <w:kern w:val="0"/>
              </w:rPr>
              <w:t>（三）公司业绩考核要求</w:t>
            </w:r>
          </w:p>
          <w:p w:rsidR="00D250B6" w:rsidRDefault="00000000">
            <w:pPr>
              <w:widowControl/>
              <w:spacing w:line="400" w:lineRule="exact"/>
              <w:rPr>
                <w:rFonts w:ascii="宋体" w:eastAsia="宋体" w:hAnsi="宋体" w:cs="宋体" w:hint="eastAsia"/>
                <w:kern w:val="0"/>
              </w:rPr>
            </w:pPr>
            <w:r>
              <w:rPr>
                <w:rFonts w:ascii="宋体" w:eastAsia="宋体" w:hAnsi="宋体" w:cs="宋体" w:hint="eastAsia"/>
                <w:kern w:val="0"/>
              </w:rPr>
              <w:t>第二个解除限售期业绩考核目标：</w:t>
            </w:r>
          </w:p>
          <w:p w:rsidR="00D250B6" w:rsidRDefault="00000000">
            <w:pPr>
              <w:widowControl/>
              <w:spacing w:line="400" w:lineRule="exact"/>
              <w:rPr>
                <w:rFonts w:ascii="宋体" w:eastAsia="宋体" w:hAnsi="宋体" w:cs="宋体" w:hint="eastAsia"/>
                <w:kern w:val="0"/>
              </w:rPr>
            </w:pPr>
            <w:r>
              <w:rPr>
                <w:rFonts w:ascii="宋体" w:eastAsia="宋体" w:hAnsi="宋体" w:cs="宋体" w:hint="eastAsia"/>
                <w:kern w:val="0"/>
              </w:rPr>
              <w:t>1.以2020年归属于上市公司股东的扣除非经常性损益的净利润（“扣非归母净利润”）为基数，2023年度扣非归母净利润增长率不低于53%，且不低于同行业平均水平；</w:t>
            </w:r>
          </w:p>
          <w:p w:rsidR="00D250B6" w:rsidRDefault="00000000">
            <w:pPr>
              <w:widowControl/>
              <w:spacing w:line="400" w:lineRule="exact"/>
              <w:rPr>
                <w:rFonts w:ascii="宋体" w:eastAsia="宋体" w:hAnsi="宋体" w:cs="宋体" w:hint="eastAsia"/>
                <w:kern w:val="0"/>
              </w:rPr>
            </w:pPr>
            <w:r>
              <w:rPr>
                <w:rFonts w:ascii="宋体" w:eastAsia="宋体" w:hAnsi="宋体" w:cs="宋体" w:hint="eastAsia"/>
                <w:kern w:val="0"/>
              </w:rPr>
              <w:t>2.2023年度扣非每股收益不低于2.05元/股，且不低于同行业平均水平。</w:t>
            </w:r>
          </w:p>
          <w:p w:rsidR="00D250B6" w:rsidRDefault="00000000">
            <w:pPr>
              <w:widowControl/>
              <w:spacing w:line="400" w:lineRule="exact"/>
              <w:rPr>
                <w:rFonts w:ascii="宋体" w:eastAsia="宋体" w:hAnsi="宋体" w:cs="宋体" w:hint="eastAsia"/>
                <w:kern w:val="0"/>
              </w:rPr>
            </w:pPr>
            <w:r>
              <w:rPr>
                <w:rFonts w:ascii="宋体" w:eastAsia="宋体" w:hAnsi="宋体" w:cs="宋体" w:hint="eastAsia"/>
                <w:kern w:val="0"/>
              </w:rPr>
              <w:t>注：</w:t>
            </w:r>
          </w:p>
          <w:p w:rsidR="00D250B6" w:rsidRDefault="00000000">
            <w:pPr>
              <w:widowControl/>
              <w:spacing w:line="400" w:lineRule="exact"/>
              <w:rPr>
                <w:rFonts w:ascii="宋体" w:eastAsia="宋体" w:hAnsi="宋体" w:cs="宋体" w:hint="eastAsia"/>
                <w:kern w:val="0"/>
              </w:rPr>
            </w:pPr>
            <w:r>
              <w:rPr>
                <w:rFonts w:ascii="宋体" w:eastAsia="宋体" w:hAnsi="宋体" w:cs="宋体" w:hint="eastAsia"/>
                <w:kern w:val="0"/>
              </w:rPr>
              <w:t>（1）根据中国证监会行业分类结果，选取同行业“采矿业-煤炭开采和洗选业”分类下的全部上市公司。同行业样本若出现业务结构发生重大变化或出现业绩偏离幅度过大的样本极值，公司董事会将在考核时剔除或更换样本；</w:t>
            </w:r>
          </w:p>
          <w:p w:rsidR="00D250B6" w:rsidRDefault="00000000">
            <w:pPr>
              <w:widowControl/>
              <w:spacing w:line="400" w:lineRule="exact"/>
              <w:rPr>
                <w:rFonts w:ascii="宋体" w:hAnsi="宋体" w:hint="eastAsia"/>
                <w:kern w:val="0"/>
                <w:szCs w:val="24"/>
              </w:rPr>
            </w:pPr>
            <w:r>
              <w:rPr>
                <w:rFonts w:ascii="宋体" w:eastAsia="宋体" w:hAnsi="宋体" w:cs="宋体" w:hint="eastAsia"/>
                <w:kern w:val="0"/>
              </w:rPr>
              <w:t>（2）每股收益指扣非归母净利润与公司总股本的比率。在激励计划有效期内，若公司发生资本公积转增股本、派发股票红利、股份增发等影响公司总股本数量事宜，所涉及的公司股本总数将做相应调整，每股收益目标值随公司股本总数调整做相应调整。</w:t>
            </w:r>
          </w:p>
        </w:tc>
        <w:tc>
          <w:tcPr>
            <w:tcW w:w="2967" w:type="dxa"/>
            <w:tcBorders>
              <w:top w:val="single" w:sz="4" w:space="0" w:color="000000"/>
              <w:left w:val="single" w:sz="4" w:space="0" w:color="000000"/>
              <w:bottom w:val="single" w:sz="4" w:space="0" w:color="000000"/>
              <w:right w:val="single" w:sz="4" w:space="0" w:color="000000"/>
            </w:tcBorders>
            <w:vAlign w:val="center"/>
          </w:tcPr>
          <w:p w:rsidR="00D250B6" w:rsidRDefault="00000000">
            <w:pPr>
              <w:widowControl/>
              <w:spacing w:line="400" w:lineRule="exact"/>
              <w:rPr>
                <w:rFonts w:ascii="宋体" w:hAnsi="宋体" w:cs="宋体" w:hint="eastAsia"/>
                <w:color w:val="000000"/>
                <w:kern w:val="0"/>
              </w:rPr>
            </w:pPr>
            <w:r>
              <w:rPr>
                <w:rFonts w:ascii="宋体" w:hAnsi="宋体" w:cs="宋体" w:hint="eastAsia"/>
                <w:color w:val="000000"/>
                <w:kern w:val="0"/>
              </w:rPr>
              <w:t>公司满足第二个解除限售期解除限售的业绩考核目标：</w:t>
            </w:r>
          </w:p>
          <w:p w:rsidR="00D250B6" w:rsidRDefault="00000000">
            <w:pPr>
              <w:widowControl/>
              <w:spacing w:line="400" w:lineRule="exact"/>
              <w:rPr>
                <w:rFonts w:ascii="宋体" w:hAnsi="宋体" w:cs="宋体" w:hint="eastAsia"/>
                <w:color w:val="000000"/>
                <w:kern w:val="0"/>
              </w:rPr>
            </w:pPr>
            <w:r>
              <w:rPr>
                <w:rFonts w:ascii="宋体" w:hAnsi="宋体" w:cs="宋体" w:hint="eastAsia"/>
                <w:color w:val="000000"/>
                <w:kern w:val="0"/>
              </w:rPr>
              <w:t>（1）以2020年扣非归母净利润为基数，2023年度扣非归母净利润增长率为184.50%，高于同行业均值139.24%；</w:t>
            </w:r>
          </w:p>
          <w:p w:rsidR="00D250B6" w:rsidRDefault="00000000">
            <w:pPr>
              <w:widowControl/>
              <w:spacing w:line="400" w:lineRule="exact"/>
              <w:rPr>
                <w:rFonts w:ascii="宋体" w:hAnsi="宋体" w:cs="宋体" w:hint="eastAsia"/>
                <w:color w:val="000000"/>
                <w:kern w:val="0"/>
              </w:rPr>
            </w:pPr>
            <w:r>
              <w:rPr>
                <w:rFonts w:ascii="宋体" w:hAnsi="宋体" w:cs="宋体" w:hint="eastAsia"/>
                <w:color w:val="000000"/>
                <w:kern w:val="0"/>
              </w:rPr>
              <w:t>（2）2023年度扣非每股收益为2.53元/股，因公司在该年度内实施2022年度权益分派方案，同口径调整后的每股收益为3.75元/股，高于同行业均值1.30元/股。</w:t>
            </w:r>
          </w:p>
          <w:p w:rsidR="00D250B6" w:rsidRDefault="00D250B6">
            <w:pPr>
              <w:widowControl/>
              <w:spacing w:line="400" w:lineRule="exact"/>
              <w:rPr>
                <w:rFonts w:ascii="宋体" w:hAnsi="宋体" w:hint="eastAsia"/>
                <w:kern w:val="0"/>
                <w:szCs w:val="24"/>
              </w:rPr>
            </w:pPr>
          </w:p>
        </w:tc>
      </w:tr>
      <w:tr w:rsidR="00D250B6">
        <w:trPr>
          <w:trHeight w:val="3388"/>
          <w:jc w:val="center"/>
        </w:trPr>
        <w:tc>
          <w:tcPr>
            <w:tcW w:w="6941" w:type="dxa"/>
            <w:tcBorders>
              <w:top w:val="single" w:sz="4" w:space="0" w:color="000000"/>
              <w:left w:val="single" w:sz="4" w:space="0" w:color="000000"/>
              <w:bottom w:val="single" w:sz="4" w:space="0" w:color="000000"/>
              <w:right w:val="single" w:sz="4" w:space="0" w:color="000000"/>
            </w:tcBorders>
          </w:tcPr>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lastRenderedPageBreak/>
              <w:t>（四）激励对象个人层面考核</w:t>
            </w:r>
          </w:p>
          <w:p w:rsidR="00D250B6" w:rsidRDefault="00000000">
            <w:pPr>
              <w:widowControl/>
              <w:spacing w:line="400" w:lineRule="exact"/>
              <w:jc w:val="left"/>
              <w:rPr>
                <w:rFonts w:ascii="宋体" w:hAnsi="宋体" w:hint="eastAsia"/>
                <w:kern w:val="0"/>
                <w:szCs w:val="24"/>
              </w:rPr>
            </w:pPr>
            <w:r>
              <w:rPr>
                <w:rFonts w:ascii="宋体" w:hAnsi="宋体" w:hint="eastAsia"/>
                <w:kern w:val="0"/>
                <w:szCs w:val="24"/>
              </w:rPr>
              <w:t>激励对象按照公司分年度进行考核，根据个人的绩效考评评价指标确定考评结果，考核评价参考如下：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365"/>
              <w:gridCol w:w="1365"/>
              <w:gridCol w:w="1365"/>
              <w:gridCol w:w="1365"/>
            </w:tblGrid>
            <w:tr w:rsidR="00D250B6">
              <w:tc>
                <w:tcPr>
                  <w:tcW w:w="1255" w:type="dxa"/>
                  <w:tcBorders>
                    <w:top w:val="single" w:sz="4" w:space="0" w:color="auto"/>
                    <w:left w:val="single" w:sz="4" w:space="0" w:color="auto"/>
                    <w:bottom w:val="single" w:sz="4" w:space="0" w:color="auto"/>
                    <w:right w:val="single" w:sz="4" w:space="0" w:color="auto"/>
                  </w:tcBorders>
                  <w:shd w:val="clear" w:color="auto" w:fill="D9D9D9"/>
                </w:tcPr>
                <w:p w:rsidR="00D250B6" w:rsidRDefault="00000000">
                  <w:pPr>
                    <w:widowControl/>
                    <w:spacing w:line="400" w:lineRule="exact"/>
                    <w:jc w:val="center"/>
                    <w:rPr>
                      <w:rFonts w:ascii="宋体" w:hAnsi="宋体" w:hint="eastAsia"/>
                      <w:b/>
                      <w:bCs/>
                      <w:kern w:val="0"/>
                      <w:szCs w:val="24"/>
                    </w:rPr>
                  </w:pPr>
                  <w:r>
                    <w:rPr>
                      <w:rFonts w:ascii="宋体" w:hAnsi="宋体" w:hint="eastAsia"/>
                      <w:b/>
                      <w:bCs/>
                      <w:kern w:val="0"/>
                      <w:szCs w:val="24"/>
                    </w:rPr>
                    <w:t>考评结果</w:t>
                  </w:r>
                </w:p>
              </w:tc>
              <w:tc>
                <w:tcPr>
                  <w:tcW w:w="1365" w:type="dxa"/>
                  <w:tcBorders>
                    <w:top w:val="single" w:sz="4" w:space="0" w:color="auto"/>
                    <w:left w:val="single" w:sz="4" w:space="0" w:color="auto"/>
                    <w:bottom w:val="single" w:sz="4" w:space="0" w:color="auto"/>
                    <w:right w:val="single" w:sz="4" w:space="0" w:color="auto"/>
                  </w:tcBorders>
                  <w:shd w:val="clear" w:color="auto" w:fill="D9D9D9"/>
                </w:tcPr>
                <w:p w:rsidR="00D250B6" w:rsidRDefault="00000000">
                  <w:pPr>
                    <w:widowControl/>
                    <w:spacing w:line="400" w:lineRule="exact"/>
                    <w:jc w:val="center"/>
                    <w:rPr>
                      <w:rFonts w:ascii="宋体" w:hAnsi="宋体" w:hint="eastAsia"/>
                      <w:b/>
                      <w:bCs/>
                      <w:kern w:val="0"/>
                      <w:szCs w:val="24"/>
                    </w:rPr>
                  </w:pPr>
                  <w:r>
                    <w:rPr>
                      <w:rFonts w:ascii="宋体" w:hAnsi="宋体" w:hint="eastAsia"/>
                      <w:b/>
                      <w:bCs/>
                      <w:kern w:val="0"/>
                      <w:szCs w:val="24"/>
                    </w:rPr>
                    <w:t>优秀（A）</w:t>
                  </w:r>
                </w:p>
              </w:tc>
              <w:tc>
                <w:tcPr>
                  <w:tcW w:w="1365" w:type="dxa"/>
                  <w:tcBorders>
                    <w:top w:val="single" w:sz="4" w:space="0" w:color="auto"/>
                    <w:left w:val="single" w:sz="4" w:space="0" w:color="auto"/>
                    <w:bottom w:val="single" w:sz="4" w:space="0" w:color="auto"/>
                    <w:right w:val="single" w:sz="4" w:space="0" w:color="auto"/>
                  </w:tcBorders>
                  <w:shd w:val="clear" w:color="auto" w:fill="D9D9D9"/>
                </w:tcPr>
                <w:p w:rsidR="00D250B6" w:rsidRDefault="00000000">
                  <w:pPr>
                    <w:widowControl/>
                    <w:spacing w:line="400" w:lineRule="exact"/>
                    <w:jc w:val="center"/>
                    <w:rPr>
                      <w:rFonts w:ascii="宋体" w:hAnsi="宋体" w:hint="eastAsia"/>
                      <w:b/>
                      <w:bCs/>
                      <w:kern w:val="0"/>
                      <w:szCs w:val="24"/>
                    </w:rPr>
                  </w:pPr>
                  <w:r>
                    <w:rPr>
                      <w:rFonts w:ascii="宋体" w:hAnsi="宋体" w:hint="eastAsia"/>
                      <w:b/>
                      <w:bCs/>
                      <w:kern w:val="0"/>
                      <w:szCs w:val="24"/>
                    </w:rPr>
                    <w:t>良好（B）</w:t>
                  </w:r>
                </w:p>
              </w:tc>
              <w:tc>
                <w:tcPr>
                  <w:tcW w:w="1365" w:type="dxa"/>
                  <w:tcBorders>
                    <w:top w:val="single" w:sz="4" w:space="0" w:color="auto"/>
                    <w:left w:val="single" w:sz="4" w:space="0" w:color="auto"/>
                    <w:bottom w:val="single" w:sz="4" w:space="0" w:color="auto"/>
                    <w:right w:val="single" w:sz="4" w:space="0" w:color="auto"/>
                  </w:tcBorders>
                  <w:shd w:val="clear" w:color="auto" w:fill="D9D9D9"/>
                </w:tcPr>
                <w:p w:rsidR="00D250B6" w:rsidRDefault="00000000">
                  <w:pPr>
                    <w:widowControl/>
                    <w:spacing w:line="400" w:lineRule="exact"/>
                    <w:jc w:val="center"/>
                    <w:rPr>
                      <w:rFonts w:ascii="宋体" w:hAnsi="宋体" w:hint="eastAsia"/>
                      <w:b/>
                      <w:bCs/>
                      <w:kern w:val="0"/>
                      <w:szCs w:val="24"/>
                    </w:rPr>
                  </w:pPr>
                  <w:r>
                    <w:rPr>
                      <w:rFonts w:ascii="宋体" w:hAnsi="宋体" w:hint="eastAsia"/>
                      <w:b/>
                      <w:bCs/>
                      <w:kern w:val="0"/>
                      <w:szCs w:val="24"/>
                    </w:rPr>
                    <w:t>达标（C）</w:t>
                  </w:r>
                </w:p>
              </w:tc>
              <w:tc>
                <w:tcPr>
                  <w:tcW w:w="1365" w:type="dxa"/>
                  <w:tcBorders>
                    <w:top w:val="single" w:sz="4" w:space="0" w:color="auto"/>
                    <w:left w:val="single" w:sz="4" w:space="0" w:color="auto"/>
                    <w:bottom w:val="single" w:sz="4" w:space="0" w:color="auto"/>
                    <w:right w:val="single" w:sz="4" w:space="0" w:color="auto"/>
                  </w:tcBorders>
                  <w:shd w:val="clear" w:color="auto" w:fill="D9D9D9"/>
                </w:tcPr>
                <w:p w:rsidR="00D250B6" w:rsidRDefault="00000000">
                  <w:pPr>
                    <w:widowControl/>
                    <w:spacing w:line="400" w:lineRule="exact"/>
                    <w:jc w:val="center"/>
                    <w:rPr>
                      <w:rFonts w:ascii="宋体" w:hAnsi="宋体" w:hint="eastAsia"/>
                      <w:b/>
                      <w:bCs/>
                      <w:kern w:val="0"/>
                      <w:szCs w:val="24"/>
                    </w:rPr>
                  </w:pPr>
                  <w:r>
                    <w:rPr>
                      <w:rFonts w:ascii="宋体" w:hAnsi="宋体" w:hint="eastAsia"/>
                      <w:b/>
                      <w:bCs/>
                      <w:kern w:val="0"/>
                      <w:szCs w:val="24"/>
                    </w:rPr>
                    <w:t>不合格（D）</w:t>
                  </w:r>
                </w:p>
              </w:tc>
            </w:tr>
            <w:tr w:rsidR="00D250B6">
              <w:tc>
                <w:tcPr>
                  <w:tcW w:w="1255" w:type="dxa"/>
                  <w:tcBorders>
                    <w:top w:val="single" w:sz="4" w:space="0" w:color="auto"/>
                    <w:left w:val="single" w:sz="4" w:space="0" w:color="auto"/>
                    <w:bottom w:val="single" w:sz="4" w:space="0" w:color="auto"/>
                    <w:right w:val="single" w:sz="4" w:space="0" w:color="auto"/>
                  </w:tcBorders>
                </w:tcPr>
                <w:p w:rsidR="00D250B6" w:rsidRDefault="00000000">
                  <w:pPr>
                    <w:widowControl/>
                    <w:spacing w:line="400" w:lineRule="exact"/>
                    <w:jc w:val="center"/>
                    <w:rPr>
                      <w:rFonts w:ascii="宋体" w:hAnsi="宋体" w:hint="eastAsia"/>
                      <w:kern w:val="0"/>
                      <w:szCs w:val="24"/>
                    </w:rPr>
                  </w:pPr>
                  <w:r>
                    <w:rPr>
                      <w:rFonts w:ascii="宋体" w:hAnsi="宋体" w:hint="eastAsia"/>
                      <w:kern w:val="0"/>
                      <w:szCs w:val="24"/>
                    </w:rPr>
                    <w:t>标准系数</w:t>
                  </w:r>
                </w:p>
              </w:tc>
              <w:tc>
                <w:tcPr>
                  <w:tcW w:w="1365" w:type="dxa"/>
                  <w:tcBorders>
                    <w:top w:val="single" w:sz="4" w:space="0" w:color="auto"/>
                    <w:left w:val="single" w:sz="4" w:space="0" w:color="auto"/>
                    <w:bottom w:val="single" w:sz="4" w:space="0" w:color="auto"/>
                    <w:right w:val="single" w:sz="4" w:space="0" w:color="auto"/>
                  </w:tcBorders>
                </w:tcPr>
                <w:p w:rsidR="00D250B6" w:rsidRDefault="00000000">
                  <w:pPr>
                    <w:widowControl/>
                    <w:spacing w:line="400" w:lineRule="exact"/>
                    <w:jc w:val="center"/>
                    <w:rPr>
                      <w:rFonts w:ascii="宋体" w:hAnsi="宋体" w:hint="eastAsia"/>
                      <w:kern w:val="0"/>
                      <w:szCs w:val="24"/>
                    </w:rPr>
                  </w:pPr>
                  <w:r>
                    <w:rPr>
                      <w:rFonts w:ascii="宋体" w:hAnsi="宋体" w:hint="eastAsia"/>
                      <w:kern w:val="0"/>
                      <w:szCs w:val="24"/>
                    </w:rPr>
                    <w:t>1.0</w:t>
                  </w:r>
                </w:p>
              </w:tc>
              <w:tc>
                <w:tcPr>
                  <w:tcW w:w="1365" w:type="dxa"/>
                  <w:tcBorders>
                    <w:top w:val="single" w:sz="4" w:space="0" w:color="auto"/>
                    <w:left w:val="single" w:sz="4" w:space="0" w:color="auto"/>
                    <w:bottom w:val="single" w:sz="4" w:space="0" w:color="auto"/>
                    <w:right w:val="single" w:sz="4" w:space="0" w:color="auto"/>
                  </w:tcBorders>
                </w:tcPr>
                <w:p w:rsidR="00D250B6" w:rsidRDefault="00000000">
                  <w:pPr>
                    <w:widowControl/>
                    <w:spacing w:line="400" w:lineRule="exact"/>
                    <w:jc w:val="center"/>
                    <w:rPr>
                      <w:rFonts w:ascii="宋体" w:hAnsi="宋体" w:hint="eastAsia"/>
                      <w:kern w:val="0"/>
                      <w:szCs w:val="24"/>
                    </w:rPr>
                  </w:pPr>
                  <w:r>
                    <w:rPr>
                      <w:rFonts w:ascii="宋体" w:hAnsi="宋体" w:hint="eastAsia"/>
                      <w:kern w:val="0"/>
                      <w:szCs w:val="24"/>
                    </w:rPr>
                    <w:t>1.0</w:t>
                  </w:r>
                </w:p>
              </w:tc>
              <w:tc>
                <w:tcPr>
                  <w:tcW w:w="1365" w:type="dxa"/>
                  <w:tcBorders>
                    <w:top w:val="single" w:sz="4" w:space="0" w:color="auto"/>
                    <w:left w:val="single" w:sz="4" w:space="0" w:color="auto"/>
                    <w:bottom w:val="single" w:sz="4" w:space="0" w:color="auto"/>
                    <w:right w:val="single" w:sz="4" w:space="0" w:color="auto"/>
                  </w:tcBorders>
                </w:tcPr>
                <w:p w:rsidR="00D250B6" w:rsidRDefault="00000000">
                  <w:pPr>
                    <w:widowControl/>
                    <w:spacing w:line="400" w:lineRule="exact"/>
                    <w:jc w:val="center"/>
                    <w:rPr>
                      <w:rFonts w:ascii="宋体" w:hAnsi="宋体" w:hint="eastAsia"/>
                      <w:kern w:val="0"/>
                      <w:szCs w:val="24"/>
                    </w:rPr>
                  </w:pPr>
                  <w:r>
                    <w:rPr>
                      <w:rFonts w:ascii="宋体" w:hAnsi="宋体" w:hint="eastAsia"/>
                      <w:kern w:val="0"/>
                      <w:szCs w:val="24"/>
                    </w:rPr>
                    <w:t>0.8</w:t>
                  </w:r>
                </w:p>
              </w:tc>
              <w:tc>
                <w:tcPr>
                  <w:tcW w:w="1365" w:type="dxa"/>
                  <w:tcBorders>
                    <w:top w:val="single" w:sz="4" w:space="0" w:color="auto"/>
                    <w:left w:val="single" w:sz="4" w:space="0" w:color="auto"/>
                    <w:bottom w:val="single" w:sz="4" w:space="0" w:color="auto"/>
                    <w:right w:val="single" w:sz="4" w:space="0" w:color="auto"/>
                  </w:tcBorders>
                </w:tcPr>
                <w:p w:rsidR="00D250B6" w:rsidRDefault="00000000">
                  <w:pPr>
                    <w:widowControl/>
                    <w:spacing w:line="400" w:lineRule="exact"/>
                    <w:jc w:val="center"/>
                    <w:rPr>
                      <w:rFonts w:ascii="宋体" w:hAnsi="宋体" w:hint="eastAsia"/>
                      <w:kern w:val="0"/>
                      <w:szCs w:val="24"/>
                    </w:rPr>
                  </w:pPr>
                  <w:r>
                    <w:rPr>
                      <w:rFonts w:ascii="宋体" w:hAnsi="宋体" w:hint="eastAsia"/>
                      <w:kern w:val="0"/>
                      <w:szCs w:val="24"/>
                    </w:rPr>
                    <w:t>0</w:t>
                  </w:r>
                </w:p>
              </w:tc>
            </w:tr>
          </w:tbl>
          <w:p w:rsidR="00D250B6" w:rsidRDefault="00000000">
            <w:pPr>
              <w:widowControl/>
              <w:spacing w:line="400" w:lineRule="exact"/>
              <w:rPr>
                <w:rFonts w:ascii="宋体" w:hAnsi="宋体" w:hint="eastAsia"/>
                <w:kern w:val="0"/>
                <w:szCs w:val="24"/>
              </w:rPr>
            </w:pPr>
            <w:r>
              <w:rPr>
                <w:rFonts w:ascii="宋体" w:hAnsi="宋体" w:hint="eastAsia"/>
                <w:kern w:val="0"/>
                <w:szCs w:val="24"/>
              </w:rPr>
              <w:t>个人当年度实际解除限售额度＝标准系数×个人当年度计划解除限售额度。因个人层面绩效考核结果导致当期不可解除限售的限制性股票不得递延至下期解除限售，由公司回购注销，回购价格为授予价格（调整后的）与回购时公司股票市场价格的孰低值。</w:t>
            </w:r>
          </w:p>
        </w:tc>
        <w:tc>
          <w:tcPr>
            <w:tcW w:w="2967" w:type="dxa"/>
            <w:tcBorders>
              <w:top w:val="single" w:sz="4" w:space="0" w:color="000000"/>
              <w:left w:val="single" w:sz="4" w:space="0" w:color="000000"/>
              <w:bottom w:val="single" w:sz="4" w:space="0" w:color="000000"/>
              <w:right w:val="single" w:sz="4" w:space="0" w:color="000000"/>
            </w:tcBorders>
            <w:vAlign w:val="center"/>
          </w:tcPr>
          <w:p w:rsidR="00D250B6" w:rsidRDefault="00000000">
            <w:pPr>
              <w:spacing w:line="440" w:lineRule="exact"/>
              <w:rPr>
                <w:rFonts w:ascii="宋体" w:hAnsi="宋体" w:hint="eastAsia"/>
                <w:szCs w:val="24"/>
              </w:rPr>
            </w:pPr>
            <w:r>
              <w:rPr>
                <w:rFonts w:ascii="宋体" w:hAnsi="宋体" w:hint="eastAsia"/>
                <w:szCs w:val="24"/>
              </w:rPr>
              <w:t>2023年度个人绩效考核结果中，5名激励对象绩效考核结果为“不合格”，个人解锁系数为0；9名激励对象绩效考核结果为“达标”，个人解锁系数为0.8。上述不能解锁的限制性股票，后续将由公司办理回购注销手续。</w:t>
            </w:r>
          </w:p>
          <w:p w:rsidR="00D250B6" w:rsidRDefault="00000000">
            <w:pPr>
              <w:spacing w:line="440" w:lineRule="exact"/>
              <w:rPr>
                <w:rFonts w:ascii="宋体" w:hAnsi="宋体" w:hint="eastAsia"/>
                <w:kern w:val="0"/>
                <w:szCs w:val="24"/>
              </w:rPr>
            </w:pPr>
            <w:r>
              <w:rPr>
                <w:rFonts w:ascii="宋体" w:hAnsi="宋体" w:hint="eastAsia"/>
                <w:szCs w:val="24"/>
              </w:rPr>
              <w:t>1162名激励对象绩效考核结果为“优秀、良好”，个人解锁系数为1。</w:t>
            </w:r>
          </w:p>
        </w:tc>
      </w:tr>
    </w:tbl>
    <w:p w:rsidR="00D250B6" w:rsidRDefault="00000000">
      <w:pPr>
        <w:autoSpaceDE w:val="0"/>
        <w:spacing w:line="520" w:lineRule="exact"/>
        <w:ind w:firstLineChars="200" w:firstLine="560"/>
        <w:rPr>
          <w:rFonts w:ascii="宋体" w:hAnsi="宋体" w:cs="Times New Roman" w:hint="eastAsia"/>
          <w:sz w:val="28"/>
          <w:szCs w:val="28"/>
        </w:rPr>
      </w:pPr>
      <w:r>
        <w:rPr>
          <w:rFonts w:ascii="宋体" w:hAnsi="宋体" w:hint="eastAsia"/>
          <w:sz w:val="28"/>
          <w:szCs w:val="28"/>
        </w:rPr>
        <w:t>综上，本激励计划第二个解除限售期条件已经达成。根据股东大会授权，公司将按照本激励计划规定，办理解除限售相关事宜。</w:t>
      </w:r>
    </w:p>
    <w:p w:rsidR="00D250B6" w:rsidRDefault="00000000">
      <w:pPr>
        <w:autoSpaceDE w:val="0"/>
        <w:spacing w:line="520" w:lineRule="exact"/>
        <w:ind w:firstLineChars="200" w:firstLine="562"/>
        <w:rPr>
          <w:rFonts w:ascii="宋体" w:hAnsi="宋体" w:hint="eastAsia"/>
          <w:b/>
          <w:bCs/>
          <w:sz w:val="28"/>
          <w:szCs w:val="28"/>
        </w:rPr>
      </w:pPr>
      <w:r>
        <w:rPr>
          <w:rFonts w:ascii="宋体" w:hAnsi="宋体" w:hint="eastAsia"/>
          <w:b/>
          <w:bCs/>
          <w:sz w:val="28"/>
          <w:szCs w:val="28"/>
        </w:rPr>
        <w:t>三、本次限制性股票解除限售情况</w:t>
      </w:r>
    </w:p>
    <w:p w:rsidR="00D250B6" w:rsidRDefault="00000000">
      <w:pPr>
        <w:autoSpaceDE w:val="0"/>
        <w:spacing w:afterLines="50" w:after="156" w:line="520" w:lineRule="exact"/>
        <w:ind w:firstLineChars="200" w:firstLine="560"/>
        <w:rPr>
          <w:rFonts w:ascii="宋体" w:hAnsi="宋体" w:hint="eastAsia"/>
          <w:sz w:val="28"/>
          <w:szCs w:val="28"/>
        </w:rPr>
      </w:pPr>
      <w:r>
        <w:rPr>
          <w:rFonts w:ascii="宋体" w:hAnsi="宋体" w:hint="eastAsia"/>
          <w:sz w:val="28"/>
          <w:szCs w:val="28"/>
        </w:rPr>
        <w:t>本次共有1,171名激励对象（包括个人解锁系数为1的激励对象1,162名和个人解锁系数为0.8的激励对象9名）符合解除限售条件，可解除限售的限制性股票数量为3,673.870万股（以中国登记结算有限责任公司上海分公司实际登记数量为准），占目前公司总股本的0.366%，具体如下：</w:t>
      </w:r>
    </w:p>
    <w:tbl>
      <w:tblPr>
        <w:tblW w:w="8382" w:type="dxa"/>
        <w:jc w:val="center"/>
        <w:tblLayout w:type="fixed"/>
        <w:tblLook w:val="04A0" w:firstRow="1" w:lastRow="0" w:firstColumn="1" w:lastColumn="0" w:noHBand="0" w:noVBand="1"/>
      </w:tblPr>
      <w:tblGrid>
        <w:gridCol w:w="843"/>
        <w:gridCol w:w="945"/>
        <w:gridCol w:w="2287"/>
        <w:gridCol w:w="1635"/>
        <w:gridCol w:w="1290"/>
        <w:gridCol w:w="1382"/>
      </w:tblGrid>
      <w:tr w:rsidR="00D250B6">
        <w:trPr>
          <w:trHeight w:val="621"/>
          <w:jc w:val="center"/>
        </w:trPr>
        <w:tc>
          <w:tcPr>
            <w:tcW w:w="843" w:type="dxa"/>
            <w:tcBorders>
              <w:top w:val="single" w:sz="4" w:space="0" w:color="auto"/>
              <w:left w:val="single" w:sz="4" w:space="0" w:color="auto"/>
              <w:bottom w:val="single" w:sz="4" w:space="0" w:color="auto"/>
              <w:right w:val="single" w:sz="4" w:space="0" w:color="auto"/>
            </w:tcBorders>
            <w:shd w:val="clear" w:color="000000" w:fill="BFBFBF"/>
            <w:vAlign w:val="center"/>
          </w:tcPr>
          <w:p w:rsidR="00D250B6" w:rsidRDefault="00000000">
            <w:pPr>
              <w:widowControl/>
              <w:jc w:val="center"/>
              <w:rPr>
                <w:rFonts w:eastAsia="宋体"/>
                <w:b/>
                <w:bCs/>
                <w:kern w:val="0"/>
                <w:szCs w:val="24"/>
              </w:rPr>
            </w:pPr>
            <w:r>
              <w:rPr>
                <w:rFonts w:hint="eastAsia"/>
                <w:b/>
                <w:bCs/>
                <w:kern w:val="0"/>
                <w:szCs w:val="24"/>
              </w:rPr>
              <w:t>序号</w:t>
            </w:r>
          </w:p>
        </w:tc>
        <w:tc>
          <w:tcPr>
            <w:tcW w:w="945" w:type="dxa"/>
            <w:tcBorders>
              <w:top w:val="single" w:sz="4" w:space="0" w:color="auto"/>
              <w:left w:val="single" w:sz="4" w:space="0" w:color="auto"/>
              <w:bottom w:val="single" w:sz="4" w:space="0" w:color="auto"/>
              <w:right w:val="single" w:sz="4" w:space="0" w:color="auto"/>
            </w:tcBorders>
            <w:shd w:val="clear" w:color="000000" w:fill="BFBFBF"/>
            <w:vAlign w:val="center"/>
          </w:tcPr>
          <w:p w:rsidR="00D250B6" w:rsidRDefault="00000000">
            <w:pPr>
              <w:widowControl/>
              <w:jc w:val="center"/>
              <w:rPr>
                <w:b/>
                <w:bCs/>
                <w:kern w:val="0"/>
                <w:szCs w:val="24"/>
              </w:rPr>
            </w:pPr>
            <w:r>
              <w:rPr>
                <w:rFonts w:hint="eastAsia"/>
                <w:b/>
                <w:bCs/>
                <w:kern w:val="0"/>
                <w:szCs w:val="24"/>
              </w:rPr>
              <w:t>姓名</w:t>
            </w:r>
          </w:p>
        </w:tc>
        <w:tc>
          <w:tcPr>
            <w:tcW w:w="2287"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D250B6" w:rsidRDefault="00000000">
            <w:pPr>
              <w:widowControl/>
              <w:jc w:val="center"/>
              <w:rPr>
                <w:b/>
                <w:bCs/>
                <w:kern w:val="0"/>
                <w:szCs w:val="24"/>
              </w:rPr>
            </w:pPr>
            <w:r>
              <w:rPr>
                <w:b/>
                <w:bCs/>
                <w:kern w:val="0"/>
                <w:szCs w:val="24"/>
              </w:rPr>
              <w:t>职务</w:t>
            </w:r>
          </w:p>
        </w:tc>
        <w:tc>
          <w:tcPr>
            <w:tcW w:w="1635" w:type="dxa"/>
            <w:tcBorders>
              <w:top w:val="single" w:sz="4" w:space="0" w:color="auto"/>
              <w:left w:val="nil"/>
              <w:bottom w:val="single" w:sz="4" w:space="0" w:color="auto"/>
              <w:right w:val="single" w:sz="4" w:space="0" w:color="auto"/>
            </w:tcBorders>
            <w:shd w:val="clear" w:color="000000" w:fill="BFBFBF"/>
            <w:vAlign w:val="center"/>
          </w:tcPr>
          <w:p w:rsidR="00D250B6" w:rsidRDefault="00000000">
            <w:pPr>
              <w:widowControl/>
              <w:jc w:val="center"/>
              <w:rPr>
                <w:b/>
                <w:bCs/>
                <w:kern w:val="0"/>
                <w:szCs w:val="24"/>
              </w:rPr>
            </w:pPr>
            <w:r>
              <w:rPr>
                <w:rFonts w:hint="eastAsia"/>
                <w:b/>
                <w:bCs/>
                <w:kern w:val="0"/>
                <w:szCs w:val="24"/>
              </w:rPr>
              <w:t>已</w:t>
            </w:r>
            <w:r>
              <w:rPr>
                <w:b/>
                <w:bCs/>
                <w:kern w:val="0"/>
                <w:szCs w:val="24"/>
              </w:rPr>
              <w:t>获授限制性股票总量</w:t>
            </w:r>
          </w:p>
          <w:p w:rsidR="00D250B6" w:rsidRDefault="00000000">
            <w:pPr>
              <w:widowControl/>
              <w:jc w:val="center"/>
              <w:rPr>
                <w:b/>
                <w:bCs/>
                <w:kern w:val="0"/>
                <w:szCs w:val="24"/>
              </w:rPr>
            </w:pPr>
            <w:r>
              <w:rPr>
                <w:b/>
                <w:bCs/>
                <w:kern w:val="0"/>
                <w:szCs w:val="24"/>
              </w:rPr>
              <w:t>（万股）</w:t>
            </w:r>
          </w:p>
        </w:tc>
        <w:tc>
          <w:tcPr>
            <w:tcW w:w="1290" w:type="dxa"/>
            <w:tcBorders>
              <w:top w:val="single" w:sz="4" w:space="0" w:color="auto"/>
              <w:left w:val="nil"/>
              <w:bottom w:val="single" w:sz="4" w:space="0" w:color="auto"/>
              <w:right w:val="single" w:sz="4" w:space="0" w:color="auto"/>
            </w:tcBorders>
            <w:shd w:val="clear" w:color="000000" w:fill="BFBFBF"/>
            <w:vAlign w:val="center"/>
          </w:tcPr>
          <w:p w:rsidR="00D250B6" w:rsidRDefault="00000000">
            <w:pPr>
              <w:widowControl/>
              <w:jc w:val="center"/>
              <w:rPr>
                <w:b/>
                <w:bCs/>
                <w:kern w:val="0"/>
                <w:szCs w:val="24"/>
              </w:rPr>
            </w:pPr>
            <w:r>
              <w:rPr>
                <w:rFonts w:hint="eastAsia"/>
                <w:b/>
                <w:bCs/>
                <w:kern w:val="0"/>
                <w:szCs w:val="24"/>
              </w:rPr>
              <w:t>本次可解除限售限制性股票数量</w:t>
            </w:r>
          </w:p>
          <w:p w:rsidR="00D250B6" w:rsidRDefault="00000000">
            <w:pPr>
              <w:widowControl/>
              <w:jc w:val="center"/>
              <w:rPr>
                <w:b/>
                <w:bCs/>
                <w:kern w:val="0"/>
                <w:szCs w:val="24"/>
              </w:rPr>
            </w:pPr>
            <w:r>
              <w:rPr>
                <w:rFonts w:hint="eastAsia"/>
                <w:b/>
                <w:bCs/>
                <w:kern w:val="0"/>
                <w:szCs w:val="24"/>
              </w:rPr>
              <w:t>（万股）</w:t>
            </w:r>
          </w:p>
        </w:tc>
        <w:tc>
          <w:tcPr>
            <w:tcW w:w="1382" w:type="dxa"/>
            <w:tcBorders>
              <w:top w:val="single" w:sz="4" w:space="0" w:color="auto"/>
              <w:left w:val="single" w:sz="4" w:space="0" w:color="auto"/>
              <w:bottom w:val="single" w:sz="4" w:space="0" w:color="auto"/>
              <w:right w:val="single" w:sz="4" w:space="0" w:color="auto"/>
            </w:tcBorders>
            <w:shd w:val="clear" w:color="000000" w:fill="BFBFBF"/>
            <w:vAlign w:val="center"/>
          </w:tcPr>
          <w:p w:rsidR="00D250B6" w:rsidRDefault="00000000">
            <w:pPr>
              <w:widowControl/>
              <w:jc w:val="center"/>
              <w:rPr>
                <w:b/>
                <w:bCs/>
                <w:kern w:val="0"/>
                <w:szCs w:val="24"/>
              </w:rPr>
            </w:pPr>
            <w:r>
              <w:rPr>
                <w:rFonts w:hint="eastAsia"/>
                <w:b/>
                <w:bCs/>
                <w:kern w:val="0"/>
                <w:szCs w:val="24"/>
              </w:rPr>
              <w:t>本次解锁数量占已获授予限制性股票比例</w:t>
            </w:r>
          </w:p>
        </w:tc>
      </w:tr>
      <w:tr w:rsidR="00D250B6">
        <w:trPr>
          <w:trHeight w:val="553"/>
          <w:jc w:val="center"/>
        </w:trPr>
        <w:tc>
          <w:tcPr>
            <w:tcW w:w="8382" w:type="dxa"/>
            <w:gridSpan w:val="6"/>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left"/>
              <w:rPr>
                <w:rFonts w:ascii="宋体" w:eastAsia="宋体" w:hAnsi="宋体" w:cs="宋体" w:hint="eastAsia"/>
                <w:kern w:val="0"/>
                <w:szCs w:val="24"/>
              </w:rPr>
            </w:pPr>
            <w:r>
              <w:rPr>
                <w:rFonts w:ascii="宋体" w:eastAsia="宋体" w:hAnsi="宋体" w:cs="宋体" w:hint="eastAsia"/>
                <w:b/>
                <w:color w:val="000000"/>
                <w:kern w:val="0"/>
                <w:szCs w:val="24"/>
              </w:rPr>
              <w:t>一、董事、高级管理人员</w:t>
            </w:r>
          </w:p>
        </w:tc>
      </w:tr>
      <w:tr w:rsidR="00D250B6">
        <w:trPr>
          <w:trHeight w:val="553"/>
          <w:jc w:val="center"/>
        </w:trPr>
        <w:tc>
          <w:tcPr>
            <w:tcW w:w="843" w:type="dxa"/>
            <w:tcBorders>
              <w:top w:val="single" w:sz="4" w:space="0" w:color="auto"/>
              <w:left w:val="single" w:sz="4" w:space="0" w:color="auto"/>
              <w:bottom w:val="single" w:sz="4" w:space="0" w:color="auto"/>
              <w:right w:val="single" w:sz="4" w:space="0" w:color="000000"/>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D250B6" w:rsidRDefault="00000000">
            <w:pPr>
              <w:kinsoku w:val="0"/>
              <w:overflowPunct w:val="0"/>
              <w:autoSpaceDE w:val="0"/>
              <w:autoSpaceDN w:val="0"/>
              <w:adjustRightInd w:val="0"/>
              <w:snapToGrid w:val="0"/>
              <w:rPr>
                <w:rFonts w:ascii="Times New Roman" w:eastAsia="宋体" w:hAnsi="Times New Roman" w:cs="Times New Roman"/>
                <w:szCs w:val="24"/>
              </w:rPr>
            </w:pPr>
            <w:r>
              <w:rPr>
                <w:rFonts w:cs="Times New Roman" w:hint="eastAsia"/>
                <w:szCs w:val="24"/>
              </w:rPr>
              <w:t>王九红</w:t>
            </w:r>
          </w:p>
        </w:tc>
        <w:tc>
          <w:tcPr>
            <w:tcW w:w="2287" w:type="dxa"/>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ascii="Times New Roman" w:eastAsia="宋体" w:hAnsi="Times New Roman" w:cs="Times New Roman"/>
                <w:kern w:val="0"/>
                <w:szCs w:val="24"/>
              </w:rPr>
            </w:pPr>
            <w:r>
              <w:rPr>
                <w:rFonts w:hint="eastAsia"/>
                <w:kern w:val="0"/>
                <w:szCs w:val="24"/>
              </w:rPr>
              <w:t>党委书记、总经理</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840"/>
              </w:tabs>
              <w:ind w:right="579"/>
              <w:jc w:val="right"/>
              <w:rPr>
                <w:rFonts w:ascii="宋体" w:eastAsia="宋体" w:hAnsi="宋体" w:cs="宋体" w:hint="eastAsia"/>
                <w:kern w:val="0"/>
                <w:szCs w:val="24"/>
              </w:rPr>
            </w:pPr>
            <w:r>
              <w:rPr>
                <w:rFonts w:ascii="宋体" w:hAnsi="宋体" w:cs="宋体" w:hint="eastAsia"/>
                <w:kern w:val="0"/>
                <w:szCs w:val="24"/>
              </w:rPr>
              <w:t>15.6</w:t>
            </w:r>
          </w:p>
        </w:tc>
        <w:tc>
          <w:tcPr>
            <w:tcW w:w="1290" w:type="dxa"/>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5.148</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28"/>
          <w:jc w:val="center"/>
        </w:trPr>
        <w:tc>
          <w:tcPr>
            <w:tcW w:w="843" w:type="dxa"/>
            <w:tcBorders>
              <w:top w:val="single" w:sz="4" w:space="0" w:color="auto"/>
              <w:left w:val="single" w:sz="4" w:space="0" w:color="auto"/>
              <w:bottom w:val="single" w:sz="4" w:space="0" w:color="auto"/>
              <w:right w:val="single" w:sz="4" w:space="0" w:color="000000"/>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2</w:t>
            </w:r>
          </w:p>
        </w:tc>
        <w:tc>
          <w:tcPr>
            <w:tcW w:w="945" w:type="dxa"/>
            <w:tcBorders>
              <w:top w:val="single" w:sz="4" w:space="0" w:color="auto"/>
              <w:left w:val="single" w:sz="4" w:space="0" w:color="auto"/>
              <w:bottom w:val="single" w:sz="4" w:space="0" w:color="auto"/>
              <w:right w:val="single" w:sz="4" w:space="0" w:color="000000"/>
            </w:tcBorders>
            <w:vAlign w:val="center"/>
          </w:tcPr>
          <w:p w:rsidR="00D250B6" w:rsidRDefault="00000000">
            <w:pPr>
              <w:kinsoku w:val="0"/>
              <w:overflowPunct w:val="0"/>
              <w:autoSpaceDE w:val="0"/>
              <w:autoSpaceDN w:val="0"/>
              <w:adjustRightInd w:val="0"/>
              <w:snapToGrid w:val="0"/>
              <w:rPr>
                <w:rFonts w:ascii="Times New Roman" w:eastAsia="宋体" w:hAnsi="Times New Roman" w:cs="Times New Roman"/>
                <w:szCs w:val="24"/>
              </w:rPr>
            </w:pPr>
            <w:r>
              <w:rPr>
                <w:rFonts w:cs="Times New Roman" w:hint="eastAsia"/>
                <w:szCs w:val="24"/>
              </w:rPr>
              <w:t>黄霄龙</w:t>
            </w:r>
          </w:p>
        </w:tc>
        <w:tc>
          <w:tcPr>
            <w:tcW w:w="2287" w:type="dxa"/>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eastAsia="宋体"/>
                <w:kern w:val="0"/>
                <w:szCs w:val="24"/>
              </w:rPr>
            </w:pPr>
            <w:r>
              <w:rPr>
                <w:rFonts w:hint="eastAsia"/>
                <w:kern w:val="0"/>
                <w:szCs w:val="24"/>
              </w:rPr>
              <w:t>董事、董事会秘书</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840"/>
              </w:tabs>
              <w:ind w:right="579"/>
              <w:jc w:val="right"/>
              <w:rPr>
                <w:rFonts w:ascii="宋体" w:eastAsia="宋体" w:hAnsi="宋体" w:cs="宋体" w:hint="eastAsia"/>
                <w:kern w:val="0"/>
                <w:szCs w:val="24"/>
              </w:rPr>
            </w:pPr>
            <w:r>
              <w:rPr>
                <w:rFonts w:ascii="宋体" w:hAnsi="宋体" w:cs="宋体" w:hint="eastAsia"/>
                <w:kern w:val="0"/>
                <w:szCs w:val="24"/>
              </w:rPr>
              <w:t>31.2</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10.296</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53"/>
          <w:jc w:val="center"/>
        </w:trPr>
        <w:tc>
          <w:tcPr>
            <w:tcW w:w="843" w:type="dxa"/>
            <w:tcBorders>
              <w:top w:val="single" w:sz="4" w:space="0" w:color="auto"/>
              <w:left w:val="single" w:sz="4" w:space="0" w:color="auto"/>
              <w:bottom w:val="single" w:sz="4" w:space="0" w:color="auto"/>
              <w:right w:val="single" w:sz="4" w:space="0" w:color="000000"/>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3</w:t>
            </w:r>
          </w:p>
        </w:tc>
        <w:tc>
          <w:tcPr>
            <w:tcW w:w="945" w:type="dxa"/>
            <w:tcBorders>
              <w:top w:val="single" w:sz="4" w:space="0" w:color="auto"/>
              <w:left w:val="single" w:sz="4" w:space="0" w:color="auto"/>
              <w:bottom w:val="single" w:sz="4" w:space="0" w:color="auto"/>
              <w:right w:val="single" w:sz="4" w:space="0" w:color="000000"/>
            </w:tcBorders>
            <w:vAlign w:val="center"/>
          </w:tcPr>
          <w:p w:rsidR="00D250B6" w:rsidRDefault="00000000">
            <w:pPr>
              <w:kinsoku w:val="0"/>
              <w:overflowPunct w:val="0"/>
              <w:autoSpaceDE w:val="0"/>
              <w:autoSpaceDN w:val="0"/>
              <w:adjustRightInd w:val="0"/>
              <w:snapToGrid w:val="0"/>
              <w:rPr>
                <w:rFonts w:ascii="Times New Roman" w:eastAsia="宋体" w:hAnsi="Times New Roman" w:cs="Times New Roman"/>
                <w:szCs w:val="24"/>
              </w:rPr>
            </w:pPr>
            <w:r>
              <w:rPr>
                <w:rFonts w:cs="Times New Roman" w:hint="eastAsia"/>
                <w:szCs w:val="24"/>
              </w:rPr>
              <w:t>康</w:t>
            </w:r>
            <w:r>
              <w:rPr>
                <w:rFonts w:cs="Times New Roman" w:hint="eastAsia"/>
                <w:szCs w:val="24"/>
              </w:rPr>
              <w:t xml:space="preserve"> </w:t>
            </w:r>
            <w:r>
              <w:rPr>
                <w:rFonts w:cs="Times New Roman"/>
                <w:szCs w:val="24"/>
              </w:rPr>
              <w:t xml:space="preserve"> </w:t>
            </w:r>
            <w:r>
              <w:rPr>
                <w:rFonts w:cs="Times New Roman" w:hint="eastAsia"/>
                <w:szCs w:val="24"/>
              </w:rPr>
              <w:t>丹</w:t>
            </w:r>
          </w:p>
        </w:tc>
        <w:tc>
          <w:tcPr>
            <w:tcW w:w="2287" w:type="dxa"/>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eastAsia="宋体"/>
                <w:kern w:val="0"/>
                <w:szCs w:val="24"/>
              </w:rPr>
            </w:pPr>
            <w:r>
              <w:rPr>
                <w:rFonts w:hint="eastAsia"/>
                <w:kern w:val="0"/>
                <w:szCs w:val="24"/>
              </w:rPr>
              <w:t>安全总监</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840"/>
              </w:tabs>
              <w:ind w:right="579"/>
              <w:jc w:val="right"/>
              <w:rPr>
                <w:rFonts w:ascii="宋体" w:eastAsia="宋体" w:hAnsi="宋体" w:cs="宋体" w:hint="eastAsia"/>
                <w:kern w:val="0"/>
                <w:szCs w:val="24"/>
              </w:rPr>
            </w:pPr>
            <w:r>
              <w:rPr>
                <w:rFonts w:ascii="宋体" w:hAnsi="宋体" w:cs="宋体" w:hint="eastAsia"/>
                <w:kern w:val="0"/>
                <w:szCs w:val="24"/>
              </w:rPr>
              <w:t>15.6</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5.148</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53"/>
          <w:jc w:val="center"/>
        </w:trPr>
        <w:tc>
          <w:tcPr>
            <w:tcW w:w="843" w:type="dxa"/>
            <w:tcBorders>
              <w:top w:val="single" w:sz="4" w:space="0" w:color="auto"/>
              <w:left w:val="single" w:sz="4" w:space="0" w:color="auto"/>
              <w:bottom w:val="single" w:sz="4" w:space="0" w:color="auto"/>
              <w:right w:val="single" w:sz="4" w:space="0" w:color="000000"/>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lastRenderedPageBreak/>
              <w:t>4</w:t>
            </w:r>
          </w:p>
        </w:tc>
        <w:tc>
          <w:tcPr>
            <w:tcW w:w="945" w:type="dxa"/>
            <w:tcBorders>
              <w:top w:val="single" w:sz="4" w:space="0" w:color="auto"/>
              <w:left w:val="single" w:sz="4" w:space="0" w:color="auto"/>
              <w:bottom w:val="single" w:sz="4" w:space="0" w:color="auto"/>
              <w:right w:val="single" w:sz="4" w:space="0" w:color="000000"/>
            </w:tcBorders>
            <w:vAlign w:val="center"/>
          </w:tcPr>
          <w:p w:rsidR="00D250B6" w:rsidRDefault="00000000">
            <w:pPr>
              <w:kinsoku w:val="0"/>
              <w:overflowPunct w:val="0"/>
              <w:autoSpaceDE w:val="0"/>
              <w:autoSpaceDN w:val="0"/>
              <w:adjustRightInd w:val="0"/>
              <w:snapToGrid w:val="0"/>
              <w:rPr>
                <w:rFonts w:ascii="Times New Roman" w:eastAsia="宋体" w:hAnsi="Times New Roman" w:cs="Times New Roman"/>
                <w:szCs w:val="24"/>
              </w:rPr>
            </w:pPr>
            <w:r>
              <w:rPr>
                <w:rFonts w:cs="Times New Roman" w:hint="eastAsia"/>
                <w:szCs w:val="24"/>
              </w:rPr>
              <w:t>高春雷</w:t>
            </w:r>
          </w:p>
        </w:tc>
        <w:tc>
          <w:tcPr>
            <w:tcW w:w="2287" w:type="dxa"/>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eastAsia="宋体"/>
                <w:kern w:val="0"/>
                <w:szCs w:val="24"/>
              </w:rPr>
            </w:pPr>
            <w:r>
              <w:rPr>
                <w:rFonts w:hint="eastAsia"/>
                <w:kern w:val="0"/>
                <w:szCs w:val="24"/>
              </w:rPr>
              <w:t>总工程师（化工）</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840"/>
              </w:tabs>
              <w:ind w:right="579"/>
              <w:jc w:val="right"/>
              <w:rPr>
                <w:rFonts w:ascii="宋体" w:eastAsia="宋体" w:hAnsi="宋体" w:cs="宋体" w:hint="eastAsia"/>
                <w:kern w:val="0"/>
                <w:szCs w:val="24"/>
              </w:rPr>
            </w:pPr>
            <w:r>
              <w:rPr>
                <w:rFonts w:ascii="宋体" w:hAnsi="宋体" w:cs="宋体" w:hint="eastAsia"/>
                <w:kern w:val="0"/>
                <w:szCs w:val="24"/>
              </w:rPr>
              <w:t>15.6</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5.148</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53"/>
          <w:jc w:val="center"/>
        </w:trPr>
        <w:tc>
          <w:tcPr>
            <w:tcW w:w="843" w:type="dxa"/>
            <w:tcBorders>
              <w:top w:val="single" w:sz="4" w:space="0" w:color="auto"/>
              <w:left w:val="single" w:sz="4" w:space="0" w:color="auto"/>
              <w:bottom w:val="single" w:sz="4" w:space="0" w:color="auto"/>
              <w:right w:val="single" w:sz="4" w:space="0" w:color="000000"/>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5</w:t>
            </w:r>
          </w:p>
        </w:tc>
        <w:tc>
          <w:tcPr>
            <w:tcW w:w="945" w:type="dxa"/>
            <w:tcBorders>
              <w:top w:val="single" w:sz="4" w:space="0" w:color="auto"/>
              <w:left w:val="single" w:sz="4" w:space="0" w:color="auto"/>
              <w:bottom w:val="single" w:sz="4" w:space="0" w:color="auto"/>
              <w:right w:val="single" w:sz="4" w:space="0" w:color="000000"/>
            </w:tcBorders>
            <w:vAlign w:val="center"/>
          </w:tcPr>
          <w:p w:rsidR="00D250B6" w:rsidRDefault="00000000">
            <w:pPr>
              <w:kinsoku w:val="0"/>
              <w:overflowPunct w:val="0"/>
              <w:autoSpaceDE w:val="0"/>
              <w:autoSpaceDN w:val="0"/>
              <w:adjustRightInd w:val="0"/>
              <w:snapToGrid w:val="0"/>
              <w:rPr>
                <w:rFonts w:ascii="Times New Roman" w:eastAsia="宋体" w:hAnsi="Times New Roman" w:cs="Times New Roman"/>
                <w:szCs w:val="24"/>
              </w:rPr>
            </w:pPr>
            <w:r>
              <w:rPr>
                <w:rFonts w:cs="Times New Roman" w:hint="eastAsia"/>
                <w:szCs w:val="24"/>
              </w:rPr>
              <w:t>张照允</w:t>
            </w:r>
          </w:p>
        </w:tc>
        <w:tc>
          <w:tcPr>
            <w:tcW w:w="2287" w:type="dxa"/>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eastAsia="宋体"/>
                <w:kern w:val="0"/>
                <w:szCs w:val="24"/>
              </w:rPr>
            </w:pPr>
            <w:r>
              <w:rPr>
                <w:rFonts w:hint="eastAsia"/>
                <w:kern w:val="0"/>
                <w:szCs w:val="24"/>
              </w:rPr>
              <w:t>总工程师</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840"/>
              </w:tabs>
              <w:ind w:right="579"/>
              <w:jc w:val="right"/>
              <w:rPr>
                <w:rFonts w:ascii="宋体" w:eastAsia="宋体" w:hAnsi="宋体" w:cs="宋体" w:hint="eastAsia"/>
                <w:kern w:val="0"/>
                <w:szCs w:val="24"/>
              </w:rPr>
            </w:pPr>
            <w:r>
              <w:rPr>
                <w:rFonts w:ascii="宋体" w:hAnsi="宋体" w:cs="宋体" w:hint="eastAsia"/>
                <w:kern w:val="0"/>
                <w:szCs w:val="24"/>
              </w:rPr>
              <w:t>11.7</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3.861</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53"/>
          <w:jc w:val="center"/>
        </w:trPr>
        <w:tc>
          <w:tcPr>
            <w:tcW w:w="4075" w:type="dxa"/>
            <w:gridSpan w:val="3"/>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kern w:val="0"/>
                <w:szCs w:val="24"/>
              </w:rPr>
            </w:pPr>
            <w:r>
              <w:rPr>
                <w:rFonts w:ascii="宋体" w:eastAsia="宋体" w:hAnsi="宋体" w:cs="宋体" w:hint="eastAsia"/>
                <w:b/>
                <w:color w:val="000000"/>
                <w:kern w:val="0"/>
                <w:szCs w:val="24"/>
              </w:rPr>
              <w:t>董事、高级管理人员小计</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1060"/>
              </w:tabs>
              <w:ind w:right="579"/>
              <w:jc w:val="right"/>
              <w:rPr>
                <w:rFonts w:ascii="宋体" w:eastAsia="宋体" w:hAnsi="宋体" w:cs="宋体" w:hint="eastAsia"/>
                <w:kern w:val="0"/>
                <w:szCs w:val="24"/>
              </w:rPr>
            </w:pPr>
            <w:r>
              <w:rPr>
                <w:rFonts w:ascii="宋体" w:hAnsi="宋体" w:cs="宋体" w:hint="eastAsia"/>
                <w:kern w:val="0"/>
                <w:szCs w:val="24"/>
              </w:rPr>
              <w:t>89.7</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hAnsi="宋体" w:cs="宋体" w:hint="eastAsia"/>
                <w:kern w:val="0"/>
                <w:szCs w:val="24"/>
              </w:rPr>
              <w:t>29.601</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53"/>
          <w:jc w:val="center"/>
        </w:trPr>
        <w:tc>
          <w:tcPr>
            <w:tcW w:w="8382" w:type="dxa"/>
            <w:gridSpan w:val="6"/>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left"/>
              <w:rPr>
                <w:rFonts w:ascii="宋体" w:eastAsia="宋体" w:hAnsi="宋体" w:cs="宋体" w:hint="eastAsia"/>
                <w:kern w:val="0"/>
                <w:szCs w:val="24"/>
              </w:rPr>
            </w:pPr>
            <w:r>
              <w:rPr>
                <w:rFonts w:ascii="宋体" w:eastAsia="宋体" w:hAnsi="宋体" w:cs="宋体" w:hint="eastAsia"/>
                <w:b/>
                <w:color w:val="000000"/>
                <w:kern w:val="0"/>
                <w:szCs w:val="24"/>
              </w:rPr>
              <w:t>二、其他激励对象</w:t>
            </w:r>
          </w:p>
        </w:tc>
      </w:tr>
      <w:tr w:rsidR="00D250B6">
        <w:trPr>
          <w:trHeight w:val="553"/>
          <w:jc w:val="center"/>
        </w:trPr>
        <w:tc>
          <w:tcPr>
            <w:tcW w:w="4075" w:type="dxa"/>
            <w:gridSpan w:val="3"/>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ascii="Times New Roman" w:eastAsia="宋体" w:hAnsi="Times New Roman" w:cs="Times New Roman"/>
                <w:kern w:val="0"/>
                <w:szCs w:val="24"/>
              </w:rPr>
            </w:pPr>
            <w:r>
              <w:rPr>
                <w:rFonts w:ascii="宋体" w:eastAsia="宋体" w:hAnsi="宋体" w:cs="宋体" w:hint="eastAsia"/>
                <w:b/>
                <w:color w:val="000000"/>
                <w:kern w:val="0"/>
                <w:szCs w:val="24"/>
              </w:rPr>
              <w:t>其他激励对象小计</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840"/>
                <w:tab w:val="left" w:pos="1260"/>
              </w:tabs>
              <w:ind w:right="159"/>
              <w:jc w:val="right"/>
              <w:rPr>
                <w:rFonts w:ascii="宋体" w:eastAsia="宋体" w:hAnsi="宋体" w:cs="宋体" w:hint="eastAsia"/>
                <w:kern w:val="0"/>
                <w:szCs w:val="24"/>
              </w:rPr>
            </w:pPr>
            <w:r>
              <w:rPr>
                <w:rFonts w:ascii="宋体" w:eastAsia="宋体" w:hAnsi="宋体" w:cs="宋体" w:hint="eastAsia"/>
                <w:szCs w:val="24"/>
              </w:rPr>
              <w:t>11107.20</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szCs w:val="24"/>
              </w:rPr>
              <w:t>3644.269</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r w:rsidR="00D250B6">
        <w:trPr>
          <w:trHeight w:val="553"/>
          <w:jc w:val="center"/>
        </w:trPr>
        <w:tc>
          <w:tcPr>
            <w:tcW w:w="4075" w:type="dxa"/>
            <w:gridSpan w:val="3"/>
            <w:tcBorders>
              <w:top w:val="single" w:sz="4" w:space="0" w:color="auto"/>
              <w:left w:val="single" w:sz="4" w:space="0" w:color="auto"/>
              <w:bottom w:val="single" w:sz="4" w:space="0" w:color="auto"/>
              <w:right w:val="single" w:sz="4" w:space="0" w:color="auto"/>
            </w:tcBorders>
            <w:vAlign w:val="center"/>
          </w:tcPr>
          <w:p w:rsidR="00D250B6" w:rsidRDefault="00000000">
            <w:pPr>
              <w:widowControl/>
              <w:jc w:val="center"/>
              <w:rPr>
                <w:rFonts w:eastAsia="宋体"/>
                <w:kern w:val="0"/>
                <w:szCs w:val="24"/>
              </w:rPr>
            </w:pPr>
            <w:r>
              <w:rPr>
                <w:rFonts w:hint="eastAsia"/>
                <w:b/>
                <w:bCs/>
                <w:kern w:val="0"/>
                <w:szCs w:val="24"/>
              </w:rPr>
              <w:t>合</w:t>
            </w:r>
            <w:r>
              <w:rPr>
                <w:rFonts w:hint="eastAsia"/>
                <w:b/>
                <w:bCs/>
                <w:kern w:val="0"/>
                <w:szCs w:val="24"/>
              </w:rPr>
              <w:t xml:space="preserve">  </w:t>
            </w:r>
            <w:r>
              <w:rPr>
                <w:rFonts w:ascii="宋体" w:eastAsia="宋体" w:hAnsi="宋体" w:cs="宋体" w:hint="eastAsia"/>
                <w:b/>
                <w:bCs/>
                <w:kern w:val="0"/>
                <w:szCs w:val="24"/>
              </w:rPr>
              <w:t>计</w:t>
            </w:r>
          </w:p>
        </w:tc>
        <w:tc>
          <w:tcPr>
            <w:tcW w:w="1635"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tabs>
                <w:tab w:val="left" w:pos="1260"/>
              </w:tabs>
              <w:ind w:right="159"/>
              <w:jc w:val="right"/>
              <w:rPr>
                <w:rFonts w:ascii="宋体" w:eastAsia="宋体" w:hAnsi="宋体" w:cs="宋体" w:hint="eastAsia"/>
                <w:kern w:val="0"/>
                <w:szCs w:val="24"/>
              </w:rPr>
            </w:pPr>
            <w:r>
              <w:rPr>
                <w:rFonts w:ascii="宋体" w:eastAsia="宋体" w:hAnsi="宋体" w:cs="宋体" w:hint="eastAsia"/>
                <w:szCs w:val="24"/>
              </w:rPr>
              <w:t>11196.90</w:t>
            </w:r>
          </w:p>
        </w:tc>
        <w:tc>
          <w:tcPr>
            <w:tcW w:w="1290" w:type="dxa"/>
            <w:tcBorders>
              <w:top w:val="single" w:sz="4" w:space="0" w:color="auto"/>
              <w:left w:val="nil"/>
              <w:bottom w:val="single" w:sz="4" w:space="0" w:color="auto"/>
              <w:right w:val="single" w:sz="4" w:space="0" w:color="auto"/>
            </w:tcBorders>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3673.870</w:t>
            </w:r>
          </w:p>
        </w:tc>
        <w:tc>
          <w:tcPr>
            <w:tcW w:w="1382" w:type="dxa"/>
            <w:tcBorders>
              <w:top w:val="single" w:sz="4" w:space="0" w:color="auto"/>
              <w:left w:val="single" w:sz="4" w:space="0" w:color="auto"/>
              <w:bottom w:val="single" w:sz="4" w:space="0" w:color="auto"/>
              <w:right w:val="single" w:sz="4" w:space="0" w:color="auto"/>
            </w:tcBorders>
            <w:noWrap/>
            <w:vAlign w:val="center"/>
          </w:tcPr>
          <w:p w:rsidR="00D250B6" w:rsidRDefault="00000000">
            <w:pPr>
              <w:widowControl/>
              <w:jc w:val="center"/>
              <w:rPr>
                <w:rFonts w:ascii="宋体" w:eastAsia="宋体" w:hAnsi="宋体" w:cs="宋体" w:hint="eastAsia"/>
                <w:kern w:val="0"/>
                <w:szCs w:val="24"/>
              </w:rPr>
            </w:pPr>
            <w:r>
              <w:rPr>
                <w:rFonts w:ascii="宋体" w:eastAsia="宋体" w:hAnsi="宋体" w:cs="宋体" w:hint="eastAsia"/>
                <w:kern w:val="0"/>
                <w:szCs w:val="24"/>
              </w:rPr>
              <w:t>33%</w:t>
            </w:r>
          </w:p>
        </w:tc>
      </w:tr>
    </w:tbl>
    <w:p w:rsidR="00D250B6" w:rsidRDefault="00000000">
      <w:pPr>
        <w:autoSpaceDE w:val="0"/>
        <w:spacing w:line="520" w:lineRule="exact"/>
        <w:ind w:firstLineChars="200" w:firstLine="560"/>
        <w:rPr>
          <w:rFonts w:ascii="楷体_GB2312" w:eastAsia="楷体_GB2312" w:hAnsi="Times New Roman" w:cs="Times New Roman"/>
          <w:sz w:val="28"/>
          <w:szCs w:val="28"/>
        </w:rPr>
      </w:pPr>
      <w:r>
        <w:rPr>
          <w:rFonts w:ascii="楷体_GB2312" w:eastAsia="楷体_GB2312" w:hint="eastAsia"/>
          <w:sz w:val="28"/>
          <w:szCs w:val="28"/>
        </w:rPr>
        <w:t>注：</w:t>
      </w:r>
    </w:p>
    <w:p w:rsidR="00D250B6" w:rsidRDefault="00000000">
      <w:pPr>
        <w:autoSpaceDE w:val="0"/>
        <w:spacing w:line="520" w:lineRule="exact"/>
        <w:ind w:firstLineChars="200" w:firstLine="560"/>
        <w:rPr>
          <w:rFonts w:ascii="楷体_GB2312" w:eastAsia="楷体_GB2312"/>
          <w:sz w:val="28"/>
          <w:szCs w:val="28"/>
        </w:rPr>
      </w:pPr>
      <w:r>
        <w:rPr>
          <w:rFonts w:ascii="楷体_GB2312" w:eastAsia="楷体_GB2312" w:hint="eastAsia"/>
          <w:sz w:val="28"/>
          <w:szCs w:val="28"/>
        </w:rPr>
        <w:t>①经过调整，本激励计划激励对象总数为1176人（包括5名考核结果“不合格”的激励对象和第二批解禁的1171名激励对象），上表中“已获授限制性股票总量”的合计数，为1176人获授的限制性股票。</w:t>
      </w:r>
    </w:p>
    <w:p w:rsidR="00D250B6" w:rsidRDefault="00000000">
      <w:pPr>
        <w:autoSpaceDE w:val="0"/>
        <w:spacing w:line="520" w:lineRule="exact"/>
        <w:ind w:firstLineChars="200" w:firstLine="560"/>
        <w:rPr>
          <w:rFonts w:ascii="楷体_GB2312" w:eastAsia="楷体_GB2312"/>
          <w:sz w:val="28"/>
          <w:szCs w:val="28"/>
        </w:rPr>
      </w:pPr>
      <w:r>
        <w:rPr>
          <w:rFonts w:ascii="楷体_GB2312" w:eastAsia="楷体_GB2312" w:hint="eastAsia"/>
          <w:sz w:val="28"/>
          <w:szCs w:val="28"/>
        </w:rPr>
        <w:t>②因5名激励对象考核结果为“不合格”，公司注销其本期不能解除限售的全部限制性股票，故上表中“本次可解除限售限制性股票数量”的合计数，为符合本期解除限售条件的1171人获授的限制性股票。</w:t>
      </w:r>
    </w:p>
    <w:p w:rsidR="00D250B6" w:rsidRDefault="00000000">
      <w:pPr>
        <w:autoSpaceDE w:val="0"/>
        <w:spacing w:line="520" w:lineRule="exact"/>
        <w:ind w:firstLineChars="200" w:firstLine="560"/>
        <w:rPr>
          <w:rFonts w:ascii="宋体" w:eastAsia="宋体" w:hAnsi="宋体" w:hint="eastAsia"/>
          <w:sz w:val="28"/>
          <w:szCs w:val="28"/>
        </w:rPr>
      </w:pPr>
      <w:r>
        <w:rPr>
          <w:rFonts w:ascii="楷体_GB2312" w:eastAsia="楷体_GB2312" w:hint="eastAsia"/>
          <w:sz w:val="28"/>
          <w:szCs w:val="28"/>
        </w:rPr>
        <w:t>③因2022年度和2023年度利润分配方案包含两次分红股，各激励对象已获授限制性股票总量与授予登记时相比发生变化。</w:t>
      </w:r>
    </w:p>
    <w:p w:rsidR="00D250B6" w:rsidRDefault="00000000">
      <w:pPr>
        <w:autoSpaceDE w:val="0"/>
        <w:spacing w:line="520" w:lineRule="exact"/>
        <w:ind w:firstLineChars="200" w:firstLine="518"/>
        <w:rPr>
          <w:rFonts w:ascii="Times New Roman" w:hAnsi="Times New Roman"/>
          <w:b/>
          <w:bCs/>
          <w:spacing w:val="-11"/>
          <w:sz w:val="28"/>
          <w:szCs w:val="28"/>
        </w:rPr>
      </w:pPr>
      <w:r>
        <w:rPr>
          <w:rFonts w:ascii="宋体" w:hAnsi="宋体" w:hint="eastAsia"/>
          <w:b/>
          <w:bCs/>
          <w:spacing w:val="-11"/>
          <w:sz w:val="28"/>
          <w:szCs w:val="28"/>
        </w:rPr>
        <w:t>四</w:t>
      </w:r>
      <w:r>
        <w:rPr>
          <w:rFonts w:ascii="宋体" w:hAnsi="宋体"/>
          <w:b/>
          <w:bCs/>
          <w:spacing w:val="-11"/>
          <w:sz w:val="28"/>
          <w:szCs w:val="28"/>
        </w:rPr>
        <w:t>、</w:t>
      </w:r>
      <w:r>
        <w:rPr>
          <w:rFonts w:ascii="宋体" w:hAnsi="宋体" w:hint="eastAsia"/>
          <w:b/>
          <w:bCs/>
          <w:spacing w:val="-11"/>
          <w:sz w:val="28"/>
          <w:szCs w:val="28"/>
        </w:rPr>
        <w:t>本次解除限售的限制性股票上市流通安排及股本结构变动情况</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（一）本次解除限售的限制性股票上市流通日：2025年3月7日</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（二）本次解除限售的限制性股票上市流通数量：36,738,702股</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（三）本次解除限售涉及的董事和高管本次解锁的限制性股票的锁定和转让限制：</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1．公司董事、高级管理人员在任职期间每年转让的公司股份不得超过其所持有公司股份总数的25%；在离职后半年内，不得转让其所持有的公司股份。</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2．公司董事、高级管理人员将其持有公司股份在买入后6个月内卖出，或者在卖出后6个月内又买入的，由此所得收益归公司所有，公司董事会将收回其所得收益。</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lastRenderedPageBreak/>
        <w:t>3．如果《公司法》《证券法》等相关法律、法规、规范性文件和《公司章程》关于公司董事、高级管理人员所持本公司股份变动的规定发生变化的，公司董事、高级管理人员应遵守新规定。</w:t>
      </w:r>
    </w:p>
    <w:p w:rsidR="00D250B6" w:rsidRDefault="00000000">
      <w:pPr>
        <w:pStyle w:val="p0"/>
        <w:widowControl w:val="0"/>
        <w:autoSpaceDE w:val="0"/>
        <w:snapToGrid w:val="0"/>
        <w:spacing w:line="520" w:lineRule="exact"/>
        <w:ind w:firstLineChars="200" w:firstLine="560"/>
        <w:rPr>
          <w:rFonts w:ascii="宋体" w:hAnsi="宋体" w:hint="eastAsia"/>
          <w:sz w:val="28"/>
          <w:szCs w:val="28"/>
        </w:rPr>
      </w:pPr>
      <w:r>
        <w:rPr>
          <w:rFonts w:ascii="宋体" w:hAnsi="宋体" w:hint="eastAsia"/>
          <w:sz w:val="28"/>
          <w:szCs w:val="28"/>
        </w:rPr>
        <w:t>（四）本次限制性股票解除限售后公司股本结构变动情况</w:t>
      </w:r>
    </w:p>
    <w:p w:rsidR="00D250B6" w:rsidRDefault="00000000">
      <w:pPr>
        <w:pStyle w:val="p0"/>
        <w:widowControl w:val="0"/>
        <w:autoSpaceDE w:val="0"/>
        <w:snapToGrid w:val="0"/>
        <w:spacing w:line="520" w:lineRule="exact"/>
        <w:ind w:firstLineChars="200" w:firstLine="480"/>
        <w:jc w:val="right"/>
        <w:rPr>
          <w:rFonts w:ascii="宋体" w:hAnsi="宋体" w:hint="eastAsia"/>
        </w:rPr>
      </w:pPr>
      <w:r>
        <w:rPr>
          <w:rFonts w:ascii="宋体" w:hAnsi="宋体" w:hint="eastAsia"/>
        </w:rPr>
        <w:t>单位：股</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2111"/>
        <w:gridCol w:w="2112"/>
        <w:gridCol w:w="2112"/>
      </w:tblGrid>
      <w:tr w:rsidR="004D1CA5" w:rsidTr="00340F97">
        <w:trPr>
          <w:trHeight w:val="567"/>
        </w:trPr>
        <w:tc>
          <w:tcPr>
            <w:tcW w:w="2703" w:type="dxa"/>
            <w:tcBorders>
              <w:top w:val="single" w:sz="4" w:space="0" w:color="auto"/>
              <w:left w:val="single" w:sz="4" w:space="0" w:color="auto"/>
              <w:bottom w:val="single" w:sz="4" w:space="0" w:color="auto"/>
              <w:right w:val="single" w:sz="4" w:space="0" w:color="auto"/>
            </w:tcBorders>
            <w:shd w:val="clear" w:color="auto" w:fill="A6A6A6"/>
            <w:vAlign w:val="center"/>
          </w:tcPr>
          <w:p w:rsidR="004D1CA5" w:rsidRDefault="004D1CA5" w:rsidP="00340F97">
            <w:pPr>
              <w:pStyle w:val="p0"/>
              <w:snapToGrid w:val="0"/>
              <w:jc w:val="center"/>
              <w:rPr>
                <w:rFonts w:ascii="宋体" w:hAnsi="宋体" w:hint="eastAsia"/>
                <w:b/>
                <w:bCs/>
              </w:rPr>
            </w:pPr>
            <w:r>
              <w:rPr>
                <w:rFonts w:ascii="宋体" w:hAnsi="宋体" w:hint="eastAsia"/>
                <w:b/>
                <w:bCs/>
              </w:rPr>
              <w:t>类别</w:t>
            </w:r>
          </w:p>
        </w:tc>
        <w:tc>
          <w:tcPr>
            <w:tcW w:w="2111" w:type="dxa"/>
            <w:tcBorders>
              <w:top w:val="single" w:sz="4" w:space="0" w:color="auto"/>
              <w:left w:val="single" w:sz="4" w:space="0" w:color="auto"/>
              <w:bottom w:val="single" w:sz="4" w:space="0" w:color="auto"/>
              <w:right w:val="single" w:sz="4" w:space="0" w:color="auto"/>
            </w:tcBorders>
            <w:shd w:val="clear" w:color="auto" w:fill="A6A6A6"/>
            <w:vAlign w:val="center"/>
          </w:tcPr>
          <w:p w:rsidR="004D1CA5" w:rsidRDefault="004D1CA5" w:rsidP="00340F97">
            <w:pPr>
              <w:pStyle w:val="p0"/>
              <w:snapToGrid w:val="0"/>
              <w:jc w:val="center"/>
              <w:rPr>
                <w:rFonts w:ascii="宋体" w:hAnsi="宋体" w:hint="eastAsia"/>
                <w:b/>
                <w:bCs/>
              </w:rPr>
            </w:pPr>
            <w:r>
              <w:rPr>
                <w:rFonts w:ascii="宋体" w:hAnsi="宋体" w:hint="eastAsia"/>
                <w:b/>
                <w:bCs/>
              </w:rPr>
              <w:t>本次变动前</w:t>
            </w:r>
            <w:r>
              <w:rPr>
                <w:rFonts w:ascii="宋体" w:hAnsi="宋体" w:hint="eastAsia"/>
                <w:vertAlign w:val="superscript"/>
              </w:rPr>
              <w:t>注</w:t>
            </w:r>
          </w:p>
        </w:tc>
        <w:tc>
          <w:tcPr>
            <w:tcW w:w="2112" w:type="dxa"/>
            <w:tcBorders>
              <w:top w:val="single" w:sz="4" w:space="0" w:color="auto"/>
              <w:left w:val="single" w:sz="4" w:space="0" w:color="auto"/>
              <w:bottom w:val="single" w:sz="4" w:space="0" w:color="auto"/>
              <w:right w:val="single" w:sz="4" w:space="0" w:color="auto"/>
            </w:tcBorders>
            <w:shd w:val="clear" w:color="auto" w:fill="A6A6A6"/>
            <w:vAlign w:val="center"/>
          </w:tcPr>
          <w:p w:rsidR="004D1CA5" w:rsidRDefault="004D1CA5" w:rsidP="00340F97">
            <w:pPr>
              <w:pStyle w:val="p0"/>
              <w:snapToGrid w:val="0"/>
              <w:jc w:val="center"/>
              <w:rPr>
                <w:rFonts w:ascii="宋体" w:hAnsi="宋体" w:hint="eastAsia"/>
                <w:b/>
                <w:bCs/>
              </w:rPr>
            </w:pPr>
            <w:r>
              <w:rPr>
                <w:rFonts w:ascii="宋体" w:hAnsi="宋体" w:hint="eastAsia"/>
                <w:b/>
                <w:bCs/>
              </w:rPr>
              <w:t>本次变动数</w:t>
            </w:r>
          </w:p>
        </w:tc>
        <w:tc>
          <w:tcPr>
            <w:tcW w:w="2112" w:type="dxa"/>
            <w:tcBorders>
              <w:top w:val="single" w:sz="4" w:space="0" w:color="auto"/>
              <w:left w:val="single" w:sz="4" w:space="0" w:color="auto"/>
              <w:bottom w:val="single" w:sz="4" w:space="0" w:color="auto"/>
              <w:right w:val="single" w:sz="4" w:space="0" w:color="auto"/>
            </w:tcBorders>
            <w:shd w:val="clear" w:color="auto" w:fill="A6A6A6"/>
            <w:vAlign w:val="center"/>
          </w:tcPr>
          <w:p w:rsidR="004D1CA5" w:rsidRDefault="004D1CA5" w:rsidP="00340F97">
            <w:pPr>
              <w:pStyle w:val="p0"/>
              <w:snapToGrid w:val="0"/>
              <w:jc w:val="center"/>
              <w:rPr>
                <w:rFonts w:ascii="宋体" w:hAnsi="宋体" w:hint="eastAsia"/>
                <w:b/>
                <w:bCs/>
              </w:rPr>
            </w:pPr>
            <w:r>
              <w:rPr>
                <w:rFonts w:ascii="宋体" w:hAnsi="宋体" w:hint="eastAsia"/>
                <w:b/>
                <w:bCs/>
              </w:rPr>
              <w:t>本次变动后</w:t>
            </w:r>
            <w:r>
              <w:rPr>
                <w:rFonts w:ascii="宋体" w:hAnsi="宋体" w:hint="eastAsia"/>
                <w:vertAlign w:val="superscript"/>
              </w:rPr>
              <w:t>注</w:t>
            </w:r>
          </w:p>
        </w:tc>
      </w:tr>
      <w:tr w:rsidR="004D1CA5" w:rsidTr="00340F97">
        <w:trPr>
          <w:trHeight w:val="567"/>
        </w:trPr>
        <w:tc>
          <w:tcPr>
            <w:tcW w:w="2703"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center"/>
              <w:rPr>
                <w:rFonts w:ascii="宋体" w:hAnsi="宋体" w:hint="eastAsia"/>
              </w:rPr>
            </w:pPr>
            <w:r>
              <w:rPr>
                <w:rFonts w:ascii="宋体" w:hAnsi="宋体" w:hint="eastAsia"/>
              </w:rPr>
              <w:t>有限</w:t>
            </w:r>
            <w:proofErr w:type="gramStart"/>
            <w:r>
              <w:rPr>
                <w:rFonts w:ascii="宋体" w:hAnsi="宋体" w:hint="eastAsia"/>
              </w:rPr>
              <w:t>售条件</w:t>
            </w:r>
            <w:proofErr w:type="gramEnd"/>
            <w:r>
              <w:rPr>
                <w:rFonts w:ascii="宋体" w:hAnsi="宋体" w:hint="eastAsia"/>
              </w:rPr>
              <w:t>股份(A股)</w:t>
            </w:r>
          </w:p>
          <w:p w:rsidR="004D1CA5" w:rsidRDefault="004D1CA5" w:rsidP="00340F97">
            <w:pPr>
              <w:pStyle w:val="p0"/>
              <w:snapToGrid w:val="0"/>
              <w:jc w:val="center"/>
              <w:rPr>
                <w:rFonts w:ascii="宋体" w:hAnsi="宋体" w:hint="eastAsia"/>
              </w:rPr>
            </w:pPr>
            <w:r>
              <w:rPr>
                <w:rFonts w:ascii="宋体" w:hAnsi="宋体" w:hint="eastAsia"/>
              </w:rPr>
              <w:t>——股权激励股份</w:t>
            </w:r>
          </w:p>
        </w:tc>
        <w:tc>
          <w:tcPr>
            <w:tcW w:w="2111"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 xml:space="preserve">77,188,020 </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-36,738,702</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40,449,318</w:t>
            </w:r>
          </w:p>
        </w:tc>
      </w:tr>
      <w:tr w:rsidR="004D1CA5" w:rsidTr="00340F97">
        <w:trPr>
          <w:trHeight w:val="567"/>
        </w:trPr>
        <w:tc>
          <w:tcPr>
            <w:tcW w:w="2703"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center"/>
              <w:rPr>
                <w:rFonts w:ascii="宋体" w:hAnsi="宋体" w:hint="eastAsia"/>
              </w:rPr>
            </w:pPr>
            <w:r>
              <w:rPr>
                <w:rFonts w:ascii="宋体" w:hAnsi="宋体" w:hint="eastAsia"/>
              </w:rPr>
              <w:t>无限</w:t>
            </w:r>
            <w:proofErr w:type="gramStart"/>
            <w:r>
              <w:rPr>
                <w:rFonts w:ascii="宋体" w:hAnsi="宋体" w:hint="eastAsia"/>
              </w:rPr>
              <w:t>售条件</w:t>
            </w:r>
            <w:proofErr w:type="gramEnd"/>
            <w:r>
              <w:rPr>
                <w:rFonts w:ascii="宋体" w:hAnsi="宋体" w:hint="eastAsia"/>
              </w:rPr>
              <w:t>股份（A股）</w:t>
            </w:r>
          </w:p>
        </w:tc>
        <w:tc>
          <w:tcPr>
            <w:tcW w:w="2111"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jc w:val="right"/>
              <w:rPr>
                <w:rFonts w:ascii="宋体" w:hAnsi="宋体" w:hint="eastAsia"/>
              </w:rPr>
            </w:pPr>
            <w:r>
              <w:rPr>
                <w:rFonts w:ascii="宋体" w:hAnsi="宋体" w:hint="eastAsia"/>
                <w:color w:val="000000"/>
                <w:kern w:val="0"/>
              </w:rPr>
              <w:t>5,887,172,382</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rPr>
              <w:t>36,738,702</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5,923,911,084</w:t>
            </w:r>
          </w:p>
        </w:tc>
      </w:tr>
      <w:tr w:rsidR="004D1CA5" w:rsidTr="00340F97">
        <w:trPr>
          <w:trHeight w:val="567"/>
        </w:trPr>
        <w:tc>
          <w:tcPr>
            <w:tcW w:w="2703"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center"/>
              <w:rPr>
                <w:rFonts w:ascii="宋体" w:hAnsi="宋体" w:hint="eastAsia"/>
              </w:rPr>
            </w:pPr>
            <w:r w:rsidRPr="004D1CA5">
              <w:rPr>
                <w:rFonts w:ascii="宋体" w:hAnsi="宋体" w:hint="eastAsia"/>
              </w:rPr>
              <w:t>无限</w:t>
            </w:r>
            <w:proofErr w:type="gramStart"/>
            <w:r w:rsidRPr="004D1CA5">
              <w:rPr>
                <w:rFonts w:ascii="宋体" w:hAnsi="宋体" w:hint="eastAsia"/>
              </w:rPr>
              <w:t>售条件</w:t>
            </w:r>
            <w:proofErr w:type="gramEnd"/>
            <w:r w:rsidRPr="004D1CA5">
              <w:rPr>
                <w:rFonts w:ascii="宋体" w:hAnsi="宋体" w:hint="eastAsia"/>
              </w:rPr>
              <w:t>股份（</w:t>
            </w:r>
            <w:r>
              <w:rPr>
                <w:rFonts w:ascii="宋体" w:hAnsi="宋体" w:hint="eastAsia"/>
              </w:rPr>
              <w:t>H</w:t>
            </w:r>
            <w:r w:rsidRPr="004D1CA5">
              <w:rPr>
                <w:rFonts w:ascii="宋体" w:hAnsi="宋体" w:hint="eastAsia"/>
              </w:rPr>
              <w:t>股）</w:t>
            </w:r>
          </w:p>
        </w:tc>
        <w:tc>
          <w:tcPr>
            <w:tcW w:w="2111"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4,075,500,000</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0</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sidRPr="004D1CA5">
              <w:rPr>
                <w:rFonts w:ascii="宋体" w:hAnsi="宋体"/>
              </w:rPr>
              <w:t>4,075,500,000</w:t>
            </w:r>
          </w:p>
        </w:tc>
      </w:tr>
      <w:tr w:rsidR="004D1CA5" w:rsidTr="00340F97">
        <w:trPr>
          <w:trHeight w:val="567"/>
        </w:trPr>
        <w:tc>
          <w:tcPr>
            <w:tcW w:w="2703"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center"/>
              <w:rPr>
                <w:rFonts w:ascii="宋体" w:hAnsi="宋体" w:hint="eastAsia"/>
              </w:rPr>
            </w:pPr>
            <w:r>
              <w:rPr>
                <w:rFonts w:ascii="宋体" w:hAnsi="宋体" w:hint="eastAsia"/>
              </w:rPr>
              <w:t>合计</w:t>
            </w:r>
          </w:p>
        </w:tc>
        <w:tc>
          <w:tcPr>
            <w:tcW w:w="2111"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10,039,860,402</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0</w:t>
            </w:r>
          </w:p>
        </w:tc>
        <w:tc>
          <w:tcPr>
            <w:tcW w:w="2112" w:type="dxa"/>
            <w:tcBorders>
              <w:top w:val="single" w:sz="4" w:space="0" w:color="auto"/>
              <w:left w:val="single" w:sz="4" w:space="0" w:color="auto"/>
              <w:bottom w:val="single" w:sz="4" w:space="0" w:color="auto"/>
              <w:right w:val="single" w:sz="4" w:space="0" w:color="auto"/>
            </w:tcBorders>
            <w:vAlign w:val="center"/>
          </w:tcPr>
          <w:p w:rsidR="004D1CA5" w:rsidRDefault="004D1CA5" w:rsidP="00340F97">
            <w:pPr>
              <w:pStyle w:val="p0"/>
              <w:snapToGrid w:val="0"/>
              <w:jc w:val="right"/>
              <w:rPr>
                <w:rFonts w:ascii="宋体" w:hAnsi="宋体" w:hint="eastAsia"/>
              </w:rPr>
            </w:pPr>
            <w:r>
              <w:rPr>
                <w:rFonts w:ascii="宋体" w:hAnsi="宋体" w:hint="eastAsia"/>
              </w:rPr>
              <w:t>10,039,860,402</w:t>
            </w:r>
          </w:p>
        </w:tc>
      </w:tr>
    </w:tbl>
    <w:p w:rsidR="004D1CA5" w:rsidRDefault="004D1CA5">
      <w:pPr>
        <w:rPr>
          <w:rFonts w:hint="eastAsia"/>
        </w:rPr>
      </w:pPr>
    </w:p>
    <w:p w:rsidR="00D250B6" w:rsidRDefault="00000000">
      <w:pPr>
        <w:pStyle w:val="p0"/>
        <w:widowControl w:val="0"/>
        <w:autoSpaceDE w:val="0"/>
        <w:snapToGrid w:val="0"/>
        <w:spacing w:line="520" w:lineRule="exact"/>
        <w:ind w:firstLineChars="200" w:firstLine="560"/>
        <w:rPr>
          <w:rFonts w:ascii="楷体_GB2312" w:eastAsia="楷体_GB2312"/>
          <w:kern w:val="2"/>
          <w:sz w:val="28"/>
          <w:szCs w:val="28"/>
        </w:rPr>
      </w:pPr>
      <w:r>
        <w:rPr>
          <w:rFonts w:ascii="楷体_GB2312" w:eastAsia="楷体_GB2312" w:hint="eastAsia"/>
          <w:kern w:val="2"/>
          <w:sz w:val="28"/>
          <w:szCs w:val="28"/>
        </w:rPr>
        <w:t>注：</w:t>
      </w:r>
      <w:r w:rsidR="00FA0A0C">
        <w:rPr>
          <w:rFonts w:ascii="楷体_GB2312" w:eastAsia="楷体_GB2312" w:hint="eastAsia"/>
          <w:kern w:val="2"/>
          <w:sz w:val="28"/>
          <w:szCs w:val="28"/>
        </w:rPr>
        <w:t>上表</w:t>
      </w:r>
      <w:r>
        <w:rPr>
          <w:rFonts w:ascii="楷体_GB2312" w:eastAsia="楷体_GB2312" w:hint="eastAsia"/>
          <w:kern w:val="2"/>
          <w:sz w:val="28"/>
          <w:szCs w:val="28"/>
        </w:rPr>
        <w:t>数据为回购注销前数据。根据公司于2025年2月24日召开的第九届董事会第十三次会议决议，41名激励对象已获授但未解除限售的2,379,858股限制性股票将被回购注销，回购注销完成后</w:t>
      </w:r>
      <w:r w:rsidR="00FA0A0C">
        <w:rPr>
          <w:rFonts w:ascii="楷体_GB2312" w:eastAsia="楷体_GB2312" w:hint="eastAsia"/>
          <w:kern w:val="2"/>
          <w:sz w:val="28"/>
          <w:szCs w:val="28"/>
        </w:rPr>
        <w:t>，上表</w:t>
      </w:r>
      <w:r w:rsidR="00FA0A0C" w:rsidRPr="00FA0A0C">
        <w:rPr>
          <w:rFonts w:ascii="楷体_GB2312" w:eastAsia="楷体_GB2312" w:hint="eastAsia"/>
          <w:kern w:val="2"/>
          <w:sz w:val="28"/>
          <w:szCs w:val="28"/>
        </w:rPr>
        <w:t>有限售条件股份</w:t>
      </w:r>
      <w:r w:rsidR="00FA0A0C">
        <w:rPr>
          <w:rFonts w:ascii="楷体_GB2312" w:eastAsia="楷体_GB2312" w:hint="eastAsia"/>
          <w:kern w:val="2"/>
          <w:sz w:val="28"/>
          <w:szCs w:val="28"/>
        </w:rPr>
        <w:t>数和股本合计数均将减少2,379,858股</w:t>
      </w:r>
      <w:r>
        <w:rPr>
          <w:rFonts w:ascii="楷体_GB2312" w:eastAsia="楷体_GB2312" w:hint="eastAsia"/>
          <w:kern w:val="2"/>
          <w:sz w:val="28"/>
          <w:szCs w:val="28"/>
        </w:rPr>
        <w:t>。</w:t>
      </w:r>
    </w:p>
    <w:p w:rsidR="00D250B6" w:rsidRDefault="00000000">
      <w:pPr>
        <w:pStyle w:val="p0"/>
        <w:widowControl w:val="0"/>
        <w:autoSpaceDE w:val="0"/>
        <w:snapToGrid w:val="0"/>
        <w:spacing w:line="520" w:lineRule="exact"/>
        <w:ind w:firstLineChars="200" w:firstLine="562"/>
        <w:rPr>
          <w:rFonts w:ascii="宋体" w:hAnsi="宋体" w:hint="eastAsia"/>
          <w:b/>
          <w:bCs/>
          <w:sz w:val="28"/>
          <w:szCs w:val="28"/>
        </w:rPr>
      </w:pPr>
      <w:r>
        <w:rPr>
          <w:rFonts w:ascii="宋体" w:hAnsi="宋体" w:hint="eastAsia"/>
          <w:b/>
          <w:bCs/>
          <w:sz w:val="28"/>
          <w:szCs w:val="28"/>
        </w:rPr>
        <w:t>五、法律意见书的结论意见</w:t>
      </w:r>
    </w:p>
    <w:p w:rsidR="00D250B6" w:rsidRDefault="00000000">
      <w:pPr>
        <w:autoSpaceDE w:val="0"/>
        <w:spacing w:line="520" w:lineRule="exact"/>
        <w:ind w:firstLineChars="200" w:firstLine="560"/>
        <w:rPr>
          <w:rFonts w:ascii="宋体" w:hAnsi="宋体" w:hint="eastAsia"/>
          <w:sz w:val="28"/>
          <w:szCs w:val="28"/>
        </w:rPr>
      </w:pPr>
      <w:r>
        <w:rPr>
          <w:rFonts w:ascii="宋体" w:hAnsi="宋体" w:hint="eastAsia"/>
          <w:kern w:val="0"/>
          <w:sz w:val="28"/>
          <w:szCs w:val="28"/>
        </w:rPr>
        <w:t>公司就本次解除限售条件达成已取得现阶段必要的批准和授权，符合《上市公司股权激励管理办法》及本激励计划相关规定；本激励计划的第二个限售期已届满，本次解除限售条件已达成，符合《上市公司股权激励管理办法》及本激励计划的相关规定。</w:t>
      </w:r>
    </w:p>
    <w:p w:rsidR="00D250B6" w:rsidRDefault="00D250B6"/>
    <w:p w:rsidR="00D250B6" w:rsidRDefault="00D250B6">
      <w:pPr>
        <w:rPr>
          <w:szCs w:val="21"/>
        </w:rPr>
      </w:pPr>
    </w:p>
    <w:p w:rsidR="00D250B6"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特此公告。</w:t>
      </w:r>
    </w:p>
    <w:p w:rsidR="00D250B6" w:rsidRDefault="00D250B6">
      <w:pPr>
        <w:adjustRightInd w:val="0"/>
        <w:snapToGrid w:val="0"/>
        <w:spacing w:line="360" w:lineRule="auto"/>
        <w:rPr>
          <w:rFonts w:ascii="宋体" w:hAnsi="宋体" w:hint="eastAsia"/>
          <w:szCs w:val="24"/>
        </w:rPr>
      </w:pPr>
    </w:p>
    <w:p w:rsidR="00D250B6" w:rsidRDefault="00D250B6">
      <w:pPr>
        <w:adjustRightInd w:val="0"/>
        <w:snapToGrid w:val="0"/>
        <w:spacing w:line="360" w:lineRule="auto"/>
        <w:rPr>
          <w:rFonts w:ascii="宋体" w:hAnsi="宋体" w:hint="eastAsia"/>
          <w:sz w:val="28"/>
          <w:szCs w:val="28"/>
        </w:rPr>
      </w:pPr>
    </w:p>
    <w:p w:rsidR="00D250B6" w:rsidRDefault="00000000">
      <w:pPr>
        <w:wordWrap w:val="0"/>
        <w:jc w:val="right"/>
        <w:rPr>
          <w:rFonts w:ascii="宋体" w:eastAsia="宋体" w:hAnsi="宋体" w:hint="eastAsia"/>
          <w:sz w:val="28"/>
          <w:szCs w:val="28"/>
        </w:rPr>
      </w:pPr>
      <w:sdt>
        <w:sdtPr>
          <w:rPr>
            <w:rFonts w:ascii="宋体" w:eastAsia="宋体" w:hAnsi="宋体" w:hint="eastAsia"/>
            <w:sz w:val="28"/>
            <w:szCs w:val="28"/>
          </w:rPr>
          <w:alias w:val="公司法定中文名称"/>
          <w:tag w:val="_GBC_a0dbe34339a344a896b553a3a318a794"/>
          <w:id w:val="1288322657"/>
          <w:lock w:val="sdtLocked"/>
          <w:placeholder>
            <w:docPart w:val="GBC22222222222222222222222222222"/>
          </w:placeholder>
          <w:dataBinding w:prefixMappings="xmlns:clcta-gie='clcta-gie'" w:xpath="/*/clcta-gie:GongSiFaDingZhongWenMingCheng" w:storeItemID="{F9CFF96E-F764-41B9-B1F0-CADBA89E637A}"/>
          <w:text/>
        </w:sdtPr>
        <w:sdtContent>
          <w:r>
            <w:rPr>
              <w:rFonts w:ascii="宋体" w:eastAsia="宋体" w:hAnsi="宋体" w:hint="eastAsia"/>
              <w:sz w:val="28"/>
              <w:szCs w:val="28"/>
            </w:rPr>
            <w:t>兖矿能源集团股份有限公司</w:t>
          </w:r>
        </w:sdtContent>
      </w:sdt>
      <w:r>
        <w:rPr>
          <w:rFonts w:ascii="宋体" w:eastAsia="宋体" w:hAnsi="宋体" w:hint="eastAsia"/>
          <w:sz w:val="28"/>
          <w:szCs w:val="28"/>
        </w:rPr>
        <w:t>董事会</w:t>
      </w:r>
    </w:p>
    <w:p w:rsidR="00D250B6" w:rsidRDefault="00000000">
      <w:pPr>
        <w:ind w:firstLineChars="1500" w:firstLine="4200"/>
        <w:jc w:val="center"/>
        <w:rPr>
          <w:rFonts w:ascii="宋体" w:eastAsia="宋体" w:hAnsi="宋体" w:hint="eastAsia"/>
          <w:sz w:val="28"/>
          <w:szCs w:val="28"/>
        </w:rPr>
      </w:pPr>
      <w:sdt>
        <w:sdtPr>
          <w:rPr>
            <w:rFonts w:ascii="宋体" w:eastAsia="宋体" w:hAnsi="宋体" w:hint="eastAsia"/>
            <w:sz w:val="28"/>
            <w:szCs w:val="28"/>
          </w:rPr>
          <w:alias w:val="临时公告日期"/>
          <w:tag w:val="_GBC_b0649edb53524c19a256bbb6e780e07f"/>
          <w:id w:val="1532458261"/>
          <w:lock w:val="sdtLocked"/>
          <w:placeholder>
            <w:docPart w:val="GBC22222222222222222222222222222"/>
          </w:placeholder>
          <w:date w:fullDate="2025-03-03T00:00:00Z">
            <w:dateFormat w:val="yyyy'年'M'月'd'日'"/>
            <w:lid w:val="zh-CN"/>
            <w:storeMappedDataAs w:val="dateTime"/>
            <w:calendar w:val="gregorian"/>
          </w:date>
        </w:sdtPr>
        <w:sdtContent>
          <w:r w:rsidR="008779EB">
            <w:rPr>
              <w:rFonts w:ascii="宋体" w:eastAsia="宋体" w:hAnsi="宋体" w:hint="eastAsia"/>
              <w:sz w:val="28"/>
              <w:szCs w:val="28"/>
            </w:rPr>
            <w:t>2025年3月3日</w:t>
          </w:r>
        </w:sdtContent>
      </w:sdt>
    </w:p>
    <w:p w:rsidR="00D250B6" w:rsidRDefault="00D250B6">
      <w:pPr>
        <w:pStyle w:val="af5"/>
        <w:spacing w:line="360" w:lineRule="auto"/>
        <w:ind w:left="420" w:firstLineChars="0" w:firstLine="0"/>
        <w:jc w:val="left"/>
      </w:pPr>
    </w:p>
    <w:sectPr w:rsidR="00D250B6">
      <w:footerReference w:type="default" r:id="rId1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61F" w:rsidRDefault="00D7161F">
      <w:r>
        <w:separator/>
      </w:r>
    </w:p>
  </w:endnote>
  <w:endnote w:type="continuationSeparator" w:id="0">
    <w:p w:rsidR="00D7161F" w:rsidRDefault="00D7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B6" w:rsidRDefault="00000000">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50B6" w:rsidRDefault="00000000">
                          <w:pPr>
                            <w:pStyle w:val="ac"/>
                            <w:rPr>
                              <w:rFonts w:ascii="宋体" w:eastAsia="宋体" w:hAnsi="宋体" w:cs="宋体" w:hint="eastAsia"/>
                              <w:sz w:val="20"/>
                              <w:szCs w:val="20"/>
                            </w:rPr>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 PAGE  \* MERGEFORMAT </w:instrText>
                          </w:r>
                          <w:r>
                            <w:rPr>
                              <w:rFonts w:ascii="宋体" w:eastAsia="宋体" w:hAnsi="宋体" w:cs="宋体" w:hint="eastAsia"/>
                              <w:sz w:val="20"/>
                              <w:szCs w:val="20"/>
                            </w:rPr>
                            <w:fldChar w:fldCharType="separate"/>
                          </w:r>
                          <w:r>
                            <w:rPr>
                              <w:rFonts w:ascii="宋体" w:eastAsia="宋体" w:hAnsi="宋体" w:cs="宋体" w:hint="eastAsia"/>
                              <w:sz w:val="20"/>
                              <w:szCs w:val="20"/>
                            </w:rPr>
                            <w:t>1</w:t>
                          </w:r>
                          <w:r>
                            <w:rPr>
                              <w:rFonts w:ascii="宋体" w:eastAsia="宋体" w:hAnsi="宋体" w:cs="宋体" w:hint="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D250B6" w:rsidRDefault="00000000">
                    <w:pPr>
                      <w:pStyle w:val="ac"/>
                      <w:rPr>
                        <w:rFonts w:ascii="宋体" w:eastAsia="宋体" w:hAnsi="宋体" w:cs="宋体" w:hint="eastAsia"/>
                        <w:sz w:val="20"/>
                        <w:szCs w:val="20"/>
                      </w:rPr>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 PAGE  \* MERGEFORMAT </w:instrText>
                    </w:r>
                    <w:r>
                      <w:rPr>
                        <w:rFonts w:ascii="宋体" w:eastAsia="宋体" w:hAnsi="宋体" w:cs="宋体" w:hint="eastAsia"/>
                        <w:sz w:val="20"/>
                        <w:szCs w:val="20"/>
                      </w:rPr>
                      <w:fldChar w:fldCharType="separate"/>
                    </w:r>
                    <w:r>
                      <w:rPr>
                        <w:rFonts w:ascii="宋体" w:eastAsia="宋体" w:hAnsi="宋体" w:cs="宋体" w:hint="eastAsia"/>
                        <w:sz w:val="20"/>
                        <w:szCs w:val="20"/>
                      </w:rPr>
                      <w:t>1</w:t>
                    </w:r>
                    <w:r>
                      <w:rPr>
                        <w:rFonts w:ascii="宋体" w:eastAsia="宋体" w:hAnsi="宋体" w:cs="宋体" w:hint="eastAsia"/>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61F" w:rsidRDefault="00D7161F">
      <w:r>
        <w:separator/>
      </w:r>
    </w:p>
  </w:footnote>
  <w:footnote w:type="continuationSeparator" w:id="0">
    <w:p w:rsidR="00D7161F" w:rsidRDefault="00D7161F">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8B9EC094-0FD5-41E9-8AF9-E05549C74E00}"/>
      </w:docPartPr>
      <w:docPartBody>
        <w:p w:rsidR="0084239A" w:rsidRDefault="00000000">
          <w:pPr>
            <w:pStyle w:val="GBC33333333333333333333333333333"/>
            <w:rPr>
              <w:rFonts w:hint="eastAsia"/>
            </w:rPr>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FF414F"/>
    <w:rsid w:val="0003044B"/>
    <w:rsid w:val="00052C22"/>
    <w:rsid w:val="000839BF"/>
    <w:rsid w:val="000A3AC9"/>
    <w:rsid w:val="000B7E8F"/>
    <w:rsid w:val="000C369A"/>
    <w:rsid w:val="000E6F12"/>
    <w:rsid w:val="00107DC1"/>
    <w:rsid w:val="00126ECF"/>
    <w:rsid w:val="00130353"/>
    <w:rsid w:val="00173EAB"/>
    <w:rsid w:val="00190AC0"/>
    <w:rsid w:val="00195EA0"/>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D3F6E"/>
    <w:rsid w:val="002E0F77"/>
    <w:rsid w:val="002E4E17"/>
    <w:rsid w:val="00300DE3"/>
    <w:rsid w:val="0030207A"/>
    <w:rsid w:val="00303C57"/>
    <w:rsid w:val="00314624"/>
    <w:rsid w:val="003323CA"/>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B0337"/>
    <w:rsid w:val="004B0FF6"/>
    <w:rsid w:val="005010BE"/>
    <w:rsid w:val="00505A67"/>
    <w:rsid w:val="00511457"/>
    <w:rsid w:val="00515640"/>
    <w:rsid w:val="00523709"/>
    <w:rsid w:val="00536B11"/>
    <w:rsid w:val="0055052C"/>
    <w:rsid w:val="00557F97"/>
    <w:rsid w:val="005647F8"/>
    <w:rsid w:val="005C3551"/>
    <w:rsid w:val="005C6C19"/>
    <w:rsid w:val="005E4216"/>
    <w:rsid w:val="005F5AFA"/>
    <w:rsid w:val="00600665"/>
    <w:rsid w:val="006327CF"/>
    <w:rsid w:val="00643FB9"/>
    <w:rsid w:val="00657763"/>
    <w:rsid w:val="00665765"/>
    <w:rsid w:val="0067787A"/>
    <w:rsid w:val="006B27FA"/>
    <w:rsid w:val="006C102F"/>
    <w:rsid w:val="006C1FBE"/>
    <w:rsid w:val="006D0F29"/>
    <w:rsid w:val="006E181A"/>
    <w:rsid w:val="006E47A9"/>
    <w:rsid w:val="006E66DB"/>
    <w:rsid w:val="0070470F"/>
    <w:rsid w:val="00710586"/>
    <w:rsid w:val="00737B7B"/>
    <w:rsid w:val="00785019"/>
    <w:rsid w:val="0078742D"/>
    <w:rsid w:val="007A3489"/>
    <w:rsid w:val="007B3351"/>
    <w:rsid w:val="007C53AB"/>
    <w:rsid w:val="007C62F9"/>
    <w:rsid w:val="007D290B"/>
    <w:rsid w:val="007E18EE"/>
    <w:rsid w:val="007F622C"/>
    <w:rsid w:val="00803010"/>
    <w:rsid w:val="0080425D"/>
    <w:rsid w:val="00825C86"/>
    <w:rsid w:val="00827ED9"/>
    <w:rsid w:val="00837163"/>
    <w:rsid w:val="0084239A"/>
    <w:rsid w:val="008518D0"/>
    <w:rsid w:val="0086456C"/>
    <w:rsid w:val="008940C9"/>
    <w:rsid w:val="00896ED2"/>
    <w:rsid w:val="008A0D16"/>
    <w:rsid w:val="008A28AF"/>
    <w:rsid w:val="008A6277"/>
    <w:rsid w:val="008A6950"/>
    <w:rsid w:val="008C467B"/>
    <w:rsid w:val="008C7A56"/>
    <w:rsid w:val="008F14F9"/>
    <w:rsid w:val="00900A1A"/>
    <w:rsid w:val="00903354"/>
    <w:rsid w:val="00925E11"/>
    <w:rsid w:val="00933E5E"/>
    <w:rsid w:val="00946DE6"/>
    <w:rsid w:val="00983BAC"/>
    <w:rsid w:val="00985F7F"/>
    <w:rsid w:val="00996C5B"/>
    <w:rsid w:val="009A54B2"/>
    <w:rsid w:val="009C334D"/>
    <w:rsid w:val="009D4B98"/>
    <w:rsid w:val="009D580C"/>
    <w:rsid w:val="009E64DF"/>
    <w:rsid w:val="009E7916"/>
    <w:rsid w:val="00A22935"/>
    <w:rsid w:val="00A33570"/>
    <w:rsid w:val="00A43002"/>
    <w:rsid w:val="00AA03C3"/>
    <w:rsid w:val="00AA4EF4"/>
    <w:rsid w:val="00AB69E8"/>
    <w:rsid w:val="00AC1FEE"/>
    <w:rsid w:val="00AC75D3"/>
    <w:rsid w:val="00AE2513"/>
    <w:rsid w:val="00AE639F"/>
    <w:rsid w:val="00AF2439"/>
    <w:rsid w:val="00B17C3B"/>
    <w:rsid w:val="00B43327"/>
    <w:rsid w:val="00B43E82"/>
    <w:rsid w:val="00B56DE2"/>
    <w:rsid w:val="00B90AD3"/>
    <w:rsid w:val="00BC3FBA"/>
    <w:rsid w:val="00BC64D2"/>
    <w:rsid w:val="00BD537E"/>
    <w:rsid w:val="00BF1BFC"/>
    <w:rsid w:val="00BF65BB"/>
    <w:rsid w:val="00C125D6"/>
    <w:rsid w:val="00C17542"/>
    <w:rsid w:val="00C25577"/>
    <w:rsid w:val="00C343CE"/>
    <w:rsid w:val="00C36995"/>
    <w:rsid w:val="00C6030E"/>
    <w:rsid w:val="00C65A17"/>
    <w:rsid w:val="00C82F79"/>
    <w:rsid w:val="00C9792B"/>
    <w:rsid w:val="00CB1A60"/>
    <w:rsid w:val="00CB4A10"/>
    <w:rsid w:val="00CE20E3"/>
    <w:rsid w:val="00CF65AB"/>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56E81"/>
    <w:rsid w:val="00E6502D"/>
    <w:rsid w:val="00E7190D"/>
    <w:rsid w:val="00E76481"/>
    <w:rsid w:val="00E77C81"/>
    <w:rsid w:val="00E924E2"/>
    <w:rsid w:val="00EB5A73"/>
    <w:rsid w:val="00EE39F0"/>
    <w:rsid w:val="00EF1B89"/>
    <w:rsid w:val="00F017AB"/>
    <w:rsid w:val="00F1580A"/>
    <w:rsid w:val="00F31DFE"/>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GBC33333333333333333333333333333">
    <w:name w:val="GBC3333333333333333333333333333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C98"/>
    <w:multiLevelType w:val="multilevel"/>
    <w:tmpl w:val="08DB6C9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6494435">
    <w:abstractNumId w:val="1"/>
  </w:num>
  <w:num w:numId="2" w16cid:durableId="1911427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1NmM5OTU2ZmY4Y2RiYTg3ZTQ2ZGQyMTliYjRmY2MifQ=="/>
    <w:docVar w:name="Disclosure_Version" w:val="true"/>
    <w:docVar w:name="KSO_WPS_MARK_KEY" w:val="1a50fbd7-636e-4dbc-a6cd-2777e1b2fb7c"/>
    <w:docVar w:name="RemovedBindingXPath"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9BF"/>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D3A72"/>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158A8"/>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C4C"/>
    <w:rsid w:val="001B4287"/>
    <w:rsid w:val="001B641A"/>
    <w:rsid w:val="001B66E2"/>
    <w:rsid w:val="001C00B1"/>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2DB9"/>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A21"/>
    <w:rsid w:val="004C2354"/>
    <w:rsid w:val="004C4A70"/>
    <w:rsid w:val="004C6811"/>
    <w:rsid w:val="004D12CD"/>
    <w:rsid w:val="004D1CA5"/>
    <w:rsid w:val="004D1D0B"/>
    <w:rsid w:val="004D234E"/>
    <w:rsid w:val="004D5977"/>
    <w:rsid w:val="004E1802"/>
    <w:rsid w:val="004E2852"/>
    <w:rsid w:val="004E2F27"/>
    <w:rsid w:val="004E3959"/>
    <w:rsid w:val="004E7394"/>
    <w:rsid w:val="004E7AFF"/>
    <w:rsid w:val="004F1912"/>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4DB2"/>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1FBE"/>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1F4A"/>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351"/>
    <w:rsid w:val="007B379A"/>
    <w:rsid w:val="007B3B96"/>
    <w:rsid w:val="007B6BDA"/>
    <w:rsid w:val="007C0408"/>
    <w:rsid w:val="007C4392"/>
    <w:rsid w:val="007C5AFF"/>
    <w:rsid w:val="007D3EEA"/>
    <w:rsid w:val="007D617E"/>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779EB"/>
    <w:rsid w:val="00885642"/>
    <w:rsid w:val="0088592D"/>
    <w:rsid w:val="00886F66"/>
    <w:rsid w:val="008873FF"/>
    <w:rsid w:val="008913D2"/>
    <w:rsid w:val="0089166E"/>
    <w:rsid w:val="00895025"/>
    <w:rsid w:val="008951EA"/>
    <w:rsid w:val="00896630"/>
    <w:rsid w:val="008A0C90"/>
    <w:rsid w:val="008A1445"/>
    <w:rsid w:val="008A1E82"/>
    <w:rsid w:val="008A1EA5"/>
    <w:rsid w:val="008A2021"/>
    <w:rsid w:val="008A28B7"/>
    <w:rsid w:val="008A2CC3"/>
    <w:rsid w:val="008A2DBD"/>
    <w:rsid w:val="008A46B2"/>
    <w:rsid w:val="008B56F0"/>
    <w:rsid w:val="008B58F6"/>
    <w:rsid w:val="008B6069"/>
    <w:rsid w:val="008B731A"/>
    <w:rsid w:val="008C1422"/>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743"/>
    <w:rsid w:val="008F3A71"/>
    <w:rsid w:val="008F5BC3"/>
    <w:rsid w:val="008F602E"/>
    <w:rsid w:val="008F693A"/>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B98"/>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ADE"/>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366E"/>
    <w:rsid w:val="00A942B0"/>
    <w:rsid w:val="00A95701"/>
    <w:rsid w:val="00A96C7F"/>
    <w:rsid w:val="00AA497C"/>
    <w:rsid w:val="00AA578A"/>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4"/>
    <w:rsid w:val="00BB2548"/>
    <w:rsid w:val="00BB2AA7"/>
    <w:rsid w:val="00BB5AD9"/>
    <w:rsid w:val="00BB674B"/>
    <w:rsid w:val="00BC15CA"/>
    <w:rsid w:val="00BC3476"/>
    <w:rsid w:val="00BC4E62"/>
    <w:rsid w:val="00BD072B"/>
    <w:rsid w:val="00BD2863"/>
    <w:rsid w:val="00BD3110"/>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250B6"/>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61F"/>
    <w:rsid w:val="00D71AFA"/>
    <w:rsid w:val="00D72DDD"/>
    <w:rsid w:val="00D80687"/>
    <w:rsid w:val="00D80CCE"/>
    <w:rsid w:val="00D80D6A"/>
    <w:rsid w:val="00D820B6"/>
    <w:rsid w:val="00D82D00"/>
    <w:rsid w:val="00D83A9D"/>
    <w:rsid w:val="00D86138"/>
    <w:rsid w:val="00D93F58"/>
    <w:rsid w:val="00D97DAD"/>
    <w:rsid w:val="00DA7802"/>
    <w:rsid w:val="00DB11BC"/>
    <w:rsid w:val="00DB3C35"/>
    <w:rsid w:val="00DB3D8A"/>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56E81"/>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61B5"/>
    <w:rsid w:val="00F93DE2"/>
    <w:rsid w:val="00F94C4D"/>
    <w:rsid w:val="00FA0A0C"/>
    <w:rsid w:val="00FA16E7"/>
    <w:rsid w:val="00FA1827"/>
    <w:rsid w:val="00FA30D4"/>
    <w:rsid w:val="00FA3C59"/>
    <w:rsid w:val="00FA41EE"/>
    <w:rsid w:val="00FA519F"/>
    <w:rsid w:val="00FB45D0"/>
    <w:rsid w:val="00FB4EA4"/>
    <w:rsid w:val="00FB5F58"/>
    <w:rsid w:val="00FB79EA"/>
    <w:rsid w:val="00FB7E53"/>
    <w:rsid w:val="00FC13B6"/>
    <w:rsid w:val="00FC27DA"/>
    <w:rsid w:val="00FC4A85"/>
    <w:rsid w:val="00FC5A1B"/>
    <w:rsid w:val="00FC6BAB"/>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 w:val="1045133B"/>
    <w:rsid w:val="15B9304E"/>
    <w:rsid w:val="20A56C55"/>
    <w:rsid w:val="2B174723"/>
    <w:rsid w:val="337E053C"/>
    <w:rsid w:val="3C5B7966"/>
    <w:rsid w:val="4D0E75C9"/>
    <w:rsid w:val="520774F7"/>
    <w:rsid w:val="57896E5A"/>
    <w:rsid w:val="57AB24DB"/>
    <w:rsid w:val="5AB510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7BBC"/>
  <w15:docId w15:val="{A40FDC0A-0088-4069-B0B1-81D6E81E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Salutation"/>
    <w:basedOn w:val="a"/>
    <w:next w:val="a"/>
    <w:link w:val="a8"/>
    <w:uiPriority w:val="99"/>
    <w:qFormat/>
    <w:rPr>
      <w:rFonts w:ascii="Times New Roman" w:eastAsia="宋体" w:hAnsi="Times New Roman" w:cs="Times New Roman"/>
      <w:szCs w:val="21"/>
    </w:rPr>
  </w:style>
  <w:style w:type="paragraph" w:styleId="a9">
    <w:name w:val="endnote text"/>
    <w:basedOn w:val="a"/>
    <w:uiPriority w:val="99"/>
    <w:semiHidden/>
    <w:unhideWhenUsed/>
    <w:pPr>
      <w:snapToGrid w:val="0"/>
      <w:jc w:val="left"/>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endnote reference"/>
    <w:basedOn w:val="a0"/>
    <w:uiPriority w:val="99"/>
    <w:semiHidden/>
    <w:unhideWhenUsed/>
    <w:rPr>
      <w:vertAlign w:val="superscript"/>
    </w:rPr>
  </w:style>
  <w:style w:type="character" w:styleId="af4">
    <w:name w:val="annotation reference"/>
    <w:basedOn w:val="a0"/>
    <w:uiPriority w:val="99"/>
    <w:unhideWhenUsed/>
    <w:qFormat/>
    <w:rPr>
      <w:sz w:val="21"/>
      <w:szCs w:val="21"/>
    </w:rPr>
  </w:style>
  <w:style w:type="character" w:customStyle="1" w:styleId="ab">
    <w:name w:val="批注框文本 字符"/>
    <w:basedOn w:val="a0"/>
    <w:link w:val="aa"/>
    <w:uiPriority w:val="99"/>
    <w:semiHidden/>
    <w:qFormat/>
    <w:rPr>
      <w:sz w:val="18"/>
      <w:szCs w:val="18"/>
    </w:rPr>
  </w:style>
  <w:style w:type="paragraph" w:styleId="af5">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8">
    <w:name w:val="称呼 字符"/>
    <w:basedOn w:val="a0"/>
    <w:link w:val="a7"/>
    <w:uiPriority w:val="99"/>
    <w:qFormat/>
    <w:rPr>
      <w:rFonts w:ascii="Times New Roman" w:eastAsia="宋体" w:hAnsi="Times New Roman" w:cs="Times New Roman"/>
      <w:szCs w:val="21"/>
    </w:rPr>
  </w:style>
  <w:style w:type="character" w:styleId="af6">
    <w:name w:val="Placeholder Text"/>
    <w:basedOn w:val="a0"/>
    <w:uiPriority w:val="99"/>
    <w:semiHidden/>
    <w:qFormat/>
    <w:rPr>
      <w:color w:val="auto"/>
    </w:rPr>
  </w:style>
  <w:style w:type="character" w:customStyle="1" w:styleId="a6">
    <w:name w:val="批注文字 字符"/>
    <w:basedOn w:val="a0"/>
    <w:link w:val="a5"/>
    <w:uiPriority w:val="99"/>
    <w:qFormat/>
  </w:style>
  <w:style w:type="character" w:customStyle="1" w:styleId="af1">
    <w:name w:val="批注主题 字符"/>
    <w:basedOn w:val="a6"/>
    <w:link w:val="af0"/>
    <w:uiPriority w:val="99"/>
    <w:semiHidden/>
    <w:qFormat/>
    <w:rPr>
      <w:b/>
      <w:bCs/>
    </w:rPr>
  </w:style>
  <w:style w:type="character" w:customStyle="1" w:styleId="fontstyle01">
    <w:name w:val="fontstyle01"/>
    <w:basedOn w:val="a0"/>
    <w:qFormat/>
    <w:rPr>
      <w:rFonts w:ascii="宋体" w:eastAsia="宋体" w:hAnsi="宋体" w:hint="eastAsia"/>
      <w:color w:val="FF0000"/>
      <w:sz w:val="36"/>
      <w:szCs w:val="36"/>
    </w:rPr>
  </w:style>
  <w:style w:type="paragraph" w:customStyle="1" w:styleId="p0">
    <w:name w:val="p0"/>
    <w:basedOn w:val="a"/>
    <w:qFormat/>
    <w:pPr>
      <w:widowControl/>
    </w:pPr>
    <w:rPr>
      <w:rFonts w:ascii="Book Antiqua" w:eastAsia="宋体" w:hAnsi="Book Antiqua" w:cs="宋体"/>
      <w:kern w:val="0"/>
      <w:szCs w:val="24"/>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96202">
      <w:bodyDiv w:val="1"/>
      <w:marLeft w:val="0"/>
      <w:marRight w:val="0"/>
      <w:marTop w:val="0"/>
      <w:marBottom w:val="0"/>
      <w:divBdr>
        <w:top w:val="none" w:sz="0" w:space="0" w:color="auto"/>
        <w:left w:val="none" w:sz="0" w:space="0" w:color="auto"/>
        <w:bottom w:val="none" w:sz="0" w:space="0" w:color="auto"/>
        <w:right w:val="none" w:sz="0" w:space="0" w:color="auto"/>
      </w:divBdr>
    </w:div>
    <w:div w:id="1941066732">
      <w:bodyDiv w:val="1"/>
      <w:marLeft w:val="0"/>
      <w:marRight w:val="0"/>
      <w:marTop w:val="0"/>
      <w:marBottom w:val="0"/>
      <w:divBdr>
        <w:top w:val="none" w:sz="0" w:space="0" w:color="auto"/>
        <w:left w:val="none" w:sz="0" w:space="0" w:color="auto"/>
        <w:bottom w:val="none" w:sz="0" w:space="0" w:color="auto"/>
        <w:right w:val="none" w:sz="0" w:space="0" w:color="auto"/>
      </w:divBdr>
    </w:div>
    <w:div w:id="208255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