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171D8">
      <w:pPr>
        <w:pStyle w:val="181"/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eastAsia="黑体"/>
        </w:rPr>
        <w:t xml:space="preserve">股票代码：600188       </w:t>
      </w:r>
      <w:r>
        <w:rPr>
          <w:rFonts w:hint="eastAsia" w:eastAsia="黑体"/>
          <w:lang w:val="en-US" w:eastAsia="zh-CN"/>
        </w:rPr>
        <w:t xml:space="preserve">      </w:t>
      </w:r>
      <w:r>
        <w:rPr>
          <w:rFonts w:eastAsia="黑体"/>
        </w:rPr>
        <w:t xml:space="preserve">      股票简称：兖矿能源        </w:t>
      </w:r>
      <w:r>
        <w:rPr>
          <w:rFonts w:hint="eastAsia" w:eastAsia="黑体"/>
          <w:lang w:val="en-US" w:eastAsia="zh-CN"/>
        </w:rPr>
        <w:t xml:space="preserve">      </w:t>
      </w:r>
      <w:r>
        <w:rPr>
          <w:rFonts w:eastAsia="黑体"/>
        </w:rPr>
        <w:t xml:space="preserve">    编号</w:t>
      </w:r>
      <w:r>
        <w:rPr>
          <w:rFonts w:ascii="黑体" w:hAnsi="黑体" w:eastAsia="黑体"/>
        </w:rPr>
        <w:t>：</w:t>
      </w:r>
      <w:r>
        <w:rPr>
          <w:rFonts w:ascii="黑体" w:hAnsi="黑体" w:eastAsia="黑体"/>
          <w:highlight w:val="none"/>
        </w:rPr>
        <w:t>临202</w:t>
      </w:r>
      <w:r>
        <w:rPr>
          <w:rFonts w:hint="eastAsia" w:ascii="黑体" w:hAnsi="黑体" w:eastAsia="黑体"/>
          <w:highlight w:val="none"/>
          <w:lang w:val="en-US" w:eastAsia="zh-CN"/>
        </w:rPr>
        <w:t>4</w:t>
      </w:r>
      <w:r>
        <w:rPr>
          <w:rFonts w:ascii="黑体" w:hAnsi="黑体" w:eastAsia="黑体"/>
          <w:highlight w:val="none"/>
        </w:rPr>
        <w:t>-</w:t>
      </w:r>
      <w:r>
        <w:rPr>
          <w:rFonts w:hint="eastAsia" w:ascii="黑体" w:hAnsi="黑体" w:eastAsia="黑体"/>
          <w:highlight w:val="none"/>
          <w:lang w:val="en-US" w:eastAsia="zh-CN"/>
        </w:rPr>
        <w:t>084</w:t>
      </w:r>
    </w:p>
    <w:p w14:paraId="717644AC">
      <w:pPr>
        <w:pStyle w:val="18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line="560" w:lineRule="exact"/>
        <w:jc w:val="center"/>
        <w:textAlignment w:val="auto"/>
        <w:rPr>
          <w:rFonts w:ascii="黑体" w:eastAsia="黑体"/>
          <w:b/>
          <w:bCs/>
          <w:color w:val="FF0000"/>
          <w:sz w:val="36"/>
          <w:szCs w:val="36"/>
        </w:rPr>
      </w:pPr>
      <w:bookmarkStart w:id="0" w:name="OLE_LINK1"/>
      <w:r>
        <w:rPr>
          <w:rFonts w:eastAsia="黑体"/>
          <w:b/>
          <w:bCs/>
          <w:color w:val="FF0000"/>
          <w:sz w:val="36"/>
          <w:szCs w:val="36"/>
        </w:rPr>
        <w:t>兖矿能源集团股份有限公司</w:t>
      </w:r>
    </w:p>
    <w:p w14:paraId="5BDB2C0C">
      <w:pPr>
        <w:pStyle w:val="18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 w:line="560" w:lineRule="exact"/>
        <w:jc w:val="center"/>
        <w:textAlignment w:val="auto"/>
        <w:rPr>
          <w:b/>
          <w:bCs/>
          <w:sz w:val="28"/>
        </w:rPr>
      </w:pPr>
      <w:r>
        <w:rPr>
          <w:rFonts w:ascii="黑体" w:eastAsia="黑体"/>
          <w:b/>
          <w:bCs/>
          <w:color w:val="FF0000"/>
          <w:sz w:val="36"/>
          <w:szCs w:val="36"/>
        </w:rPr>
        <w:t>关于202</w:t>
      </w:r>
      <w:r>
        <w:rPr>
          <w:rFonts w:hint="eastAsia" w:ascii="黑体" w:eastAsia="黑体"/>
          <w:b/>
          <w:bCs/>
          <w:color w:val="FF0000"/>
          <w:sz w:val="36"/>
          <w:szCs w:val="36"/>
          <w:lang w:val="en-US" w:eastAsia="zh-CN"/>
        </w:rPr>
        <w:t>4</w:t>
      </w:r>
      <w:r>
        <w:rPr>
          <w:rFonts w:ascii="黑体" w:eastAsia="黑体"/>
          <w:b/>
          <w:bCs/>
          <w:color w:val="FF0000"/>
          <w:sz w:val="36"/>
          <w:szCs w:val="36"/>
        </w:rPr>
        <w:t>年度</w:t>
      </w:r>
      <w:r>
        <w:rPr>
          <w:rFonts w:hint="eastAsia" w:ascii="黑体" w:eastAsia="黑体"/>
          <w:b/>
          <w:bCs/>
          <w:color w:val="FF0000"/>
          <w:sz w:val="36"/>
          <w:szCs w:val="36"/>
          <w:lang w:eastAsia="zh-CN"/>
        </w:rPr>
        <w:t>第四期</w:t>
      </w:r>
      <w:r>
        <w:rPr>
          <w:rFonts w:hint="eastAsia" w:ascii="黑体" w:eastAsia="黑体"/>
          <w:b/>
          <w:bCs/>
          <w:color w:val="FF0000"/>
          <w:sz w:val="36"/>
          <w:szCs w:val="36"/>
          <w:lang w:val="en-US" w:eastAsia="zh-CN"/>
        </w:rPr>
        <w:t>中期票据</w:t>
      </w:r>
      <w:r>
        <w:rPr>
          <w:rFonts w:ascii="黑体" w:eastAsia="黑体"/>
          <w:b/>
          <w:bCs/>
          <w:color w:val="FF0000"/>
          <w:sz w:val="36"/>
          <w:szCs w:val="36"/>
        </w:rPr>
        <w:t>发行结果的公告</w:t>
      </w:r>
      <w:bookmarkEnd w:id="0"/>
    </w:p>
    <w:p w14:paraId="03C6E921">
      <w:pPr>
        <w:pStyle w:val="18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560" w:lineRule="exact"/>
        <w:ind w:left="359" w:firstLine="633"/>
        <w:rPr>
          <w:b/>
          <w:bCs/>
          <w:sz w:val="24"/>
        </w:rPr>
      </w:pPr>
      <w:r>
        <w:rPr>
          <w:sz w:val="28"/>
          <w:szCs w:val="24"/>
        </w:rPr>
        <w:t>本公司董事会及全体董事保证本公告内容不存在任何虚假记载、误导性陈述或者重大遗漏，并对其内容的真实性、准确性和完整性承担</w:t>
      </w:r>
      <w:r>
        <w:rPr>
          <w:rFonts w:hint="eastAsia"/>
          <w:sz w:val="28"/>
          <w:szCs w:val="24"/>
          <w:lang w:val="en-US" w:eastAsia="zh-CN"/>
        </w:rPr>
        <w:t>法律</w:t>
      </w:r>
      <w:r>
        <w:rPr>
          <w:sz w:val="28"/>
          <w:szCs w:val="24"/>
        </w:rPr>
        <w:t>责任。</w:t>
      </w:r>
    </w:p>
    <w:p w14:paraId="628A691E">
      <w:pPr>
        <w:pStyle w:val="18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line="520" w:lineRule="exact"/>
        <w:ind w:firstLine="561"/>
        <w:jc w:val="both"/>
        <w:textAlignment w:val="auto"/>
        <w:rPr>
          <w:rFonts w:ascii="宋体" w:hAnsi="宋体"/>
          <w:sz w:val="28"/>
        </w:rPr>
      </w:pPr>
      <w:bookmarkStart w:id="1" w:name="继续"/>
      <w:bookmarkEnd w:id="1"/>
      <w:r>
        <w:rPr>
          <w:rFonts w:ascii="宋体" w:hAnsi="宋体"/>
          <w:sz w:val="28"/>
        </w:rPr>
        <w:t>202</w:t>
      </w:r>
      <w:r>
        <w:rPr>
          <w:rFonts w:hint="eastAsia" w:ascii="宋体" w:hAnsi="宋体"/>
          <w:sz w:val="28"/>
          <w:lang w:val="en-US" w:eastAsia="zh-CN"/>
        </w:rPr>
        <w:t>3</w:t>
      </w:r>
      <w:r>
        <w:rPr>
          <w:rFonts w:ascii="宋体" w:hAnsi="宋体"/>
          <w:sz w:val="28"/>
        </w:rPr>
        <w:t>年</w:t>
      </w:r>
      <w:r>
        <w:rPr>
          <w:rFonts w:hint="eastAsia" w:ascii="宋体" w:hAnsi="宋体"/>
          <w:sz w:val="28"/>
          <w:lang w:val="en-US" w:eastAsia="zh-CN"/>
        </w:rPr>
        <w:t>5</w:t>
      </w:r>
      <w:r>
        <w:rPr>
          <w:rFonts w:ascii="宋体" w:hAnsi="宋体"/>
          <w:sz w:val="28"/>
        </w:rPr>
        <w:t>月</w:t>
      </w:r>
      <w:r>
        <w:rPr>
          <w:rFonts w:ascii="宋体" w:hAnsi="宋体"/>
          <w:sz w:val="28"/>
          <w:lang w:val="zh-CN"/>
        </w:rPr>
        <w:t>6</w:t>
      </w:r>
      <w:r>
        <w:rPr>
          <w:rFonts w:ascii="宋体" w:hAnsi="宋体"/>
          <w:sz w:val="28"/>
        </w:rPr>
        <w:t>日，兖矿能源</w:t>
      </w:r>
      <w:bookmarkStart w:id="2" w:name="_GoBack"/>
      <w:bookmarkEnd w:id="2"/>
      <w:r>
        <w:rPr>
          <w:rFonts w:ascii="宋体" w:hAnsi="宋体"/>
          <w:sz w:val="28"/>
        </w:rPr>
        <w:t>集团股份有限公司（“本公司”）获准注册债务融资工具</w:t>
      </w:r>
      <w:r>
        <w:rPr>
          <w:rFonts w:hint="eastAsia" w:ascii="宋体" w:hAnsi="宋体"/>
          <w:sz w:val="28"/>
          <w:lang w:eastAsia="zh-CN"/>
        </w:rPr>
        <w:t>（</w:t>
      </w:r>
      <w:r>
        <w:rPr>
          <w:rFonts w:hint="eastAsia" w:ascii="宋体" w:hAnsi="宋体"/>
          <w:sz w:val="28"/>
          <w:lang w:val="en-US" w:eastAsia="zh-CN"/>
        </w:rPr>
        <w:t>中市协注〔2023〕DFI24号）</w:t>
      </w:r>
      <w:r>
        <w:rPr>
          <w:rFonts w:ascii="宋体" w:hAnsi="宋体"/>
          <w:sz w:val="28"/>
        </w:rPr>
        <w:t>，有效期2年。</w:t>
      </w:r>
      <w:r>
        <w:rPr>
          <w:rFonts w:ascii="宋体" w:hAnsi="宋体"/>
          <w:sz w:val="28"/>
          <w:highlight w:val="none"/>
        </w:rPr>
        <w:t>202</w:t>
      </w:r>
      <w:r>
        <w:rPr>
          <w:rFonts w:hint="eastAsia" w:ascii="宋体" w:hAnsi="宋体"/>
          <w:sz w:val="28"/>
          <w:highlight w:val="none"/>
          <w:lang w:val="en-US" w:eastAsia="zh-CN"/>
        </w:rPr>
        <w:t>4</w:t>
      </w:r>
      <w:r>
        <w:rPr>
          <w:rFonts w:ascii="宋体" w:hAnsi="宋体"/>
          <w:sz w:val="28"/>
          <w:highlight w:val="none"/>
        </w:rPr>
        <w:t>年</w:t>
      </w:r>
      <w:r>
        <w:rPr>
          <w:rFonts w:hint="eastAsia" w:ascii="宋体" w:hAnsi="宋体"/>
          <w:sz w:val="28"/>
          <w:highlight w:val="none"/>
          <w:lang w:val="en-US" w:eastAsia="zh-CN"/>
        </w:rPr>
        <w:t>12</w:t>
      </w:r>
      <w:r>
        <w:rPr>
          <w:rFonts w:ascii="宋体" w:hAnsi="宋体"/>
          <w:sz w:val="28"/>
          <w:highlight w:val="none"/>
        </w:rPr>
        <w:t>月</w:t>
      </w:r>
      <w:r>
        <w:rPr>
          <w:rFonts w:hint="eastAsia" w:ascii="宋体" w:hAnsi="宋体"/>
          <w:sz w:val="28"/>
          <w:highlight w:val="none"/>
          <w:lang w:val="en-US" w:eastAsia="zh-CN"/>
        </w:rPr>
        <w:t>10</w:t>
      </w:r>
      <w:r>
        <w:rPr>
          <w:rFonts w:ascii="宋体" w:hAnsi="宋体"/>
          <w:sz w:val="28"/>
          <w:highlight w:val="none"/>
        </w:rPr>
        <w:t>日</w:t>
      </w:r>
      <w:r>
        <w:rPr>
          <w:rFonts w:ascii="宋体" w:hAnsi="宋体"/>
          <w:sz w:val="28"/>
        </w:rPr>
        <w:t>，本公司成功发行202</w:t>
      </w:r>
      <w:r>
        <w:rPr>
          <w:rFonts w:hint="eastAsia" w:ascii="宋体" w:hAnsi="宋体"/>
          <w:sz w:val="28"/>
          <w:lang w:val="en-US" w:eastAsia="zh-CN"/>
        </w:rPr>
        <w:t>4</w:t>
      </w:r>
      <w:r>
        <w:rPr>
          <w:rFonts w:ascii="宋体" w:hAnsi="宋体"/>
          <w:sz w:val="28"/>
        </w:rPr>
        <w:t>年度</w:t>
      </w:r>
      <w:r>
        <w:rPr>
          <w:rFonts w:hint="eastAsia" w:ascii="宋体" w:hAnsi="宋体"/>
          <w:sz w:val="28"/>
          <w:lang w:eastAsia="zh-CN"/>
        </w:rPr>
        <w:t>第四期</w:t>
      </w:r>
      <w:r>
        <w:rPr>
          <w:rFonts w:hint="eastAsia" w:ascii="宋体" w:hAnsi="宋体"/>
          <w:sz w:val="28"/>
          <w:lang w:val="en-US" w:eastAsia="zh-CN"/>
        </w:rPr>
        <w:t>中期票据</w:t>
      </w:r>
      <w:r>
        <w:rPr>
          <w:rFonts w:ascii="宋体" w:hAnsi="宋体"/>
          <w:sz w:val="28"/>
        </w:rPr>
        <w:t>（“本期发行”），募集资金人民币</w:t>
      </w:r>
      <w:r>
        <w:rPr>
          <w:rFonts w:hint="eastAsia" w:ascii="宋体" w:hAnsi="宋体"/>
          <w:sz w:val="28"/>
          <w:lang w:val="en-US" w:eastAsia="zh-CN"/>
        </w:rPr>
        <w:t>20</w:t>
      </w:r>
      <w:r>
        <w:rPr>
          <w:rFonts w:ascii="宋体" w:hAnsi="宋体"/>
          <w:sz w:val="28"/>
        </w:rPr>
        <w:t>亿元，已于202</w:t>
      </w:r>
      <w:r>
        <w:rPr>
          <w:rFonts w:hint="eastAsia" w:ascii="宋体" w:hAnsi="宋体"/>
          <w:sz w:val="28"/>
          <w:lang w:val="en-US" w:eastAsia="zh-CN"/>
        </w:rPr>
        <w:t>4</w:t>
      </w:r>
      <w:r>
        <w:rPr>
          <w:rFonts w:ascii="宋体" w:hAnsi="宋体"/>
          <w:sz w:val="28"/>
        </w:rPr>
        <w:t>年</w:t>
      </w:r>
      <w:r>
        <w:rPr>
          <w:rFonts w:hint="eastAsia" w:ascii="宋体" w:hAnsi="宋体"/>
          <w:sz w:val="28"/>
          <w:lang w:val="en-US" w:eastAsia="zh-CN"/>
        </w:rPr>
        <w:t>12</w:t>
      </w:r>
      <w:r>
        <w:rPr>
          <w:rFonts w:ascii="宋体" w:hAnsi="宋体"/>
          <w:sz w:val="28"/>
        </w:rPr>
        <w:t>月</w:t>
      </w:r>
      <w:r>
        <w:rPr>
          <w:rFonts w:hint="eastAsia" w:ascii="宋体" w:hAnsi="宋体"/>
          <w:sz w:val="28"/>
          <w:lang w:val="en-US" w:eastAsia="zh-CN"/>
        </w:rPr>
        <w:t>11</w:t>
      </w:r>
      <w:r>
        <w:rPr>
          <w:rFonts w:ascii="宋体" w:hAnsi="宋体"/>
          <w:sz w:val="28"/>
        </w:rPr>
        <w:t>日到账。</w:t>
      </w:r>
    </w:p>
    <w:p w14:paraId="63A805F4">
      <w:pPr>
        <w:pStyle w:val="18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520" w:lineRule="exact"/>
        <w:ind w:firstLine="561"/>
        <w:textAlignment w:val="auto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现将本期发行结果公告如下：</w:t>
      </w:r>
    </w:p>
    <w:tbl>
      <w:tblPr>
        <w:tblStyle w:val="27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2835"/>
        <w:gridCol w:w="1701"/>
        <w:gridCol w:w="2268"/>
      </w:tblGrid>
      <w:tr w14:paraId="4A255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9D8157"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发行要素</w:t>
            </w:r>
          </w:p>
        </w:tc>
      </w:tr>
      <w:tr w14:paraId="45095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3B1C"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名称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BC9F2"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/>
                <w:color w:val="33333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兖矿能源集团股份有限公司2024年度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eastAsia="zh-CN"/>
              </w:rPr>
              <w:t>第四期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中期票据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1E5E3"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简称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595C4"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  <w:lang w:val="en-US" w:eastAsia="zh-CN"/>
              </w:rPr>
              <w:t>24兖矿能源MTN00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4</w:t>
            </w:r>
          </w:p>
        </w:tc>
      </w:tr>
      <w:tr w14:paraId="7BDB0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12909"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代码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7AABC"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333333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bCs/>
                <w:color w:val="333333"/>
                <w:sz w:val="24"/>
                <w:lang w:val="en-US" w:eastAsia="zh-CN"/>
              </w:rPr>
              <w:t>102485351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9FC6"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期限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4B6B4"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2+N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年</w:t>
            </w:r>
          </w:p>
        </w:tc>
      </w:tr>
      <w:tr w14:paraId="174D99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92F66"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起息日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6E5F5"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202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4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年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12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11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5F5CC"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首个票面利率重置日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05F09"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2026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年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12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11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日</w:t>
            </w:r>
          </w:p>
        </w:tc>
      </w:tr>
      <w:tr w14:paraId="496E5D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FF066"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计划发行总额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792BA"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20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亿元人民币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DA335"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实际发行总额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53116"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20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亿元人民币</w:t>
            </w:r>
          </w:p>
        </w:tc>
      </w:tr>
      <w:tr w14:paraId="112EA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B611B"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发行利率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5BDC8"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964"/>
              <w:jc w:val="left"/>
              <w:textAlignment w:val="auto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2.06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%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3B2DC"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发行价格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D6B95"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100元/佰元面值</w:t>
            </w:r>
          </w:p>
        </w:tc>
      </w:tr>
      <w:tr w14:paraId="4A264A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2C193"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簿记管理人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2F88B"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招商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银行股份有限公司</w:t>
            </w:r>
          </w:p>
        </w:tc>
      </w:tr>
      <w:tr w14:paraId="2C22B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386DA"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主承销商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E06B9"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招商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银行股份有限公司</w:t>
            </w:r>
          </w:p>
        </w:tc>
      </w:tr>
      <w:tr w14:paraId="10F9D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1FCEA"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联席主承销商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18608">
            <w:pPr>
              <w:pStyle w:val="18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兴业</w:t>
            </w:r>
            <w:r>
              <w:rPr>
                <w:rFonts w:ascii="宋体" w:hAnsi="宋体"/>
                <w:b/>
                <w:bCs/>
                <w:color w:val="333333"/>
                <w:sz w:val="24"/>
                <w:lang w:val="en-US" w:eastAsia="zh-CN"/>
              </w:rPr>
              <w:t>银行股份有限公司、广发银行股份有限</w:t>
            </w:r>
            <w:r>
              <w:rPr>
                <w:rFonts w:hint="default" w:ascii="宋体" w:hAnsi="宋体"/>
                <w:b/>
                <w:bCs/>
                <w:color w:val="333333"/>
                <w:sz w:val="24"/>
                <w:lang w:val="en-US" w:eastAsia="zh-CN"/>
              </w:rPr>
              <w:t>公司、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中信</w:t>
            </w:r>
            <w:r>
              <w:rPr>
                <w:rFonts w:hint="default" w:ascii="宋体" w:hAnsi="宋体"/>
                <w:b/>
                <w:bCs/>
                <w:color w:val="333333"/>
                <w:sz w:val="24"/>
                <w:lang w:val="en-US" w:eastAsia="zh-CN"/>
              </w:rPr>
              <w:t>银行股份有限公司</w:t>
            </w:r>
          </w:p>
        </w:tc>
      </w:tr>
    </w:tbl>
    <w:p w14:paraId="31590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line="520" w:lineRule="exact"/>
        <w:ind w:firstLine="536" w:firstLineChars="200"/>
        <w:jc w:val="both"/>
        <w:textAlignment w:val="auto"/>
        <w:rPr>
          <w:rFonts w:hint="eastAsia" w:ascii="宋体" w:hAnsi="宋体" w:eastAsia="宋体" w:cs="宋体"/>
          <w:spacing w:val="-6"/>
          <w:kern w:val="2"/>
          <w:sz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2"/>
          <w:sz w:val="28"/>
          <w:lang w:val="en-US" w:eastAsia="zh-CN" w:bidi="ar-SA"/>
        </w:rPr>
        <w:t>本期发行的相关文件请见中国货币网（www.chinamoney.com.cn）和上海清算所网站（www.shclearing.com）。</w:t>
      </w:r>
    </w:p>
    <w:p w14:paraId="10A33697">
      <w:pPr>
        <w:pStyle w:val="181"/>
        <w:spacing w:line="520" w:lineRule="exact"/>
        <w:ind w:firstLine="539"/>
        <w:jc w:val="both"/>
        <w:rPr>
          <w:sz w:val="28"/>
        </w:rPr>
      </w:pPr>
      <w:r>
        <w:rPr>
          <w:sz w:val="28"/>
        </w:rPr>
        <w:t>特此公告。</w:t>
      </w:r>
    </w:p>
    <w:p w14:paraId="5EE56018">
      <w:pPr>
        <w:pStyle w:val="181"/>
        <w:spacing w:line="520" w:lineRule="exact"/>
        <w:ind w:firstLine="539"/>
        <w:rPr>
          <w:sz w:val="28"/>
        </w:rPr>
      </w:pPr>
    </w:p>
    <w:p w14:paraId="2A534060">
      <w:pPr>
        <w:pStyle w:val="181"/>
        <w:spacing w:line="520" w:lineRule="exact"/>
        <w:ind w:firstLine="539"/>
        <w:rPr>
          <w:sz w:val="28"/>
        </w:rPr>
      </w:pPr>
    </w:p>
    <w:p w14:paraId="777AC7E4">
      <w:pPr>
        <w:pStyle w:val="181"/>
        <w:spacing w:line="520" w:lineRule="exact"/>
        <w:ind w:firstLine="480"/>
        <w:jc w:val="right"/>
        <w:rPr>
          <w:sz w:val="28"/>
        </w:rPr>
      </w:pPr>
      <w:r>
        <w:rPr>
          <w:sz w:val="24"/>
        </w:rPr>
        <w:t xml:space="preserve">                            </w:t>
      </w:r>
      <w:r>
        <w:rPr>
          <w:sz w:val="28"/>
        </w:rPr>
        <w:t xml:space="preserve"> </w:t>
      </w:r>
      <w:r>
        <w:rPr>
          <w:sz w:val="28"/>
          <w:szCs w:val="24"/>
        </w:rPr>
        <w:t>兖矿能源集团股份有限公司</w:t>
      </w:r>
      <w:r>
        <w:rPr>
          <w:sz w:val="28"/>
        </w:rPr>
        <w:t xml:space="preserve">董事会 </w:t>
      </w:r>
    </w:p>
    <w:p w14:paraId="3CE2B74A">
      <w:pPr>
        <w:pStyle w:val="181"/>
        <w:spacing w:line="520" w:lineRule="exact"/>
        <w:ind w:right="840" w:firstLine="560"/>
        <w:jc w:val="right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202</w:t>
      </w:r>
      <w:r>
        <w:rPr>
          <w:rFonts w:hint="eastAsia" w:ascii="宋体" w:hAnsi="宋体"/>
          <w:sz w:val="28"/>
          <w:lang w:val="en-US" w:eastAsia="zh-CN"/>
        </w:rPr>
        <w:t>4</w:t>
      </w:r>
      <w:r>
        <w:rPr>
          <w:rFonts w:ascii="宋体" w:hAnsi="宋体"/>
          <w:sz w:val="28"/>
        </w:rPr>
        <w:t>年</w:t>
      </w:r>
      <w:r>
        <w:rPr>
          <w:rFonts w:hint="eastAsia" w:ascii="宋体" w:hAnsi="宋体"/>
          <w:sz w:val="28"/>
          <w:lang w:val="en-US" w:eastAsia="zh-CN"/>
        </w:rPr>
        <w:t>12</w:t>
      </w:r>
      <w:r>
        <w:rPr>
          <w:rFonts w:ascii="宋体" w:hAnsi="宋体"/>
          <w:sz w:val="28"/>
        </w:rPr>
        <w:t>月</w:t>
      </w:r>
      <w:r>
        <w:rPr>
          <w:rFonts w:hint="eastAsia" w:ascii="宋体" w:hAnsi="宋体"/>
          <w:sz w:val="28"/>
          <w:lang w:val="en-US" w:eastAsia="zh-CN"/>
        </w:rPr>
        <w:t>12</w:t>
      </w:r>
      <w:r>
        <w:rPr>
          <w:rFonts w:ascii="宋体" w:hAnsi="宋体"/>
          <w:sz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Sitka Text"/>
    <w:panose1 w:val="020205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983E0">
    <w:pPr>
      <w:pStyle w:val="194"/>
      <w:framePr w:wrap="around" w:vAnchor="text" w:hAnchor="margin" w:xAlign="center" w:y="1"/>
      <w:rPr>
        <w:rStyle w:val="184"/>
      </w:rPr>
    </w:pPr>
    <w:r>
      <w:fldChar w:fldCharType="begin"/>
    </w:r>
    <w:r>
      <w:rPr>
        <w:rStyle w:val="184"/>
      </w:rPr>
      <w:instrText xml:space="preserve">PAGE  </w:instrText>
    </w:r>
    <w:r>
      <w:fldChar w:fldCharType="separate"/>
    </w:r>
    <w:r>
      <w:rPr>
        <w:rStyle w:val="184"/>
      </w:rPr>
      <w:t>2</w:t>
    </w:r>
    <w:r>
      <w:fldChar w:fldCharType="end"/>
    </w:r>
  </w:p>
  <w:p w14:paraId="21E51211">
    <w:pPr>
      <w:pStyle w:val="19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D82FF">
    <w:pPr>
      <w:pStyle w:val="194"/>
      <w:framePr w:wrap="around" w:vAnchor="text" w:hAnchor="margin" w:xAlign="center" w:y="1"/>
      <w:rPr>
        <w:rStyle w:val="184"/>
      </w:rPr>
    </w:pPr>
    <w:r>
      <w:fldChar w:fldCharType="begin"/>
    </w:r>
    <w:r>
      <w:rPr>
        <w:rStyle w:val="184"/>
      </w:rPr>
      <w:instrText xml:space="preserve">PAGE  </w:instrText>
    </w:r>
    <w:r>
      <w:fldChar w:fldCharType="separate"/>
    </w:r>
    <w:r>
      <w:rPr>
        <w:rStyle w:val="184"/>
      </w:rPr>
      <w:t>1</w:t>
    </w:r>
    <w:r>
      <w:fldChar w:fldCharType="end"/>
    </w:r>
  </w:p>
  <w:p w14:paraId="71C70ADC">
    <w:pPr>
      <w:pStyle w:val="19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MGVhYTljMDU4YzYxZDBkZjQ2NWFiMDM0OGFjYjUifQ=="/>
    <w:docVar w:name="KSO_WPS_MARK_KEY" w:val="1f7bf3a1-acad-4331-b3c1-a25263b65dae"/>
  </w:docVars>
  <w:rsids>
    <w:rsidRoot w:val="00000000"/>
    <w:rsid w:val="022656BA"/>
    <w:rsid w:val="07796F03"/>
    <w:rsid w:val="09C000DC"/>
    <w:rsid w:val="0E340146"/>
    <w:rsid w:val="0F4864CA"/>
    <w:rsid w:val="1A43159A"/>
    <w:rsid w:val="1CD11779"/>
    <w:rsid w:val="244A3A64"/>
    <w:rsid w:val="271A52EA"/>
    <w:rsid w:val="27B5694E"/>
    <w:rsid w:val="38A20F74"/>
    <w:rsid w:val="38CD4CAC"/>
    <w:rsid w:val="3B303A7E"/>
    <w:rsid w:val="3EB46C5E"/>
    <w:rsid w:val="48AB7173"/>
    <w:rsid w:val="4994191D"/>
    <w:rsid w:val="50102776"/>
    <w:rsid w:val="50E07F91"/>
    <w:rsid w:val="56EF7F86"/>
    <w:rsid w:val="5E2C5474"/>
    <w:rsid w:val="6037724B"/>
    <w:rsid w:val="62334C76"/>
    <w:rsid w:val="647E7AED"/>
    <w:rsid w:val="69261398"/>
    <w:rsid w:val="6951393F"/>
    <w:rsid w:val="74003A4B"/>
    <w:rsid w:val="74805790"/>
    <w:rsid w:val="7A6E3544"/>
    <w:rsid w:val="7DBB79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</w:rPr>
  </w:style>
  <w:style w:type="paragraph" w:styleId="2">
    <w:name w:val="heading 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9"/>
    <w:pPr>
      <w:spacing w:after="57"/>
      <w:ind w:left="1701" w:right="0" w:firstLine="0"/>
    </w:pPr>
    <w:rPr>
      <w:rFonts w:ascii="Times New Roman" w:hAnsi="Times New Roman" w:eastAsia="宋体" w:cs="Times New Roman"/>
    </w:rPr>
  </w:style>
  <w:style w:type="paragraph" w:styleId="12">
    <w:name w:val="caption"/>
    <w:next w:val="1"/>
    <w:semiHidden/>
    <w:unhideWhenUsed/>
    <w:qFormat/>
    <w:uiPriority w:val="35"/>
    <w:pPr>
      <w:spacing w:line="276" w:lineRule="auto"/>
    </w:pPr>
    <w:rPr>
      <w:rFonts w:ascii="Times New Roman" w:hAnsi="Times New Roman" w:eastAsia="宋体" w:cs="Times New Roman"/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next w:val="1"/>
    <w:unhideWhenUsed/>
    <w:qFormat/>
    <w:uiPriority w:val="39"/>
    <w:pPr>
      <w:spacing w:after="57"/>
      <w:ind w:left="1134" w:right="0" w:firstLine="0"/>
    </w:pPr>
    <w:rPr>
      <w:rFonts w:ascii="Times New Roman" w:hAnsi="Times New Roman" w:eastAsia="宋体" w:cs="Times New Roman"/>
    </w:rPr>
  </w:style>
  <w:style w:type="paragraph" w:styleId="14">
    <w:name w:val="toc 3"/>
    <w:next w:val="1"/>
    <w:unhideWhenUsed/>
    <w:qFormat/>
    <w:uiPriority w:val="39"/>
    <w:pPr>
      <w:spacing w:after="57"/>
      <w:ind w:left="567" w:right="0" w:firstLine="0"/>
    </w:pPr>
    <w:rPr>
      <w:rFonts w:ascii="Times New Roman" w:hAnsi="Times New Roman" w:eastAsia="宋体" w:cs="Times New Roman"/>
    </w:rPr>
  </w:style>
  <w:style w:type="paragraph" w:styleId="15">
    <w:name w:val="toc 8"/>
    <w:next w:val="1"/>
    <w:unhideWhenUsed/>
    <w:qFormat/>
    <w:uiPriority w:val="39"/>
    <w:pPr>
      <w:spacing w:after="57"/>
      <w:ind w:left="1984" w:right="0" w:firstLine="0"/>
    </w:pPr>
    <w:rPr>
      <w:rFonts w:ascii="Times New Roman" w:hAnsi="Times New Roman" w:eastAsia="宋体" w:cs="Times New Roman"/>
    </w:rPr>
  </w:style>
  <w:style w:type="paragraph" w:styleId="16">
    <w:name w:val="endnote text"/>
    <w:link w:val="180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</w:rPr>
  </w:style>
  <w:style w:type="paragraph" w:styleId="17">
    <w:name w:val="footer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  <w:rPr>
      <w:rFonts w:ascii="Times New Roman" w:hAnsi="Times New Roman" w:eastAsia="宋体" w:cs="Times New Roman"/>
    </w:rPr>
  </w:style>
  <w:style w:type="paragraph" w:styleId="18">
    <w:name w:val="header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  <w:rPr>
      <w:rFonts w:ascii="Times New Roman" w:hAnsi="Times New Roman" w:eastAsia="宋体" w:cs="Times New Roman"/>
    </w:rPr>
  </w:style>
  <w:style w:type="paragraph" w:styleId="19">
    <w:name w:val="toc 1"/>
    <w:next w:val="1"/>
    <w:unhideWhenUsed/>
    <w:qFormat/>
    <w:uiPriority w:val="39"/>
    <w:pPr>
      <w:spacing w:after="57"/>
      <w:ind w:left="0" w:right="0" w:firstLine="0"/>
    </w:pPr>
    <w:rPr>
      <w:rFonts w:ascii="Times New Roman" w:hAnsi="Times New Roman" w:eastAsia="宋体" w:cs="Times New Roman"/>
    </w:rPr>
  </w:style>
  <w:style w:type="paragraph" w:styleId="20">
    <w:name w:val="toc 4"/>
    <w:next w:val="1"/>
    <w:unhideWhenUsed/>
    <w:qFormat/>
    <w:uiPriority w:val="39"/>
    <w:pPr>
      <w:spacing w:after="57"/>
      <w:ind w:left="850" w:right="0" w:firstLine="0"/>
    </w:pPr>
    <w:rPr>
      <w:rFonts w:ascii="Times New Roman" w:hAnsi="Times New Roman" w:eastAsia="宋体" w:cs="Times New Roman"/>
    </w:rPr>
  </w:style>
  <w:style w:type="paragraph" w:styleId="21">
    <w:name w:val="Subtitle"/>
    <w:link w:val="46"/>
    <w:qFormat/>
    <w:uiPriority w:val="11"/>
    <w:pPr>
      <w:spacing w:before="200" w:after="200"/>
    </w:pPr>
    <w:rPr>
      <w:rFonts w:ascii="Times New Roman" w:hAnsi="Times New Roman" w:eastAsia="宋体" w:cs="Times New Roman"/>
      <w:sz w:val="24"/>
      <w:szCs w:val="24"/>
    </w:rPr>
  </w:style>
  <w:style w:type="paragraph" w:styleId="22">
    <w:name w:val="footnote text"/>
    <w:link w:val="179"/>
    <w:semiHidden/>
    <w:unhideWhenUsed/>
    <w:qFormat/>
    <w:uiPriority w:val="99"/>
    <w:pPr>
      <w:spacing w:after="40" w:line="240" w:lineRule="auto"/>
    </w:pPr>
    <w:rPr>
      <w:rFonts w:ascii="Times New Roman" w:hAnsi="Times New Roman" w:eastAsia="宋体" w:cs="Times New Roman"/>
      <w:sz w:val="18"/>
    </w:rPr>
  </w:style>
  <w:style w:type="paragraph" w:styleId="23">
    <w:name w:val="toc 6"/>
    <w:next w:val="1"/>
    <w:unhideWhenUsed/>
    <w:qFormat/>
    <w:uiPriority w:val="39"/>
    <w:pPr>
      <w:spacing w:after="57"/>
      <w:ind w:left="1417" w:right="0" w:firstLine="0"/>
    </w:pPr>
    <w:rPr>
      <w:rFonts w:ascii="Times New Roman" w:hAnsi="Times New Roman" w:eastAsia="宋体" w:cs="Times New Roman"/>
    </w:rPr>
  </w:style>
  <w:style w:type="paragraph" w:styleId="24">
    <w:name w:val="toc 2"/>
    <w:next w:val="1"/>
    <w:unhideWhenUsed/>
    <w:qFormat/>
    <w:uiPriority w:val="39"/>
    <w:pPr>
      <w:spacing w:after="57"/>
      <w:ind w:left="283" w:right="0" w:firstLine="0"/>
    </w:pPr>
    <w:rPr>
      <w:rFonts w:ascii="Times New Roman" w:hAnsi="Times New Roman" w:eastAsia="宋体" w:cs="Times New Roman"/>
    </w:rPr>
  </w:style>
  <w:style w:type="paragraph" w:styleId="25">
    <w:name w:val="toc 9"/>
    <w:next w:val="1"/>
    <w:unhideWhenUsed/>
    <w:qFormat/>
    <w:uiPriority w:val="39"/>
    <w:pPr>
      <w:spacing w:after="57"/>
      <w:ind w:left="2268" w:right="0" w:firstLine="0"/>
    </w:pPr>
    <w:rPr>
      <w:rFonts w:ascii="Times New Roman" w:hAnsi="Times New Roman" w:eastAsia="宋体" w:cs="Times New Roman"/>
    </w:rPr>
  </w:style>
  <w:style w:type="paragraph" w:styleId="26">
    <w:name w:val="Title"/>
    <w:link w:val="45"/>
    <w:qFormat/>
    <w:uiPriority w:val="10"/>
    <w:pPr>
      <w:spacing w:before="300" w:after="200"/>
      <w:contextualSpacing/>
    </w:pPr>
    <w:rPr>
      <w:rFonts w:ascii="Times New Roman" w:hAnsi="Times New Roman" w:eastAsia="宋体" w:cs="Times New Roman"/>
      <w:sz w:val="48"/>
      <w:szCs w:val="48"/>
    </w:rPr>
  </w:style>
  <w:style w:type="table" w:styleId="28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endnote reference"/>
    <w:semiHidden/>
    <w:unhideWhenUsed/>
    <w:qFormat/>
    <w:uiPriority w:val="99"/>
    <w:rPr>
      <w:vertAlign w:val="superscript"/>
    </w:rPr>
  </w:style>
  <w:style w:type="character" w:styleId="31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2">
    <w:name w:val="footnote reference"/>
    <w:unhideWhenUsed/>
    <w:qFormat/>
    <w:uiPriority w:val="99"/>
    <w:rPr>
      <w:vertAlign w:val="superscript"/>
    </w:rPr>
  </w:style>
  <w:style w:type="paragraph" w:customStyle="1" w:styleId="33">
    <w:name w:val="TOC Heading"/>
    <w:unhideWhenUsed/>
    <w:qFormat/>
    <w:uiPriority w:val="39"/>
    <w:rPr>
      <w:rFonts w:ascii="Times New Roman" w:hAnsi="Times New Roman" w:eastAsia="宋体" w:cs="Times New Roman"/>
    </w:rPr>
  </w:style>
  <w:style w:type="character" w:customStyle="1" w:styleId="34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qFormat/>
    <w:uiPriority w:val="34"/>
    <w:pPr>
      <w:ind w:left="720"/>
      <w:contextualSpacing/>
    </w:pPr>
    <w:rPr>
      <w:rFonts w:ascii="Times New Roman" w:hAnsi="Times New Roman" w:eastAsia="宋体" w:cs="Times New Roman"/>
    </w:rPr>
  </w:style>
  <w:style w:type="paragraph" w:styleId="44">
    <w:name w:val="No Spacing"/>
    <w:qFormat/>
    <w:uiPriority w:val="1"/>
    <w:pPr>
      <w:spacing w:before="0" w:after="0" w:line="240" w:lineRule="auto"/>
    </w:pPr>
    <w:rPr>
      <w:rFonts w:ascii="Times New Roman" w:hAnsi="Times New Roman" w:eastAsia="宋体" w:cs="Times New Roman"/>
    </w:rPr>
  </w:style>
  <w:style w:type="character" w:customStyle="1" w:styleId="45">
    <w:name w:val="Title Char"/>
    <w:link w:val="26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link w:val="48"/>
    <w:qFormat/>
    <w:uiPriority w:val="29"/>
    <w:pPr>
      <w:ind w:left="720" w:right="720"/>
    </w:pPr>
    <w:rPr>
      <w:rFonts w:ascii="Times New Roman" w:hAnsi="Times New Roman" w:eastAsia="宋体" w:cs="Times New Roman"/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  <w:contextualSpacing w:val="0"/>
    </w:pPr>
    <w:rPr>
      <w:rFonts w:ascii="Times New Roman" w:hAnsi="Times New Roman" w:eastAsia="宋体" w:cs="Times New Roman"/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4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5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正文1"/>
    <w:link w:val="189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82">
    <w:name w:val="默认段落字体1"/>
    <w:link w:val="181"/>
    <w:semiHidden/>
    <w:qFormat/>
    <w:uiPriority w:val="0"/>
  </w:style>
  <w:style w:type="table" w:customStyle="1" w:styleId="183">
    <w:name w:val="普通表格1"/>
    <w:qFormat/>
    <w:uiPriority w:val="0"/>
  </w:style>
  <w:style w:type="character" w:customStyle="1" w:styleId="184">
    <w:name w:val="页码1"/>
    <w:link w:val="181"/>
    <w:qFormat/>
    <w:uiPriority w:val="0"/>
  </w:style>
  <w:style w:type="character" w:customStyle="1" w:styleId="185">
    <w:name w:val="超链接1"/>
    <w:link w:val="181"/>
    <w:qFormat/>
    <w:uiPriority w:val="0"/>
    <w:rPr>
      <w:color w:val="0000FF"/>
      <w:u w:val="single"/>
    </w:rPr>
  </w:style>
  <w:style w:type="character" w:customStyle="1" w:styleId="186">
    <w:name w:val="访问过的超链接"/>
    <w:link w:val="181"/>
    <w:qFormat/>
    <w:uiPriority w:val="0"/>
    <w:rPr>
      <w:color w:val="000000"/>
      <w:u w:val="none"/>
    </w:rPr>
  </w:style>
  <w:style w:type="character" w:customStyle="1" w:styleId="187">
    <w:name w:val="页眉 字符"/>
    <w:link w:val="188"/>
    <w:qFormat/>
    <w:uiPriority w:val="0"/>
    <w:rPr>
      <w:sz w:val="18"/>
      <w:szCs w:val="18"/>
    </w:rPr>
  </w:style>
  <w:style w:type="paragraph" w:customStyle="1" w:styleId="188">
    <w:name w:val="页眉1"/>
    <w:basedOn w:val="181"/>
    <w:link w:val="18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9">
    <w:name w:val="批注引用1"/>
    <w:link w:val="181"/>
    <w:semiHidden/>
    <w:qFormat/>
    <w:uiPriority w:val="0"/>
    <w:rPr>
      <w:sz w:val="21"/>
      <w:szCs w:val="21"/>
    </w:rPr>
  </w:style>
  <w:style w:type="paragraph" w:customStyle="1" w:styleId="190">
    <w:name w:val="批注框文本1"/>
    <w:basedOn w:val="181"/>
    <w:semiHidden/>
    <w:qFormat/>
    <w:uiPriority w:val="0"/>
    <w:rPr>
      <w:sz w:val="18"/>
      <w:szCs w:val="18"/>
    </w:rPr>
  </w:style>
  <w:style w:type="paragraph" w:customStyle="1" w:styleId="191">
    <w:name w:val="正文文本缩进 31"/>
    <w:basedOn w:val="181"/>
    <w:qFormat/>
    <w:uiPriority w:val="0"/>
    <w:pPr>
      <w:spacing w:line="440" w:lineRule="exact"/>
      <w:ind w:firstLine="480"/>
    </w:pPr>
    <w:rPr>
      <w:rFonts w:ascii="宋体" w:hAnsi="宋体"/>
      <w:sz w:val="24"/>
    </w:rPr>
  </w:style>
  <w:style w:type="paragraph" w:customStyle="1" w:styleId="192">
    <w:name w:val="Normal1"/>
    <w:qFormat/>
    <w:uiPriority w:val="0"/>
    <w:pPr>
      <w:jc w:val="both"/>
    </w:pPr>
    <w:rPr>
      <w:rFonts w:ascii="Times New Roman" w:hAnsi="Times New Roman" w:eastAsia="PMingLiU" w:cs="Times New Roman"/>
      <w:sz w:val="24"/>
      <w:lang w:val="en-US" w:eastAsia="zh-TW" w:bidi="ar-SA"/>
    </w:rPr>
  </w:style>
  <w:style w:type="paragraph" w:customStyle="1" w:styleId="193">
    <w:name w:val=" Char Char Char1 Char Char Char Char Char Char Char Char Char Char"/>
    <w:basedOn w:val="181"/>
    <w:qFormat/>
    <w:uiPriority w:val="0"/>
    <w:rPr>
      <w:rFonts w:ascii="Tahoma" w:hAnsi="Tahoma"/>
      <w:sz w:val="24"/>
    </w:rPr>
  </w:style>
  <w:style w:type="paragraph" w:customStyle="1" w:styleId="194">
    <w:name w:val="页脚1"/>
    <w:basedOn w:val="18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customStyle="1" w:styleId="195">
    <w:name w:val="批注主题1"/>
    <w:basedOn w:val="196"/>
    <w:next w:val="196"/>
    <w:semiHidden/>
    <w:qFormat/>
    <w:uiPriority w:val="0"/>
    <w:rPr>
      <w:b/>
      <w:bCs/>
    </w:rPr>
  </w:style>
  <w:style w:type="paragraph" w:customStyle="1" w:styleId="196">
    <w:name w:val="批注文字1"/>
    <w:basedOn w:val="181"/>
    <w:semiHidden/>
    <w:qFormat/>
    <w:uiPriority w:val="0"/>
    <w:pPr>
      <w:jc w:val="left"/>
    </w:pPr>
  </w:style>
  <w:style w:type="paragraph" w:customStyle="1" w:styleId="197">
    <w:name w:val="正文文本缩进1"/>
    <w:basedOn w:val="181"/>
    <w:qFormat/>
    <w:uiPriority w:val="0"/>
    <w:pPr>
      <w:spacing w:line="480" w:lineRule="exact"/>
      <w:ind w:firstLine="560"/>
    </w:pPr>
    <w:rPr>
      <w:rFonts w:ascii="宋体" w:hAnsi="宋体"/>
    </w:rPr>
  </w:style>
  <w:style w:type="paragraph" w:customStyle="1" w:styleId="198">
    <w:name w:val="正文文本缩进 21"/>
    <w:basedOn w:val="181"/>
    <w:qFormat/>
    <w:uiPriority w:val="0"/>
    <w:pPr>
      <w:ind w:firstLine="539"/>
    </w:pPr>
    <w:rPr>
      <w:color w:val="FF0000"/>
    </w:rPr>
  </w:style>
  <w:style w:type="paragraph" w:customStyle="1" w:styleId="199">
    <w:name w:val="默认段落字体 Para Char Char Char Char Char Char Char"/>
    <w:basedOn w:val="181"/>
    <w:qFormat/>
    <w:uiPriority w:val="0"/>
    <w:rPr>
      <w:rFonts w:ascii="Tahoma" w:hAnsi="Tahoma"/>
      <w:sz w:val="24"/>
    </w:rPr>
  </w:style>
  <w:style w:type="paragraph" w:customStyle="1" w:styleId="200">
    <w:name w:val="文档结构图1"/>
    <w:basedOn w:val="181"/>
    <w:semiHidden/>
    <w:qFormat/>
    <w:uiPriority w:val="0"/>
    <w:pPr>
      <w:shd w:val="clear" w:color="000080" w:fill="000080"/>
    </w:pPr>
  </w:style>
  <w:style w:type="paragraph" w:customStyle="1" w:styleId="201">
    <w:name w:val="Default"/>
    <w:qFormat/>
    <w:uiPriority w:val="0"/>
    <w:pPr>
      <w:widowControl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202">
    <w:name w:val="zw"/>
    <w:basedOn w:val="181"/>
    <w:qFormat/>
    <w:uiPriority w:val="0"/>
    <w:pPr>
      <w:spacing w:line="360" w:lineRule="auto"/>
      <w:ind w:firstLine="482"/>
    </w:pPr>
    <w:rPr>
      <w:rFonts w:ascii="Arial Narrow" w:hAnsi="Arial Narrow" w:eastAsia="幼圆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468</Words>
  <Characters>586</Characters>
  <TotalTime>47</TotalTime>
  <ScaleCrop>false</ScaleCrop>
  <LinksUpToDate>false</LinksUpToDate>
  <CharactersWithSpaces>653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2023-06-18T03:14:00Z</dcterms:created>
  <dc:creator>Wayne</dc:creator>
  <cp:lastModifiedBy>金建德</cp:lastModifiedBy>
  <cp:lastPrinted>2024-12-12T00:45:00Z</cp:lastPrinted>
  <dcterms:modified xsi:type="dcterms:W3CDTF">2024-12-12T06:58:24Z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F5FC9562C6AC4A37815CE4AFE7268D1E_13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</vt:lpwstr>
  </property>
</Properties>
</file>