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lang w:val="en-US" w:eastAsia="zh-CN"/>
        </w:rPr>
        <w:t>4</w:t>
      </w:r>
      <w:r>
        <w:rPr>
          <w:rFonts w:hint="eastAsia" w:ascii="黑体" w:hAnsi="黑体" w:eastAsia="黑体" w:cs="Times New Roman"/>
          <w:sz w:val="21"/>
          <w:szCs w:val="21"/>
        </w:rPr>
        <w:t>-</w:t>
      </w:r>
      <w:r>
        <w:rPr>
          <w:rFonts w:hint="default" w:ascii="黑体" w:hAnsi="黑体" w:eastAsia="黑体" w:cs="Times New Roman"/>
          <w:sz w:val="21"/>
          <w:szCs w:val="21"/>
          <w:lang w:val="en-US"/>
        </w:rPr>
        <w:t>083</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bookmarkStart w:id="0" w:name="OLE_LINK1"/>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关于控股股东增持计划</w:t>
      </w:r>
      <w:r>
        <w:rPr>
          <w:rFonts w:hint="eastAsia" w:cs="Times New Roman" w:asciiTheme="minorEastAsia" w:hAnsiTheme="minorEastAsia" w:eastAsiaTheme="minorEastAsia"/>
          <w:b/>
          <w:bCs/>
          <w:color w:val="FF0000"/>
          <w:sz w:val="36"/>
          <w:szCs w:val="32"/>
          <w:lang w:val="en-US" w:eastAsia="zh-CN"/>
        </w:rPr>
        <w:t>实施结果的</w:t>
      </w:r>
      <w:r>
        <w:rPr>
          <w:rFonts w:cs="Times New Roman" w:asciiTheme="minorEastAsia" w:hAnsiTheme="minorEastAsia" w:eastAsiaTheme="minorEastAsia"/>
          <w:b/>
          <w:bCs/>
          <w:color w:val="FF0000"/>
          <w:sz w:val="36"/>
          <w:szCs w:val="32"/>
        </w:rPr>
        <w:t xml:space="preserve">公告 </w:t>
      </w:r>
    </w:p>
    <w:bookmarkEnd w:id="0"/>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ind w:left="986"/>
        <w:jc w:val="both"/>
        <w:rPr>
          <w:rFonts w:hint="eastAsia" w:asciiTheme="minorEastAsia" w:hAnsiTheme="minorEastAsia" w:eastAsiaTheme="minorEastAsia" w:cstheme="minorEastAsia"/>
          <w:sz w:val="28"/>
          <w:szCs w:val="28"/>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增持计划基本情况：兖矿能源集团股份有限公司（“公司”）于2023年11月</w:t>
      </w:r>
      <w:r>
        <w:rPr>
          <w:rFonts w:hint="default" w:cs="Times New Roman" w:asciiTheme="minorEastAsia" w:hAnsiTheme="minorEastAsia" w:eastAsiaTheme="minorEastAsia"/>
          <w:sz w:val="28"/>
          <w:szCs w:val="28"/>
          <w:lang w:val="en-US"/>
        </w:rPr>
        <w:t>29</w:t>
      </w:r>
      <w:r>
        <w:rPr>
          <w:rFonts w:hint="eastAsia" w:cs="Times New Roman" w:asciiTheme="minorEastAsia" w:hAnsiTheme="minorEastAsia" w:eastAsiaTheme="minorEastAsia"/>
          <w:sz w:val="28"/>
          <w:szCs w:val="28"/>
        </w:rPr>
        <w:t>日披露了《兖矿能源集团股份有限公司关于控股股东增持公司股份计划的公告》，控股股东山东能源集团有限公司（“山东能源”）计划在未来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w:t>
      </w:r>
      <w:r>
        <w:rPr>
          <w:rFonts w:hint="eastAsia" w:asciiTheme="minorEastAsia" w:hAnsiTheme="minorEastAsia" w:eastAsiaTheme="minorEastAsia" w:cstheme="minorEastAsia"/>
          <w:sz w:val="28"/>
          <w:szCs w:val="28"/>
        </w:rPr>
        <w:t>元，不超过人民币2亿元；H股股份累计增持金额不低于人民币2亿元，不超过人民币4亿元。</w:t>
      </w:r>
    </w:p>
    <w:p>
      <w:pPr>
        <w:numPr>
          <w:ilvl w:val="0"/>
          <w:numId w:val="1"/>
        </w:numPr>
        <w:adjustRightInd w:val="0"/>
        <w:snapToGrid w:val="0"/>
        <w:spacing w:line="520" w:lineRule="exact"/>
        <w:ind w:left="986"/>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增持计划</w:t>
      </w:r>
      <w:r>
        <w:rPr>
          <w:rFonts w:hint="eastAsia" w:asciiTheme="minorEastAsia" w:hAnsiTheme="minorEastAsia" w:eastAsiaTheme="minorEastAsia" w:cstheme="minorEastAsia"/>
          <w:sz w:val="28"/>
          <w:szCs w:val="28"/>
          <w:lang w:val="en-US" w:eastAsia="zh-CN"/>
        </w:rPr>
        <w:t>实施结果</w:t>
      </w:r>
      <w:r>
        <w:rPr>
          <w:rFonts w:hint="eastAsia" w:asciiTheme="minorEastAsia" w:hAnsiTheme="minorEastAsia" w:eastAsiaTheme="minorEastAsia" w:cstheme="minorEastAsia"/>
          <w:sz w:val="28"/>
          <w:szCs w:val="28"/>
        </w:rPr>
        <w:t>：公司于202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日收到山东能源通知，</w:t>
      </w:r>
      <w:r>
        <w:rPr>
          <w:rFonts w:hint="eastAsia" w:asciiTheme="minorEastAsia" w:hAnsiTheme="minorEastAsia" w:eastAsiaTheme="minorEastAsia" w:cstheme="minorEastAsia"/>
          <w:sz w:val="28"/>
          <w:szCs w:val="28"/>
          <w:lang w:val="en-US" w:eastAsia="zh-CN"/>
        </w:rPr>
        <w:t>截至</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山东能源累计</w:t>
      </w:r>
      <w:r>
        <w:rPr>
          <w:rFonts w:hint="eastAsia" w:asciiTheme="minorEastAsia" w:hAnsiTheme="minorEastAsia" w:eastAsiaTheme="minorEastAsia" w:cstheme="minorEastAsia"/>
          <w:sz w:val="28"/>
          <w:szCs w:val="28"/>
        </w:rPr>
        <w:t>增持公司</w:t>
      </w:r>
      <w:r>
        <w:rPr>
          <w:rFonts w:hint="eastAsia" w:asciiTheme="minorEastAsia" w:hAnsiTheme="minorEastAsia" w:eastAsiaTheme="minorEastAsia" w:cstheme="minorEastAsia"/>
          <w:sz w:val="28"/>
          <w:szCs w:val="28"/>
          <w:lang w:val="en-US" w:eastAsia="zh-CN"/>
        </w:rPr>
        <w:t>股份</w:t>
      </w:r>
      <w:r>
        <w:rPr>
          <w:rFonts w:hint="eastAsia" w:cs="宋体"/>
          <w:sz w:val="28"/>
          <w:szCs w:val="28"/>
          <w:lang w:val="en-US" w:eastAsia="zh-CN"/>
        </w:rPr>
        <w:t>总金额、A股股份金额及H股股份金额</w:t>
      </w:r>
      <w:r>
        <w:rPr>
          <w:rFonts w:hint="eastAsia" w:asciiTheme="minorEastAsia" w:hAnsiTheme="minorEastAsia" w:eastAsiaTheme="minorEastAsia" w:cstheme="minorEastAsia"/>
          <w:sz w:val="28"/>
          <w:szCs w:val="28"/>
          <w:lang w:val="en-US" w:eastAsia="zh-CN"/>
        </w:rPr>
        <w:t>均已超过增持计划金额区间下限，本次增持计划已实施完毕。</w:t>
      </w: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增持主体情况</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（一）增持主体：A股股份增持主体为山东能源及其一致行动人，H股股份增持主体为山东能源全资子公司兖矿集团(香港)有限公司及其一致行动人。</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（二）持股情况：实施本次增持计划前，山东能源共持有公司A股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3,385,986,710股，包括通过自身账号持有3,214,570,932股，通过可交换公司债券质押专户持有171,415,778股；通过兖矿集团（香港）有限公司持有公司H股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682,483,500股。山东能源直接和间接持有公司股份共4,068,470,210股，占公司总股本的54.6</w:t>
      </w:r>
      <w:r>
        <w:rPr>
          <w:rFonts w:hint="eastAsia" w:cs="Times New Roman" w:asciiTheme="minorEastAsia" w:hAnsiTheme="minorEastAsia" w:eastAsiaTheme="minorEastAsia"/>
          <w:color w:val="000000"/>
          <w:sz w:val="28"/>
          <w:szCs w:val="28"/>
          <w:lang w:val="en-US" w:eastAsia="zh-CN"/>
        </w:rPr>
        <w:t>884</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（三）山东能源在本次增持计划公告前十二个月内未披露过增持计划。</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二、增持计划主要内容</w:t>
      </w:r>
    </w:p>
    <w:p>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w:t>
      </w:r>
      <w:r>
        <w:rPr>
          <w:rFonts w:cs="Times New Roman" w:asciiTheme="minorEastAsia" w:hAnsiTheme="minorEastAsia" w:eastAsiaTheme="minorEastAsia"/>
          <w:sz w:val="28"/>
          <w:szCs w:val="28"/>
        </w:rPr>
        <w:t>巩固控股地位，提高持股比例，向市场传递积极信息，提振投资者传递信心，彰显大股东对公司长期发展及价值定位的认可</w:t>
      </w:r>
      <w:r>
        <w:rPr>
          <w:rFonts w:hint="eastAsia" w:cs="Times New Roman" w:asciiTheme="minorEastAsia" w:hAnsiTheme="minorEastAsia" w:eastAsiaTheme="minorEastAsia"/>
          <w:sz w:val="28"/>
          <w:szCs w:val="28"/>
        </w:rPr>
        <w:t>，山东能源计划自</w:t>
      </w:r>
      <w:r>
        <w:rPr>
          <w:rFonts w:hint="eastAsia" w:cs="Times New Roman" w:asciiTheme="minorEastAsia" w:hAnsiTheme="minorEastAsia" w:eastAsiaTheme="minorEastAsia"/>
          <w:sz w:val="28"/>
          <w:szCs w:val="28"/>
          <w:lang w:val="en-US" w:eastAsia="zh-CN"/>
        </w:rPr>
        <w:t>本次增持计划披露之日</w:t>
      </w:r>
      <w:r>
        <w:rPr>
          <w:rFonts w:hint="eastAsia" w:cs="Times New Roman" w:asciiTheme="minorEastAsia" w:hAnsiTheme="minorEastAsia" w:eastAsiaTheme="minorEastAsia"/>
          <w:sz w:val="28"/>
          <w:szCs w:val="28"/>
        </w:rPr>
        <w:t>起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元，不超过人民币2亿元；H股股份累计增持金额不低于人民币2亿元，不超过人民币4亿元。</w:t>
      </w:r>
    </w:p>
    <w:p>
      <w:pPr>
        <w:spacing w:line="520" w:lineRule="exact"/>
        <w:ind w:firstLine="560" w:firstLineChars="200"/>
        <w:rPr>
          <w:sz w:val="28"/>
          <w:szCs w:val="28"/>
          <w:highlight w:val="yellow"/>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rPr>
        <w:t>3年11月29日的关于控股股东增持公司股份计划的公告。该等资料刊载于上海证券交易所网站、香港联合交易所有限公司网站、公司网站及/或《中国证券报》《上海证券报》《证券时报》《证券日报》。</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三、增持计划实施</w:t>
      </w:r>
      <w:r>
        <w:rPr>
          <w:rFonts w:hint="eastAsia" w:ascii="黑体" w:hAnsi="黑体" w:eastAsia="黑体" w:cs="黑体"/>
          <w:color w:val="000000"/>
          <w:sz w:val="28"/>
          <w:szCs w:val="28"/>
          <w:lang w:val="en-US" w:eastAsia="zh-CN"/>
        </w:rPr>
        <w:t xml:space="preserve">结果     </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2023年11月30日-2024年11月28日，</w:t>
      </w:r>
      <w:r>
        <w:rPr>
          <w:rFonts w:hint="eastAsia" w:cs="Times New Roman" w:asciiTheme="minorEastAsia" w:hAnsiTheme="minorEastAsia" w:eastAsiaTheme="minorEastAsia"/>
          <w:color w:val="000000"/>
          <w:sz w:val="28"/>
          <w:szCs w:val="28"/>
        </w:rPr>
        <w:t>山东能源通过上海证券交易所交易系统</w:t>
      </w:r>
      <w:r>
        <w:rPr>
          <w:rFonts w:hint="eastAsia" w:cs="Times New Roman" w:asciiTheme="minorEastAsia" w:hAnsiTheme="minorEastAsia" w:eastAsiaTheme="minorEastAsia"/>
          <w:color w:val="000000"/>
          <w:sz w:val="28"/>
          <w:szCs w:val="28"/>
          <w:lang w:eastAsia="zh-CN"/>
        </w:rPr>
        <w:t>及香港联合交易所有限公司交易系统，以集中竞价方式增持公司A股和H股股份</w:t>
      </w:r>
      <w:r>
        <w:rPr>
          <w:rFonts w:hint="eastAsia" w:cs="Times New Roman" w:asciiTheme="minorEastAsia" w:hAnsiTheme="minorEastAsia" w:eastAsiaTheme="minorEastAsia"/>
          <w:color w:val="000000"/>
          <w:sz w:val="28"/>
          <w:szCs w:val="28"/>
          <w:lang w:val="en-US" w:eastAsia="zh-CN"/>
        </w:rPr>
        <w:t>共计27,715,380股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0.2761</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人民币300,202,748.73</w:t>
      </w:r>
      <w:r>
        <w:rPr>
          <w:rFonts w:hint="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H股股份以港币增持，其中</w:t>
      </w:r>
      <w:r>
        <w:rPr>
          <w:rFonts w:hint="eastAsia" w:asciiTheme="minorEastAsia" w:hAnsiTheme="minorEastAsia" w:eastAsiaTheme="minorEastAsia" w:cstheme="minorEastAsia"/>
          <w:sz w:val="28"/>
          <w:szCs w:val="28"/>
          <w:lang w:eastAsia="zh-CN"/>
        </w:rPr>
        <w:t>港币兑人民币汇率按增持当日中国人民银行公布的港币兑人民币汇率中间价计算）</w:t>
      </w:r>
      <w:r>
        <w:rPr>
          <w:rFonts w:hint="eastAsia" w:cs="Times New Roman" w:asciiTheme="minorEastAsia" w:hAnsiTheme="minorEastAsia" w:eastAsiaTheme="minorEastAsia"/>
          <w:color w:val="000000"/>
          <w:sz w:val="28"/>
          <w:szCs w:val="28"/>
          <w:lang w:eastAsia="zh-CN"/>
        </w:rPr>
        <w:t>，</w:t>
      </w:r>
      <w:r>
        <w:rPr>
          <w:rFonts w:hint="eastAsia" w:cs="Times New Roman" w:asciiTheme="minorEastAsia" w:hAnsiTheme="minorEastAsia" w:eastAsiaTheme="minorEastAsia"/>
          <w:color w:val="000000"/>
          <w:sz w:val="28"/>
          <w:szCs w:val="28"/>
          <w:lang w:val="en-US" w:eastAsia="zh-CN"/>
        </w:rPr>
        <w:t>已超过本次增持计划总金额区间下限，其中：</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增持公司A股股份6,187,380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0.0616</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人民币100,086,567.70</w:t>
      </w:r>
      <w:r>
        <w:rPr>
          <w:rFonts w:hint="eastAsia"/>
          <w:sz w:val="28"/>
          <w:szCs w:val="28"/>
        </w:rPr>
        <w:t>元</w:t>
      </w:r>
      <w:r>
        <w:rPr>
          <w:rFonts w:hint="eastAsia" w:cs="Times New Roman" w:asciiTheme="minorEastAsia" w:hAnsiTheme="minorEastAsia" w:eastAsiaTheme="minorEastAsia"/>
          <w:color w:val="000000"/>
          <w:sz w:val="28"/>
          <w:szCs w:val="28"/>
          <w:lang w:eastAsia="zh-CN"/>
        </w:rPr>
        <w:t>，</w:t>
      </w:r>
      <w:r>
        <w:rPr>
          <w:rFonts w:hint="eastAsia" w:cs="Times New Roman" w:asciiTheme="minorEastAsia" w:hAnsiTheme="minorEastAsia" w:eastAsiaTheme="minorEastAsia"/>
          <w:color w:val="000000"/>
          <w:sz w:val="28"/>
          <w:szCs w:val="28"/>
          <w:lang w:val="en-US" w:eastAsia="zh-CN"/>
        </w:rPr>
        <w:t>已超过A股股份增持金额区间下限</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增持公司H股股份21,528,000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0.2144</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人民币200,116,181.03</w:t>
      </w:r>
      <w:r>
        <w:rPr>
          <w:rFonts w:hint="eastAsia"/>
          <w:sz w:val="28"/>
          <w:szCs w:val="28"/>
        </w:rPr>
        <w:t>元</w:t>
      </w:r>
      <w:r>
        <w:rPr>
          <w:rFonts w:hint="eastAsia" w:cs="Times New Roman" w:asciiTheme="minorEastAsia" w:hAnsiTheme="minorEastAsia" w:eastAsiaTheme="minorEastAsia"/>
          <w:color w:val="000000"/>
          <w:sz w:val="28"/>
          <w:szCs w:val="28"/>
          <w:lang w:eastAsia="zh-CN"/>
        </w:rPr>
        <w:t>，</w:t>
      </w:r>
      <w:r>
        <w:rPr>
          <w:rFonts w:hint="eastAsia" w:cs="Times New Roman" w:asciiTheme="minorEastAsia" w:hAnsiTheme="minorEastAsia" w:eastAsiaTheme="minorEastAsia"/>
          <w:color w:val="000000"/>
          <w:sz w:val="28"/>
          <w:szCs w:val="28"/>
          <w:lang w:val="en-US" w:eastAsia="zh-CN"/>
        </w:rPr>
        <w:t>已超过H股股份增持金额区间下限</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截至本公告披露日，山东能源共持有公司A股</w:t>
      </w:r>
      <w:r>
        <w:rPr>
          <w:rFonts w:hint="eastAsia" w:cs="Times New Roman" w:asciiTheme="minorEastAsia" w:hAnsiTheme="minorEastAsia" w:eastAsiaTheme="minorEastAsia"/>
          <w:color w:val="000000"/>
          <w:sz w:val="28"/>
          <w:szCs w:val="28"/>
          <w:lang w:val="en-US" w:eastAsia="zh-CN"/>
        </w:rPr>
        <w:t>股份4,395,142,871</w:t>
      </w:r>
      <w:r>
        <w:rPr>
          <w:rFonts w:hint="eastAsia" w:cs="Times New Roman" w:asciiTheme="minorEastAsia" w:hAnsiTheme="minorEastAsia" w:eastAsiaTheme="minorEastAsia"/>
          <w:color w:val="000000"/>
          <w:sz w:val="28"/>
          <w:szCs w:val="28"/>
        </w:rPr>
        <w:t>股，包括通过自身账号持有</w:t>
      </w:r>
      <w:r>
        <w:rPr>
          <w:rFonts w:hint="eastAsia" w:cs="Times New Roman" w:asciiTheme="minorEastAsia" w:hAnsiTheme="minorEastAsia" w:eastAsiaTheme="minorEastAsia"/>
          <w:color w:val="000000"/>
          <w:sz w:val="28"/>
          <w:szCs w:val="28"/>
          <w:lang w:val="en-US" w:eastAsia="zh-CN"/>
        </w:rPr>
        <w:t>4,185,339,592</w:t>
      </w:r>
      <w:r>
        <w:rPr>
          <w:rFonts w:hint="eastAsia" w:cs="Times New Roman" w:asciiTheme="minorEastAsia" w:hAnsiTheme="minorEastAsia" w:eastAsiaTheme="minorEastAsia"/>
          <w:color w:val="000000"/>
          <w:sz w:val="28"/>
          <w:szCs w:val="28"/>
        </w:rPr>
        <w:t>股，通过可交换公司债券质押专户持有</w:t>
      </w:r>
      <w:r>
        <w:rPr>
          <w:rFonts w:hint="eastAsia" w:asciiTheme="minorEastAsia" w:hAnsiTheme="minorEastAsia" w:eastAsiaTheme="minorEastAsia" w:cstheme="minorEastAsia"/>
          <w:sz w:val="28"/>
          <w:szCs w:val="28"/>
          <w:lang w:val="en-US" w:eastAsia="zh-CN"/>
        </w:rPr>
        <w:t>209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279</w:t>
      </w:r>
      <w:r>
        <w:rPr>
          <w:rFonts w:hint="eastAsia" w:cs="Times New Roman" w:asciiTheme="minorEastAsia" w:hAnsiTheme="minorEastAsia" w:eastAsiaTheme="minorEastAsia"/>
          <w:color w:val="000000"/>
          <w:sz w:val="28"/>
          <w:szCs w:val="28"/>
        </w:rPr>
        <w:t>股；通过兖矿集团（香港）有限公司持有公司H股</w:t>
      </w:r>
      <w:r>
        <w:rPr>
          <w:rFonts w:hint="eastAsia" w:cs="Times New Roman" w:asciiTheme="minorEastAsia" w:hAnsiTheme="minorEastAsia" w:eastAsiaTheme="minorEastAsia"/>
          <w:color w:val="000000"/>
          <w:sz w:val="28"/>
          <w:szCs w:val="28"/>
          <w:lang w:val="en-US" w:eastAsia="zh-CN"/>
        </w:rPr>
        <w:t>股份908,756,550</w:t>
      </w:r>
      <w:r>
        <w:rPr>
          <w:rFonts w:hint="eastAsia" w:cs="Times New Roman" w:asciiTheme="minorEastAsia" w:hAnsiTheme="minorEastAsia" w:eastAsiaTheme="minorEastAsia"/>
          <w:color w:val="000000"/>
          <w:sz w:val="28"/>
          <w:szCs w:val="28"/>
        </w:rPr>
        <w:t>股</w:t>
      </w:r>
      <w:r>
        <w:rPr>
          <w:rFonts w:hint="eastAsia" w:cs="Times New Roman" w:asciiTheme="minorEastAsia" w:hAnsiTheme="minorEastAsia" w:eastAsiaTheme="minorEastAsia"/>
          <w:color w:val="000000"/>
          <w:sz w:val="28"/>
          <w:szCs w:val="28"/>
          <w:lang w:eastAsia="zh-CN"/>
        </w:rPr>
        <w:t>，</w:t>
      </w:r>
      <w:r>
        <w:rPr>
          <w:rFonts w:hint="eastAsia" w:cs="Times New Roman" w:asciiTheme="minorEastAsia" w:hAnsiTheme="minorEastAsia" w:eastAsiaTheme="minorEastAsia"/>
          <w:color w:val="000000"/>
          <w:sz w:val="28"/>
          <w:szCs w:val="28"/>
        </w:rPr>
        <w:t>包括通过</w:t>
      </w:r>
      <w:r>
        <w:rPr>
          <w:rFonts w:hint="eastAsia" w:cs="Times New Roman" w:asciiTheme="minorEastAsia" w:hAnsiTheme="minorEastAsia" w:eastAsiaTheme="minorEastAsia"/>
          <w:color w:val="000000"/>
          <w:sz w:val="28"/>
          <w:szCs w:val="28"/>
          <w:lang w:val="en-US" w:eastAsia="zh-CN"/>
        </w:rPr>
        <w:t>其</w:t>
      </w:r>
      <w:r>
        <w:rPr>
          <w:rFonts w:hint="eastAsia" w:cs="Times New Roman" w:asciiTheme="minorEastAsia" w:hAnsiTheme="minorEastAsia" w:eastAsiaTheme="minorEastAsia"/>
          <w:color w:val="000000"/>
          <w:sz w:val="28"/>
          <w:szCs w:val="28"/>
        </w:rPr>
        <w:t>自身账号持有</w:t>
      </w:r>
      <w:r>
        <w:rPr>
          <w:rFonts w:hint="eastAsia" w:cs="Times New Roman" w:asciiTheme="minorEastAsia" w:hAnsiTheme="minorEastAsia" w:eastAsiaTheme="minorEastAsia"/>
          <w:color w:val="000000"/>
          <w:sz w:val="28"/>
          <w:szCs w:val="28"/>
          <w:lang w:val="en-US" w:eastAsia="zh-CN"/>
        </w:rPr>
        <w:t>626,058,657</w:t>
      </w:r>
      <w:r>
        <w:rPr>
          <w:rFonts w:hint="eastAsia" w:cs="Times New Roman" w:asciiTheme="minorEastAsia" w:hAnsiTheme="minorEastAsia" w:eastAsiaTheme="minorEastAsia"/>
          <w:color w:val="000000"/>
          <w:sz w:val="28"/>
          <w:szCs w:val="28"/>
        </w:rPr>
        <w:t>股，通过可交换公司债券质押专户持有</w:t>
      </w:r>
      <w:r>
        <w:rPr>
          <w:rFonts w:hint="eastAsia" w:asciiTheme="minorEastAsia" w:hAnsiTheme="minorEastAsia" w:eastAsiaTheme="minorEastAsia" w:cstheme="minorEastAsia"/>
          <w:sz w:val="28"/>
          <w:szCs w:val="28"/>
          <w:lang w:val="en-US" w:eastAsia="zh-CN"/>
        </w:rPr>
        <w:t>282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697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893</w:t>
      </w:r>
      <w:r>
        <w:rPr>
          <w:rFonts w:hint="eastAsia" w:cs="Times New Roman" w:asciiTheme="minorEastAsia" w:hAnsiTheme="minorEastAsia" w:eastAsiaTheme="minorEastAsia"/>
          <w:color w:val="000000"/>
          <w:sz w:val="28"/>
          <w:szCs w:val="28"/>
        </w:rPr>
        <w:t>股。山东能源直接和间接持有公司股份共</w:t>
      </w:r>
      <w:r>
        <w:rPr>
          <w:rFonts w:hint="eastAsia" w:cs="Times New Roman" w:asciiTheme="minorEastAsia" w:hAnsiTheme="minorEastAsia" w:eastAsiaTheme="minorEastAsia"/>
          <w:color w:val="000000"/>
          <w:sz w:val="28"/>
          <w:szCs w:val="28"/>
          <w:lang w:val="en-US" w:eastAsia="zh-CN"/>
        </w:rPr>
        <w:t>5,303,899,421</w:t>
      </w:r>
      <w:r>
        <w:rPr>
          <w:rFonts w:hint="eastAsia" w:cs="Times New Roman" w:asciiTheme="minorEastAsia" w:hAnsiTheme="minorEastAsia" w:eastAsiaTheme="minorEastAsia"/>
          <w:color w:val="000000"/>
          <w:sz w:val="28"/>
          <w:szCs w:val="28"/>
        </w:rPr>
        <w:t>股，占公司总股本的</w:t>
      </w:r>
      <w:r>
        <w:rPr>
          <w:rFonts w:hint="eastAsia" w:cs="Times New Roman" w:asciiTheme="minorEastAsia" w:hAnsiTheme="minorEastAsia" w:eastAsiaTheme="minorEastAsia"/>
          <w:color w:val="000000"/>
          <w:sz w:val="28"/>
          <w:szCs w:val="28"/>
          <w:lang w:val="en-US" w:eastAsia="zh-CN"/>
        </w:rPr>
        <w:t>52.8284</w:t>
      </w:r>
      <w:r>
        <w:rPr>
          <w:rFonts w:hint="eastAsia" w:cs="Times New Roman" w:asciiTheme="minorEastAsia" w:hAnsiTheme="minorEastAsia" w:eastAsiaTheme="minorEastAsia"/>
          <w:color w:val="000000"/>
          <w:sz w:val="28"/>
          <w:szCs w:val="28"/>
        </w:rPr>
        <w:t>%。本次增持计划</w:t>
      </w:r>
      <w:r>
        <w:rPr>
          <w:rFonts w:hint="eastAsia" w:cs="Times New Roman" w:asciiTheme="minorEastAsia" w:hAnsiTheme="minorEastAsia" w:eastAsiaTheme="minorEastAsia"/>
          <w:color w:val="000000"/>
          <w:sz w:val="28"/>
          <w:szCs w:val="28"/>
          <w:lang w:val="en-US" w:eastAsia="zh-CN"/>
        </w:rPr>
        <w:t>已</w:t>
      </w:r>
      <w:r>
        <w:rPr>
          <w:rFonts w:hint="eastAsia" w:cs="Times New Roman" w:asciiTheme="minorEastAsia" w:hAnsiTheme="minorEastAsia" w:eastAsiaTheme="minorEastAsia"/>
          <w:color w:val="000000"/>
          <w:sz w:val="28"/>
          <w:szCs w:val="28"/>
        </w:rPr>
        <w:t>实施</w:t>
      </w:r>
      <w:r>
        <w:rPr>
          <w:rFonts w:hint="eastAsia" w:cs="Times New Roman" w:asciiTheme="minorEastAsia" w:hAnsiTheme="minorEastAsia" w:eastAsiaTheme="minorEastAsia"/>
          <w:color w:val="000000"/>
          <w:sz w:val="28"/>
          <w:szCs w:val="28"/>
          <w:lang w:val="en-US" w:eastAsia="zh-CN"/>
        </w:rPr>
        <w:t>完成</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ascii="楷体_GB2312" w:hAnsi="楷体_GB2312" w:eastAsia="楷体_GB2312" w:cs="楷体_GB2312"/>
          <w:color w:val="000000"/>
          <w:sz w:val="28"/>
          <w:szCs w:val="28"/>
        </w:rPr>
      </w:pPr>
      <w:r>
        <w:rPr>
          <w:rFonts w:hint="eastAsia" w:ascii="楷体_GB2312" w:hAnsi="楷体_GB2312" w:eastAsia="楷体_GB2312" w:cs="楷体_GB2312"/>
          <w:sz w:val="28"/>
          <w:szCs w:val="28"/>
        </w:rPr>
        <w:t>增持计划实施期间，</w:t>
      </w:r>
      <w:r>
        <w:rPr>
          <w:rFonts w:hint="eastAsia" w:ascii="楷体_GB2312" w:hAnsi="楷体_GB2312" w:eastAsia="楷体_GB2312" w:cs="楷体_GB2312"/>
          <w:color w:val="000000"/>
          <w:sz w:val="28"/>
          <w:szCs w:val="28"/>
          <w:lang w:val="en-US" w:eastAsia="zh-CN"/>
        </w:rPr>
        <w:t>除增持外其他</w:t>
      </w:r>
      <w:r>
        <w:rPr>
          <w:rFonts w:hint="eastAsia" w:ascii="楷体_GB2312" w:hAnsi="楷体_GB2312" w:eastAsia="楷体_GB2312" w:cs="楷体_GB2312"/>
          <w:color w:val="000000"/>
          <w:sz w:val="28"/>
          <w:szCs w:val="28"/>
        </w:rPr>
        <w:t>股份变动说明：</w:t>
      </w:r>
    </w:p>
    <w:p>
      <w:pPr>
        <w:adjustRightInd w:val="0"/>
        <w:snapToGrid w:val="0"/>
        <w:spacing w:line="520" w:lineRule="exact"/>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山东能源2022年面向专业投资者非公开发行可交换公司债券(第一期)共换A股10,028,640股，导致山东能源持有公司A股数量减少10,028,640股。</w:t>
      </w:r>
    </w:p>
    <w:p>
      <w:pPr>
        <w:adjustRightInd w:val="0"/>
        <w:snapToGrid w:val="0"/>
        <w:spacing w:line="520" w:lineRule="exact"/>
        <w:ind w:firstLine="560"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根据2021年A股限制性股票激励计划，公司回购注销了22名激励对象已获授但尚未解除限售的1,401,180股A股限制性股票，导致公司总股本减少1,401,180股。</w:t>
      </w:r>
    </w:p>
    <w:p>
      <w:pPr>
        <w:adjustRightInd w:val="0"/>
        <w:snapToGrid w:val="0"/>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）公司完成了向特定投资者配售285,000,000股H股股份</w:t>
      </w:r>
      <w:r>
        <w:rPr>
          <w:rFonts w:hint="eastAsia" w:ascii="楷体_GB2312" w:hAnsi="楷体_GB2312" w:eastAsia="楷体_GB2312" w:cs="楷体_GB2312"/>
          <w:sz w:val="28"/>
          <w:szCs w:val="28"/>
        </w:rPr>
        <w:t>，导致公司总股本</w:t>
      </w:r>
      <w:r>
        <w:rPr>
          <w:rFonts w:hint="eastAsia" w:ascii="楷体_GB2312" w:hAnsi="楷体_GB2312" w:eastAsia="楷体_GB2312" w:cs="楷体_GB2312"/>
          <w:sz w:val="28"/>
          <w:szCs w:val="28"/>
          <w:lang w:val="en-US" w:eastAsia="zh-CN"/>
        </w:rPr>
        <w:t>增加</w:t>
      </w:r>
      <w:r>
        <w:rPr>
          <w:rFonts w:hint="eastAsia" w:ascii="楷体_GB2312" w:hAnsi="楷体_GB2312" w:eastAsia="楷体_GB2312" w:cs="楷体_GB2312"/>
          <w:sz w:val="28"/>
          <w:szCs w:val="28"/>
          <w:lang w:eastAsia="zh-CN"/>
        </w:rPr>
        <w:t>285,000,000</w:t>
      </w:r>
      <w:r>
        <w:rPr>
          <w:rFonts w:hint="eastAsia" w:ascii="楷体_GB2312" w:hAnsi="楷体_GB2312" w:eastAsia="楷体_GB2312" w:cs="楷体_GB2312"/>
          <w:sz w:val="28"/>
          <w:szCs w:val="28"/>
        </w:rPr>
        <w:t>股</w:t>
      </w:r>
      <w:r>
        <w:rPr>
          <w:rFonts w:hint="eastAsia" w:ascii="楷体_GB2312" w:hAnsi="楷体_GB2312" w:eastAsia="楷体_GB2312" w:cs="楷体_GB2312"/>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根据2023年度利润分配方案，公司每股派送红股0.3股。导致</w:t>
      </w:r>
      <w:r>
        <w:rPr>
          <w:rFonts w:hint="eastAsia" w:ascii="楷体_GB2312" w:hAnsi="楷体_GB2312" w:eastAsia="楷体_GB2312" w:cs="楷体_GB2312"/>
          <w:sz w:val="28"/>
          <w:szCs w:val="28"/>
        </w:rPr>
        <w:t>山东能源持有公司</w:t>
      </w:r>
      <w:r>
        <w:rPr>
          <w:rFonts w:hint="eastAsia" w:ascii="楷体_GB2312" w:hAnsi="楷体_GB2312" w:eastAsia="楷体_GB2312" w:cs="楷体_GB2312"/>
          <w:sz w:val="28"/>
          <w:szCs w:val="28"/>
          <w:lang w:val="en-US" w:eastAsia="zh-CN"/>
        </w:rPr>
        <w:t>股份</w:t>
      </w:r>
      <w:r>
        <w:rPr>
          <w:rFonts w:hint="eastAsia" w:ascii="楷体_GB2312" w:hAnsi="楷体_GB2312" w:eastAsia="楷体_GB2312" w:cs="楷体_GB2312"/>
          <w:sz w:val="28"/>
          <w:szCs w:val="28"/>
        </w:rPr>
        <w:t>数量</w:t>
      </w:r>
      <w:r>
        <w:rPr>
          <w:rFonts w:hint="eastAsia" w:ascii="楷体_GB2312" w:hAnsi="楷体_GB2312" w:eastAsia="楷体_GB2312" w:cs="楷体_GB2312"/>
          <w:sz w:val="28"/>
          <w:szCs w:val="28"/>
          <w:lang w:val="en-US" w:eastAsia="zh-CN"/>
        </w:rPr>
        <w:t>增加1,217,742,471</w:t>
      </w:r>
      <w:r>
        <w:rPr>
          <w:rFonts w:hint="eastAsia" w:ascii="楷体_GB2312" w:hAnsi="楷体_GB2312" w:eastAsia="楷体_GB2312" w:cs="楷体_GB2312"/>
          <w:sz w:val="28"/>
          <w:szCs w:val="28"/>
        </w:rPr>
        <w:t>股</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导致公司总股本</w:t>
      </w:r>
      <w:r>
        <w:rPr>
          <w:rFonts w:hint="eastAsia" w:ascii="楷体_GB2312" w:hAnsi="楷体_GB2312" w:eastAsia="楷体_GB2312" w:cs="楷体_GB2312"/>
          <w:sz w:val="28"/>
          <w:szCs w:val="28"/>
          <w:lang w:val="en-US" w:eastAsia="zh-CN"/>
        </w:rPr>
        <w:t>增加2,316,890,862</w:t>
      </w:r>
      <w:r>
        <w:rPr>
          <w:rFonts w:hint="eastAsia" w:ascii="楷体_GB2312" w:hAnsi="楷体_GB2312" w:eastAsia="楷体_GB2312" w:cs="楷体_GB2312"/>
          <w:sz w:val="28"/>
          <w:szCs w:val="28"/>
        </w:rPr>
        <w:t>股</w:t>
      </w:r>
      <w:r>
        <w:rPr>
          <w:rFonts w:hint="eastAsia" w:ascii="楷体_GB2312" w:hAnsi="楷体_GB2312" w:eastAsia="楷体_GB2312" w:cs="楷体_GB2312"/>
          <w:sz w:val="28"/>
          <w:szCs w:val="28"/>
          <w:lang w:eastAsia="zh-CN"/>
        </w:rPr>
        <w:t>。</w:t>
      </w:r>
    </w:p>
    <w:p>
      <w:pPr>
        <w:adjustRightInd w:val="0"/>
        <w:snapToGrid w:val="0"/>
        <w:spacing w:line="520" w:lineRule="exact"/>
        <w:ind w:firstLine="560" w:firstLineChars="200"/>
        <w:jc w:val="both"/>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rPr>
        <w:t>四、</w:t>
      </w:r>
      <w:r>
        <w:rPr>
          <w:rFonts w:hint="eastAsia" w:ascii="黑体" w:hAnsi="黑体" w:eastAsia="黑体" w:cs="黑体"/>
          <w:color w:val="000000"/>
          <w:sz w:val="28"/>
          <w:szCs w:val="28"/>
          <w:lang w:val="en-US" w:eastAsia="zh-CN"/>
        </w:rPr>
        <w:t>律师专项核查意见</w:t>
      </w:r>
    </w:p>
    <w:p>
      <w:pPr>
        <w:keepNext w:val="0"/>
        <w:keepLines w:val="0"/>
        <w:widowControl/>
        <w:suppressLineNumbers w:val="0"/>
        <w:adjustRightInd w:val="0"/>
        <w:snapToGrid w:val="0"/>
        <w:spacing w:line="520" w:lineRule="exact"/>
        <w:ind w:firstLine="560" w:firstLineChars="200"/>
        <w:jc w:val="both"/>
        <w:rPr>
          <w:rFonts w:hint="eastAsia" w:cs="Times New Roman" w:asciiTheme="minorEastAsia" w:hAnsiTheme="minorEastAsia" w:eastAsiaTheme="minorEastAsia"/>
          <w:color w:val="000000"/>
          <w:kern w:val="0"/>
          <w:sz w:val="28"/>
          <w:szCs w:val="28"/>
          <w:lang w:val="en-US" w:eastAsia="zh-CN" w:bidi="ar"/>
        </w:rPr>
      </w:pPr>
      <w:r>
        <w:rPr>
          <w:rFonts w:hint="eastAsia" w:cs="Times New Roman" w:asciiTheme="minorEastAsia" w:hAnsiTheme="minorEastAsia" w:eastAsiaTheme="minorEastAsia"/>
          <w:color w:val="000000"/>
          <w:kern w:val="0"/>
          <w:sz w:val="28"/>
          <w:szCs w:val="28"/>
          <w:lang w:val="en-US" w:eastAsia="zh-CN" w:bidi="ar"/>
        </w:rPr>
        <w:t>北京市君合律师事务所就本次增持发表了专项核查意见。</w:t>
      </w:r>
    </w:p>
    <w:p>
      <w:pPr>
        <w:keepNext w:val="0"/>
        <w:keepLines w:val="0"/>
        <w:widowControl/>
        <w:suppressLineNumbers w:val="0"/>
        <w:spacing w:line="520" w:lineRule="exact"/>
        <w:ind w:firstLine="560" w:firstLineChars="200"/>
        <w:jc w:val="left"/>
        <w:rPr>
          <w:rFonts w:hint="eastAsia" w:cs="Times New Roman" w:asciiTheme="minorEastAsia" w:hAnsiTheme="minorEastAsia" w:eastAsiaTheme="minorEastAsia"/>
          <w:color w:val="000000"/>
          <w:sz w:val="28"/>
          <w:szCs w:val="28"/>
          <w:lang w:bidi="ar"/>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lang w:val="en-US" w:eastAsia="zh-CN"/>
        </w:rPr>
        <w:t>4</w:t>
      </w:r>
      <w:r>
        <w:rPr>
          <w:rFonts w:hint="eastAsia" w:ascii="楷体_GB2312" w:eastAsia="楷体_GB2312"/>
          <w:color w:val="000000"/>
          <w:sz w:val="28"/>
          <w:szCs w:val="28"/>
        </w:rPr>
        <w:t>年</w:t>
      </w:r>
      <w:r>
        <w:rPr>
          <w:rFonts w:hint="eastAsia" w:ascii="楷体_GB2312" w:eastAsia="楷体_GB2312"/>
          <w:color w:val="000000"/>
          <w:sz w:val="28"/>
          <w:szCs w:val="28"/>
          <w:lang w:val="en-US" w:eastAsia="zh-CN"/>
        </w:rPr>
        <w:t>11</w:t>
      </w:r>
      <w:r>
        <w:rPr>
          <w:rFonts w:hint="eastAsia" w:ascii="楷体_GB2312" w:eastAsia="楷体_GB2312"/>
          <w:color w:val="000000"/>
          <w:sz w:val="28"/>
          <w:szCs w:val="28"/>
        </w:rPr>
        <w:t>月</w:t>
      </w:r>
      <w:r>
        <w:rPr>
          <w:rFonts w:hint="eastAsia" w:ascii="楷体_GB2312" w:eastAsia="楷体_GB2312" w:cs="宋体"/>
          <w:color w:val="000000"/>
          <w:kern w:val="0"/>
          <w:sz w:val="28"/>
          <w:szCs w:val="28"/>
          <w:lang w:val="en-US" w:eastAsia="zh-CN" w:bidi="ar"/>
        </w:rPr>
        <w:t>28</w:t>
      </w:r>
      <w:r>
        <w:rPr>
          <w:rFonts w:hint="eastAsia" w:ascii="楷体_GB2312" w:eastAsia="楷体_GB2312"/>
          <w:color w:val="000000"/>
          <w:sz w:val="28"/>
          <w:szCs w:val="28"/>
        </w:rPr>
        <w:t>日的</w:t>
      </w:r>
      <w:r>
        <w:rPr>
          <w:rFonts w:hint="eastAsia" w:ascii="楷体_GB2312" w:eastAsia="楷体_GB2312"/>
          <w:b w:val="0"/>
          <w:color w:val="000000"/>
          <w:sz w:val="28"/>
          <w:szCs w:val="28"/>
        </w:rPr>
        <w:t>北京市君合律师事务所关于山东能源集团有限公司增持兖矿能源集团股份有限公司股份的</w:t>
      </w:r>
      <w:r>
        <w:rPr>
          <w:rFonts w:hint="eastAsia" w:ascii="楷体_GB2312" w:hAnsi="宋体" w:eastAsia="楷体_GB2312" w:cs="宋体"/>
          <w:color w:val="000000"/>
          <w:kern w:val="0"/>
          <w:sz w:val="28"/>
          <w:szCs w:val="28"/>
          <w:lang w:val="en-US" w:eastAsia="zh-CN" w:bidi="ar"/>
        </w:rPr>
        <w:t>专项核查意见</w:t>
      </w:r>
      <w:r>
        <w:rPr>
          <w:rFonts w:hint="eastAsia" w:ascii="楷体_GB2312" w:eastAsia="楷体_GB2312"/>
          <w:color w:val="000000"/>
          <w:sz w:val="28"/>
          <w:szCs w:val="28"/>
        </w:rPr>
        <w:t>。该等资料刊载于上海证券交易所网站、香港联合交易所有限公司网站</w:t>
      </w:r>
      <w:r>
        <w:rPr>
          <w:rFonts w:hint="eastAsia" w:ascii="楷体_GB2312" w:eastAsia="楷体_GB2312"/>
          <w:color w:val="000000"/>
          <w:sz w:val="28"/>
          <w:szCs w:val="28"/>
          <w:lang w:val="en-US" w:eastAsia="zh-CN"/>
        </w:rPr>
        <w:t>及</w:t>
      </w:r>
      <w:r>
        <w:rPr>
          <w:rFonts w:hint="eastAsia" w:ascii="楷体_GB2312" w:eastAsia="楷体_GB2312"/>
          <w:color w:val="000000"/>
          <w:sz w:val="28"/>
          <w:szCs w:val="28"/>
        </w:rPr>
        <w:t>公司网站。</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五、其他相关说明</w:t>
      </w:r>
      <w:bookmarkStart w:id="1" w:name="_GoBack"/>
      <w:bookmarkEnd w:id="1"/>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w:t>
      </w:r>
      <w:r>
        <w:rPr>
          <w:rFonts w:hint="eastAsia" w:cs="Times New Roman" w:asciiTheme="minorEastAsia" w:hAnsiTheme="minorEastAsia" w:eastAsiaTheme="minorEastAsia"/>
          <w:color w:val="000000"/>
          <w:sz w:val="28"/>
          <w:szCs w:val="28"/>
          <w:lang w:val="en-US" w:eastAsia="zh-CN"/>
        </w:rPr>
        <w:t>未</w:t>
      </w:r>
      <w:r>
        <w:rPr>
          <w:rFonts w:hint="eastAsia" w:cs="Times New Roman" w:asciiTheme="minorEastAsia" w:hAnsiTheme="minorEastAsia" w:eastAsiaTheme="minorEastAsia"/>
          <w:color w:val="000000"/>
          <w:sz w:val="28"/>
          <w:szCs w:val="28"/>
        </w:rPr>
        <w:t>导致公司控股股东及实际控制人发生变化。</w:t>
      </w:r>
    </w:p>
    <w:p>
      <w:pPr>
        <w:keepNext w:val="0"/>
        <w:keepLines w:val="0"/>
        <w:widowControl/>
        <w:suppressLineNumbers w:val="0"/>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w:t>
      </w:r>
      <w:r>
        <w:rPr>
          <w:rFonts w:hint="eastAsia" w:cs="Times New Roman" w:asciiTheme="minorEastAsia" w:hAnsiTheme="minorEastAsia" w:eastAsiaTheme="minorEastAsia"/>
          <w:color w:val="000000"/>
          <w:sz w:val="28"/>
          <w:szCs w:val="28"/>
          <w:lang w:val="en-US" w:eastAsia="zh-CN"/>
        </w:rPr>
        <w:t>本次</w:t>
      </w:r>
      <w:r>
        <w:rPr>
          <w:rFonts w:hint="eastAsia" w:cs="Times New Roman" w:asciiTheme="minorEastAsia" w:hAnsiTheme="minorEastAsia" w:eastAsiaTheme="minorEastAsia"/>
          <w:color w:val="000000"/>
          <w:kern w:val="0"/>
          <w:sz w:val="28"/>
          <w:szCs w:val="28"/>
          <w:lang w:val="en-US" w:eastAsia="zh-CN" w:bidi="ar"/>
        </w:rPr>
        <w:t>增持计划实施完成之后六个月及法律规定的期限内，山东能源不主动减持公司股份。</w:t>
      </w:r>
    </w:p>
    <w:p>
      <w:pPr>
        <w:adjustRightInd w:val="0"/>
        <w:snapToGrid w:val="0"/>
        <w:spacing w:line="520" w:lineRule="exact"/>
        <w:ind w:firstLine="840" w:firstLineChars="300"/>
        <w:jc w:val="both"/>
        <w:rPr>
          <w:rFonts w:hint="eastAsia" w:cs="Times New Roman" w:asciiTheme="minorEastAsia" w:hAnsiTheme="minorEastAsia" w:eastAsiaTheme="minorEastAsia"/>
          <w:color w:val="000000"/>
          <w:sz w:val="28"/>
          <w:szCs w:val="28"/>
        </w:rPr>
      </w:pPr>
    </w:p>
    <w:p>
      <w:pPr>
        <w:adjustRightInd w:val="0"/>
        <w:snapToGrid w:val="0"/>
        <w:spacing w:line="520" w:lineRule="exact"/>
        <w:ind w:firstLine="840" w:firstLineChars="3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年</w:t>
      </w:r>
      <w:r>
        <w:rPr>
          <w:rFonts w:hint="eastAsia" w:cs="宋体"/>
          <w:color w:val="000000"/>
          <w:sz w:val="28"/>
          <w:szCs w:val="28"/>
          <w:lang w:val="en-US" w:eastAsia="zh-CN"/>
        </w:rPr>
        <w:t>11</w:t>
      </w:r>
      <w:r>
        <w:rPr>
          <w:rFonts w:cs="Times New Roman" w:asciiTheme="minorEastAsia" w:hAnsiTheme="minorEastAsia" w:eastAsiaTheme="minorEastAsia"/>
          <w:color w:val="000000"/>
          <w:sz w:val="28"/>
          <w:szCs w:val="28"/>
        </w:rPr>
        <w:t>月</w:t>
      </w:r>
      <w:r>
        <w:rPr>
          <w:rFonts w:hint="eastAsia" w:cs="宋体"/>
          <w:color w:val="000000"/>
          <w:sz w:val="28"/>
          <w:szCs w:val="28"/>
          <w:lang w:val="en-US" w:eastAsia="zh-CN"/>
        </w:rPr>
        <w:t>28</w:t>
      </w:r>
      <w:r>
        <w:rPr>
          <w:rFonts w:cs="Times New Roman" w:asciiTheme="minorEastAsia" w:hAnsiTheme="minorEastAsia" w:eastAsiaTheme="minorEastAsia"/>
          <w:color w:val="000000"/>
          <w:sz w:val="28"/>
          <w:szCs w:val="28"/>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6b06c1f3-a2e0-4d41-bd56-07b363e4ac22"/>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D92099"/>
    <w:rsid w:val="04C2529E"/>
    <w:rsid w:val="05474A36"/>
    <w:rsid w:val="058E5C21"/>
    <w:rsid w:val="05D95D28"/>
    <w:rsid w:val="063D07EA"/>
    <w:rsid w:val="06F27191"/>
    <w:rsid w:val="07177C78"/>
    <w:rsid w:val="089263E8"/>
    <w:rsid w:val="093568E4"/>
    <w:rsid w:val="0BFC5A62"/>
    <w:rsid w:val="0C026EE9"/>
    <w:rsid w:val="0CD3631A"/>
    <w:rsid w:val="0E7E478A"/>
    <w:rsid w:val="0E8B21AE"/>
    <w:rsid w:val="106E705C"/>
    <w:rsid w:val="10D558D1"/>
    <w:rsid w:val="138E5488"/>
    <w:rsid w:val="14DA622B"/>
    <w:rsid w:val="16753FFC"/>
    <w:rsid w:val="16780A07"/>
    <w:rsid w:val="17636948"/>
    <w:rsid w:val="1ABE1392"/>
    <w:rsid w:val="1AD811AA"/>
    <w:rsid w:val="1B0B3CB5"/>
    <w:rsid w:val="1B6F35F1"/>
    <w:rsid w:val="1C766D20"/>
    <w:rsid w:val="1D2C64DD"/>
    <w:rsid w:val="1FB86AB0"/>
    <w:rsid w:val="202171B4"/>
    <w:rsid w:val="213E105B"/>
    <w:rsid w:val="223D2E0A"/>
    <w:rsid w:val="24EF4017"/>
    <w:rsid w:val="252F4421"/>
    <w:rsid w:val="260942D1"/>
    <w:rsid w:val="26D64EA0"/>
    <w:rsid w:val="26E71201"/>
    <w:rsid w:val="28378824"/>
    <w:rsid w:val="285D6D9D"/>
    <w:rsid w:val="28A51789"/>
    <w:rsid w:val="2C0A237D"/>
    <w:rsid w:val="2C4F1189"/>
    <w:rsid w:val="2C7C2F35"/>
    <w:rsid w:val="2CFD5A71"/>
    <w:rsid w:val="2E3A6D11"/>
    <w:rsid w:val="2F21061A"/>
    <w:rsid w:val="2F5137A0"/>
    <w:rsid w:val="31F51FFD"/>
    <w:rsid w:val="33FE7B3A"/>
    <w:rsid w:val="3407467A"/>
    <w:rsid w:val="34EC331F"/>
    <w:rsid w:val="369F1CBC"/>
    <w:rsid w:val="36FDC548"/>
    <w:rsid w:val="370476F8"/>
    <w:rsid w:val="37850713"/>
    <w:rsid w:val="382E7C4C"/>
    <w:rsid w:val="3C090419"/>
    <w:rsid w:val="3CF41381"/>
    <w:rsid w:val="3E2E2D90"/>
    <w:rsid w:val="3E350391"/>
    <w:rsid w:val="410968CD"/>
    <w:rsid w:val="43B57CDA"/>
    <w:rsid w:val="44473941"/>
    <w:rsid w:val="44B566C7"/>
    <w:rsid w:val="45D706C6"/>
    <w:rsid w:val="48B30A10"/>
    <w:rsid w:val="4A110C46"/>
    <w:rsid w:val="4A8E50B1"/>
    <w:rsid w:val="4AB73CCF"/>
    <w:rsid w:val="4B326175"/>
    <w:rsid w:val="4CBB31C2"/>
    <w:rsid w:val="4CDE2C88"/>
    <w:rsid w:val="4E3E6BCE"/>
    <w:rsid w:val="4FDA743C"/>
    <w:rsid w:val="52CB68A9"/>
    <w:rsid w:val="54374D47"/>
    <w:rsid w:val="54511EB9"/>
    <w:rsid w:val="550E1ED9"/>
    <w:rsid w:val="55441426"/>
    <w:rsid w:val="5699587F"/>
    <w:rsid w:val="59BE665C"/>
    <w:rsid w:val="5A997482"/>
    <w:rsid w:val="5AB1072F"/>
    <w:rsid w:val="5ACC15D8"/>
    <w:rsid w:val="5BE14EFC"/>
    <w:rsid w:val="5D0F69F3"/>
    <w:rsid w:val="5DCD264D"/>
    <w:rsid w:val="5F5A70A2"/>
    <w:rsid w:val="5F871771"/>
    <w:rsid w:val="60DF7A37"/>
    <w:rsid w:val="61D54F1C"/>
    <w:rsid w:val="646C6A0E"/>
    <w:rsid w:val="651C377E"/>
    <w:rsid w:val="65931809"/>
    <w:rsid w:val="65942AD9"/>
    <w:rsid w:val="667667F7"/>
    <w:rsid w:val="67725897"/>
    <w:rsid w:val="67C25F42"/>
    <w:rsid w:val="690E3810"/>
    <w:rsid w:val="6A520F40"/>
    <w:rsid w:val="6AC54C2C"/>
    <w:rsid w:val="6AD26BE1"/>
    <w:rsid w:val="6BB74B4A"/>
    <w:rsid w:val="6E966F64"/>
    <w:rsid w:val="6FBF6F46"/>
    <w:rsid w:val="70B36058"/>
    <w:rsid w:val="71564E4E"/>
    <w:rsid w:val="715935CF"/>
    <w:rsid w:val="7298446F"/>
    <w:rsid w:val="76BA00E3"/>
    <w:rsid w:val="77925073"/>
    <w:rsid w:val="786A7D42"/>
    <w:rsid w:val="79C55961"/>
    <w:rsid w:val="7A422577"/>
    <w:rsid w:val="7AD26CF5"/>
    <w:rsid w:val="7CAB2B6C"/>
    <w:rsid w:val="7E1F7DB5"/>
    <w:rsid w:val="7E974220"/>
    <w:rsid w:val="7EA454AA"/>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4</Pages>
  <Words>1934</Words>
  <Characters>2308</Characters>
  <Lines>14</Lines>
  <Paragraphs>3</Paragraphs>
  <TotalTime>167</TotalTime>
  <ScaleCrop>false</ScaleCrop>
  <LinksUpToDate>false</LinksUpToDate>
  <CharactersWithSpaces>2339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YUANSU HU</cp:lastModifiedBy>
  <cp:lastPrinted>2024-11-26T06:33:00Z</cp:lastPrinted>
  <dcterms:modified xsi:type="dcterms:W3CDTF">2024-11-28T07:00:07Z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CC5005FC6B3A4143BD1D6D1DA580D5CD_13</vt:lpwstr>
  </property>
  <property fmtid="{D5CDD505-2E9C-101B-9397-08002B2CF9AE}" pid="4" name="5B77E7CEEC58BC6AFAE8886BEB80DBEB">
    <vt:lpwstr>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</vt:lpwstr>
  </property>
</Properties>
</file>