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</w:rPr>
        <w:t>股票代码：</w:t>
      </w:r>
      <w:r>
        <w:rPr>
          <w:rFonts w:ascii="黑体" w:hAnsi="黑体" w:eastAsia="黑体" w:cs="黑体"/>
          <w:szCs w:val="21"/>
        </w:rPr>
        <w:t xml:space="preserve">600188      </w:t>
      </w:r>
      <w:r>
        <w:rPr>
          <w:rFonts w:hint="eastAsia" w:ascii="黑体" w:hAnsi="黑体" w:eastAsia="黑体" w:cs="黑体"/>
          <w:szCs w:val="21"/>
        </w:rPr>
        <w:t xml:space="preserve">  </w:t>
      </w:r>
      <w:r>
        <w:rPr>
          <w:rFonts w:ascii="黑体" w:hAnsi="黑体" w:eastAsia="黑体" w:cs="黑体"/>
          <w:szCs w:val="21"/>
        </w:rPr>
        <w:t xml:space="preserve">   </w:t>
      </w:r>
      <w:r>
        <w:rPr>
          <w:rFonts w:hint="eastAsia" w:ascii="黑体" w:hAnsi="黑体" w:eastAsia="黑体" w:cs="黑体"/>
          <w:szCs w:val="21"/>
        </w:rPr>
        <w:t>股票简称：兖矿能源</w:t>
      </w:r>
      <w:r>
        <w:rPr>
          <w:rFonts w:ascii="黑体" w:hAnsi="黑体" w:eastAsia="黑体" w:cs="黑体"/>
          <w:szCs w:val="21"/>
        </w:rPr>
        <w:t xml:space="preserve">       </w:t>
      </w:r>
      <w:r>
        <w:rPr>
          <w:rFonts w:hint="eastAsia" w:ascii="黑体" w:hAnsi="黑体" w:eastAsia="黑体" w:cs="黑体"/>
          <w:szCs w:val="21"/>
        </w:rPr>
        <w:t xml:space="preserve">    </w:t>
      </w:r>
      <w:r>
        <w:rPr>
          <w:rFonts w:ascii="黑体" w:hAnsi="黑体" w:eastAsia="黑体" w:cs="黑体"/>
          <w:szCs w:val="21"/>
        </w:rPr>
        <w:t xml:space="preserve">  </w:t>
      </w:r>
      <w:r>
        <w:rPr>
          <w:rFonts w:hint="eastAsia" w:ascii="黑体" w:hAnsi="黑体" w:eastAsia="黑体" w:cs="黑体"/>
          <w:szCs w:val="21"/>
        </w:rPr>
        <w:t>编号：临</w:t>
      </w:r>
      <w:r>
        <w:rPr>
          <w:rFonts w:ascii="黑体" w:hAnsi="黑体" w:eastAsia="黑体" w:cs="黑体"/>
          <w:szCs w:val="21"/>
        </w:rPr>
        <w:t>2024-</w:t>
      </w:r>
      <w:r>
        <w:rPr>
          <w:rFonts w:hint="eastAsia" w:ascii="黑体" w:hAnsi="黑体" w:eastAsia="黑体" w:cs="黑体"/>
          <w:szCs w:val="21"/>
          <w:lang w:val="en-US" w:eastAsia="zh-CN"/>
        </w:rPr>
        <w:t>077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兖矿能源集团股份有限公司</w:t>
      </w:r>
    </w:p>
    <w:p>
      <w:pPr>
        <w:jc w:val="center"/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FF0000"/>
          <w:sz w:val="36"/>
          <w:szCs w:val="36"/>
          <w:lang w:val="en-US" w:eastAsia="zh-CN"/>
        </w:rPr>
        <w:t>对外投资</w:t>
      </w:r>
      <w:r>
        <w:rPr>
          <w:rFonts w:hint="eastAsia" w:ascii="黑体" w:hAnsi="黑体" w:eastAsia="黑体" w:cs="黑体"/>
          <w:b/>
          <w:bCs/>
          <w:color w:val="FF0000"/>
          <w:sz w:val="36"/>
          <w:szCs w:val="36"/>
        </w:rPr>
        <w:t>公告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560" w:firstLineChars="200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</w:t>
      </w:r>
      <w:r>
        <w:rPr>
          <w:rFonts w:ascii="Times New Roman" w:hAnsi="Times New Roman"/>
          <w:color w:val="000000"/>
          <w:sz w:val="24"/>
        </w:rPr>
        <w:t>。</w:t>
      </w:r>
    </w:p>
    <w:p>
      <w:pPr>
        <w:rPr>
          <w:rFonts w:ascii="Times New Roman" w:hAnsi="Times New Roman"/>
          <w:sz w:val="24"/>
        </w:rPr>
      </w:pP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重要内容提示：</w:t>
      </w:r>
    </w:p>
    <w:p>
      <w:pPr>
        <w:pStyle w:val="21"/>
        <w:numPr>
          <w:ilvl w:val="0"/>
          <w:numId w:val="1"/>
        </w:numPr>
        <w:spacing w:line="520" w:lineRule="exact"/>
        <w:ind w:left="980" w:leftChars="200" w:hanging="560" w:hangingChars="200"/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投资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内蒙古荣信化工有限公司（“荣信化工”）年产80万吨烯烃项目。</w:t>
      </w:r>
    </w:p>
    <w:p>
      <w:pPr>
        <w:pStyle w:val="21"/>
        <w:numPr>
          <w:ilvl w:val="0"/>
          <w:numId w:val="1"/>
        </w:numPr>
        <w:spacing w:line="520" w:lineRule="exact"/>
        <w:ind w:left="980" w:leftChars="200" w:hanging="560" w:hanging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投资金额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人民币95.74亿元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pStyle w:val="21"/>
        <w:numPr>
          <w:ilvl w:val="0"/>
          <w:numId w:val="1"/>
        </w:numPr>
        <w:spacing w:line="520" w:lineRule="exact"/>
        <w:ind w:left="980" w:leftChars="200" w:hanging="560" w:hanging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特别风险提示：工程进度风险、项目收益不符合预期的风险</w:t>
      </w:r>
      <w:r>
        <w:rPr>
          <w:rFonts w:hint="eastAsia" w:ascii="宋体" w:hAnsi="宋体" w:cs="宋体"/>
          <w:bCs/>
          <w:sz w:val="28"/>
          <w:szCs w:val="28"/>
        </w:rPr>
        <w:t>。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对外投资概述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本项目以甲醇为原料，采用MTO技术生产聚合级乙烯和丙烯，再经聚合生产高密度聚乙烯、聚丙烯，同时副产混合C4、C5+、丙烷等产品。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本项目主要建设80万吨/年甲醇制烯烃装置、40万吨/年聚乙烯装置、40万吨/年聚丙烯装置、1.5万吨/年1-丁烯装置、5万吨/年蒸汽裂解装置，以及配套的储运、公用工程、辅助生产设施。</w:t>
      </w:r>
      <w:r>
        <w:rPr>
          <w:rFonts w:hint="eastAsia" w:ascii="宋体" w:hAnsi="宋体" w:eastAsia="宋体" w:cs="宋体"/>
          <w:sz w:val="28"/>
          <w:szCs w:val="28"/>
        </w:rPr>
        <w:t>主要产品为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sz w:val="28"/>
          <w:szCs w:val="28"/>
        </w:rPr>
        <w:t>万吨/年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高密度聚乙烯和40万吨/年聚丙烯（合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80万吨烯烃项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目”）。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项目计划投资额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人民币95.74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亿元，建设资金以自有资金与银行贷款组合的形式筹集，投资回收期（含建设期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36个月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）9.68年。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本项目已经获得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国资监管部门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立项批复，并取得了当地政府立项备案，以及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节能评估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环境影响评价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安全预评价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批复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（二）本项目已经兖矿能源集团股份有限公司（“兖矿能源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公司”）第九届董事会第十一次会议审议通过</w:t>
      </w:r>
      <w:r>
        <w:rPr>
          <w:rFonts w:hint="eastAsia" w:ascii="宋体" w:hAnsi="宋体" w:cs="宋体"/>
          <w:sz w:val="28"/>
          <w:szCs w:val="28"/>
        </w:rPr>
        <w:t>，无需提请股东大会审议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（三）本项目不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构成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关联交易，不构成重大资产重组事项</w:t>
      </w:r>
      <w:r>
        <w:rPr>
          <w:rFonts w:hint="eastAsia" w:ascii="宋体" w:hAnsi="宋体" w:cs="楷体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投资主体</w:t>
      </w:r>
      <w:r>
        <w:rPr>
          <w:rFonts w:hint="eastAsia" w:ascii="黑体" w:hAnsi="黑体" w:eastAsia="黑体" w:cs="黑体"/>
          <w:bCs/>
          <w:sz w:val="28"/>
          <w:szCs w:val="28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名称：荣信化工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911506216769199571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成立时间：</w:t>
      </w:r>
      <w:r>
        <w:rPr>
          <w:rFonts w:ascii="宋体" w:hAnsi="宋体" w:cs="宋体"/>
          <w:sz w:val="28"/>
          <w:szCs w:val="28"/>
        </w:rPr>
        <w:t>2008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16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注册地：内蒙古自治区鄂尔多斯市达拉特旗三晌梁工业园区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法定代表人：杨贵州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注册资本：人民币153335.2568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主营业务：危险化学品生产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热力生产和供应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基础化学原料制造（不含危险化学品等许可类化学品的制造）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合成材料制造（不含危险化学品）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以自有资金从事投资活动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技术服务、技术开发、技术咨询、技术交流、技术转让、技术推广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工程和技术研究和试验发展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污水处理及其再生利用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股东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情况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兖矿能源全资子公司兖矿能源（鄂尔多斯）有限公司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持股100%。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截止2024年9月30日，总资产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41.04亿元，负债总额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24.69亿元，净资产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16.35亿元。2024年前三季度实现营业收入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41.44亿元，净利润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0.68亿元。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对公司的影响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高端化工是公司主业之一，荣信化工是公司在陕蒙基地布局的重要煤化工产业园区，目前</w:t>
      </w:r>
      <w:r>
        <w:rPr>
          <w:rFonts w:hint="eastAsia" w:ascii="宋体" w:hAnsi="宋体" w:eastAsia="宋体" w:cs="宋体"/>
          <w:sz w:val="28"/>
          <w:szCs w:val="28"/>
        </w:rPr>
        <w:t>具备年产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0万吨甲醇、乙二醇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及其他副产品</w:t>
      </w:r>
      <w:r>
        <w:rPr>
          <w:rFonts w:hint="eastAsia" w:ascii="宋体" w:hAnsi="宋体" w:eastAsia="宋体" w:cs="宋体"/>
          <w:sz w:val="28"/>
          <w:szCs w:val="28"/>
        </w:rPr>
        <w:t>生产能力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公司依托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荣信化工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现有产业基础发展高端聚烯烃产业链，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打造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煤基化工新材料示范基地，完善公司发展布局，</w:t>
      </w:r>
      <w:r>
        <w:rPr>
          <w:rFonts w:hint="eastAsia" w:ascii="宋体" w:hAnsi="宋体" w:eastAsia="宋体" w:cs="宋体"/>
          <w:sz w:val="28"/>
          <w:szCs w:val="28"/>
        </w:rPr>
        <w:t>提高产品附加值和市场竞争力，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为公司未来发展奠定良好基础。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sz w:val="28"/>
          <w:szCs w:val="28"/>
        </w:rPr>
        <w:t>、风险提示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本次交易存在如下风险，敬请广大投资者注意投资风险。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（一）项目工程进度风险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虽然公司制订了相对细致的工程方案，但由于项目建设的复杂性，该项目工程依然面临进度不及预期的风险。公司将采取科学合理的方式进一步细化和夯实工程方案，有效控制工程进度与质量。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（二）项目收益不符合预期的风险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鉴于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项目决策是基于对相关产品价格、生产及运营相关成本及费用、投资总额与融资成本等多项基础指标的预测，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市场价格波动，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及相关基础指标的变化均可能影响项目收益。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公司将通过资源、区位优势降低生产成本，提升项目收益。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textAlignment w:val="auto"/>
        <w:rPr>
          <w:rFonts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jc w:val="righ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兖矿能源集团股份有限公司董事会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/>
        <w:jc w:val="right"/>
        <w:textAlignment w:val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2024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5902020"/>
    </w:sdtPr>
    <w:sdtEndPr>
      <w:rPr>
        <w:rFonts w:ascii="Times New Roman" w:hAnsi="Times New Roman"/>
      </w:rPr>
    </w:sdtEndPr>
    <w:sdtContent>
      <w:p>
        <w:pPr>
          <w:pStyle w:val="1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C137C"/>
    <w:multiLevelType w:val="multilevel"/>
    <w:tmpl w:val="0A6C137C"/>
    <w:lvl w:ilvl="0" w:tentative="0">
      <w:start w:val="1"/>
      <w:numFmt w:val="bullet"/>
      <w:lvlText w:val="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0149ca74-3e6a-4ef7-907f-d23a373e5600"/>
    <w:docVar w:name="OfficeIni" w:val="Shanghai - ENGLISH.ini"/>
  </w:docVars>
  <w:rsids>
    <w:rsidRoot w:val="00027DDB"/>
    <w:rsid w:val="00000B0C"/>
    <w:rsid w:val="00005BC7"/>
    <w:rsid w:val="00007598"/>
    <w:rsid w:val="0001102C"/>
    <w:rsid w:val="000147BF"/>
    <w:rsid w:val="00016085"/>
    <w:rsid w:val="00022EB6"/>
    <w:rsid w:val="00023532"/>
    <w:rsid w:val="000278B8"/>
    <w:rsid w:val="00027DDB"/>
    <w:rsid w:val="000369B0"/>
    <w:rsid w:val="00040CA4"/>
    <w:rsid w:val="0004267D"/>
    <w:rsid w:val="000563D5"/>
    <w:rsid w:val="00056695"/>
    <w:rsid w:val="000574EB"/>
    <w:rsid w:val="00061F7A"/>
    <w:rsid w:val="000652F2"/>
    <w:rsid w:val="000720AF"/>
    <w:rsid w:val="00080264"/>
    <w:rsid w:val="000826C5"/>
    <w:rsid w:val="00083F6D"/>
    <w:rsid w:val="000878B2"/>
    <w:rsid w:val="00090A47"/>
    <w:rsid w:val="00094429"/>
    <w:rsid w:val="000946D7"/>
    <w:rsid w:val="00095962"/>
    <w:rsid w:val="00095DF1"/>
    <w:rsid w:val="000A6365"/>
    <w:rsid w:val="000A674F"/>
    <w:rsid w:val="000C3079"/>
    <w:rsid w:val="000D0856"/>
    <w:rsid w:val="000D5094"/>
    <w:rsid w:val="000E1DCC"/>
    <w:rsid w:val="000E3D3F"/>
    <w:rsid w:val="000E407E"/>
    <w:rsid w:val="000F0420"/>
    <w:rsid w:val="000F21F0"/>
    <w:rsid w:val="00110F02"/>
    <w:rsid w:val="00114681"/>
    <w:rsid w:val="001149BD"/>
    <w:rsid w:val="00114A4B"/>
    <w:rsid w:val="00114FD7"/>
    <w:rsid w:val="00123D09"/>
    <w:rsid w:val="00130C34"/>
    <w:rsid w:val="00132AF5"/>
    <w:rsid w:val="00141AF1"/>
    <w:rsid w:val="001460E6"/>
    <w:rsid w:val="00155A79"/>
    <w:rsid w:val="00165427"/>
    <w:rsid w:val="00173751"/>
    <w:rsid w:val="001748F5"/>
    <w:rsid w:val="00176429"/>
    <w:rsid w:val="00183B51"/>
    <w:rsid w:val="00184C6B"/>
    <w:rsid w:val="001860DD"/>
    <w:rsid w:val="001A41A2"/>
    <w:rsid w:val="001A652C"/>
    <w:rsid w:val="001B1AD1"/>
    <w:rsid w:val="001B1C1D"/>
    <w:rsid w:val="001B4FD2"/>
    <w:rsid w:val="001E4254"/>
    <w:rsid w:val="001E65EA"/>
    <w:rsid w:val="001E6F91"/>
    <w:rsid w:val="001E7894"/>
    <w:rsid w:val="00206695"/>
    <w:rsid w:val="00216C5E"/>
    <w:rsid w:val="002210C4"/>
    <w:rsid w:val="002232B9"/>
    <w:rsid w:val="0023590C"/>
    <w:rsid w:val="00235A55"/>
    <w:rsid w:val="00236F4F"/>
    <w:rsid w:val="0024011C"/>
    <w:rsid w:val="00242381"/>
    <w:rsid w:val="00242AD7"/>
    <w:rsid w:val="00245CF3"/>
    <w:rsid w:val="0025230E"/>
    <w:rsid w:val="0025405C"/>
    <w:rsid w:val="00255970"/>
    <w:rsid w:val="00255FC7"/>
    <w:rsid w:val="00256A0A"/>
    <w:rsid w:val="00265B86"/>
    <w:rsid w:val="00275246"/>
    <w:rsid w:val="00275B58"/>
    <w:rsid w:val="0027728F"/>
    <w:rsid w:val="002804DF"/>
    <w:rsid w:val="002805B4"/>
    <w:rsid w:val="00280DB9"/>
    <w:rsid w:val="00296C3C"/>
    <w:rsid w:val="00297DBF"/>
    <w:rsid w:val="002B2906"/>
    <w:rsid w:val="002B47A9"/>
    <w:rsid w:val="002C00CD"/>
    <w:rsid w:val="002C1870"/>
    <w:rsid w:val="002C4708"/>
    <w:rsid w:val="002C534C"/>
    <w:rsid w:val="002C59AF"/>
    <w:rsid w:val="002D29B5"/>
    <w:rsid w:val="002D375E"/>
    <w:rsid w:val="002F7381"/>
    <w:rsid w:val="00301FFA"/>
    <w:rsid w:val="00306A3E"/>
    <w:rsid w:val="00310F9F"/>
    <w:rsid w:val="003212D6"/>
    <w:rsid w:val="0032557C"/>
    <w:rsid w:val="00327B34"/>
    <w:rsid w:val="00330635"/>
    <w:rsid w:val="003315DB"/>
    <w:rsid w:val="00340963"/>
    <w:rsid w:val="00342F9C"/>
    <w:rsid w:val="00343E6D"/>
    <w:rsid w:val="00350329"/>
    <w:rsid w:val="003509E9"/>
    <w:rsid w:val="00350F66"/>
    <w:rsid w:val="00357818"/>
    <w:rsid w:val="00361B0D"/>
    <w:rsid w:val="00364721"/>
    <w:rsid w:val="00370CE6"/>
    <w:rsid w:val="00373B1F"/>
    <w:rsid w:val="0037598A"/>
    <w:rsid w:val="00375EA2"/>
    <w:rsid w:val="003936D6"/>
    <w:rsid w:val="0039669E"/>
    <w:rsid w:val="003978EC"/>
    <w:rsid w:val="00397CA0"/>
    <w:rsid w:val="003A2685"/>
    <w:rsid w:val="003A51AC"/>
    <w:rsid w:val="003B110B"/>
    <w:rsid w:val="003B1B7C"/>
    <w:rsid w:val="003C2702"/>
    <w:rsid w:val="003C35BF"/>
    <w:rsid w:val="003C3F1D"/>
    <w:rsid w:val="003C5642"/>
    <w:rsid w:val="003D7D75"/>
    <w:rsid w:val="003E1788"/>
    <w:rsid w:val="003F4338"/>
    <w:rsid w:val="004128BB"/>
    <w:rsid w:val="00417D19"/>
    <w:rsid w:val="004201B9"/>
    <w:rsid w:val="004378F8"/>
    <w:rsid w:val="00446335"/>
    <w:rsid w:val="00447805"/>
    <w:rsid w:val="00450E1A"/>
    <w:rsid w:val="00482F5E"/>
    <w:rsid w:val="004838C5"/>
    <w:rsid w:val="00483E41"/>
    <w:rsid w:val="0049269D"/>
    <w:rsid w:val="0049289B"/>
    <w:rsid w:val="004941F0"/>
    <w:rsid w:val="00497D57"/>
    <w:rsid w:val="004A3D6A"/>
    <w:rsid w:val="004B01B5"/>
    <w:rsid w:val="004B0C97"/>
    <w:rsid w:val="004C02A2"/>
    <w:rsid w:val="004C4B26"/>
    <w:rsid w:val="004C698B"/>
    <w:rsid w:val="004D1824"/>
    <w:rsid w:val="004D301C"/>
    <w:rsid w:val="004D68A0"/>
    <w:rsid w:val="004D73D9"/>
    <w:rsid w:val="004E05D4"/>
    <w:rsid w:val="004E4B68"/>
    <w:rsid w:val="004E6B40"/>
    <w:rsid w:val="005068E4"/>
    <w:rsid w:val="00516A45"/>
    <w:rsid w:val="00527FD3"/>
    <w:rsid w:val="00534054"/>
    <w:rsid w:val="00540C52"/>
    <w:rsid w:val="0054232F"/>
    <w:rsid w:val="00560463"/>
    <w:rsid w:val="00573425"/>
    <w:rsid w:val="00584420"/>
    <w:rsid w:val="00592AA1"/>
    <w:rsid w:val="00592FE4"/>
    <w:rsid w:val="00596646"/>
    <w:rsid w:val="005B15D4"/>
    <w:rsid w:val="005B714C"/>
    <w:rsid w:val="005C4718"/>
    <w:rsid w:val="005D411A"/>
    <w:rsid w:val="005E28F3"/>
    <w:rsid w:val="005F1072"/>
    <w:rsid w:val="005F4CEA"/>
    <w:rsid w:val="006008F4"/>
    <w:rsid w:val="0060573E"/>
    <w:rsid w:val="00606928"/>
    <w:rsid w:val="0061446F"/>
    <w:rsid w:val="0061579B"/>
    <w:rsid w:val="00621A0A"/>
    <w:rsid w:val="00622394"/>
    <w:rsid w:val="0062245E"/>
    <w:rsid w:val="00626452"/>
    <w:rsid w:val="00631F77"/>
    <w:rsid w:val="006330B2"/>
    <w:rsid w:val="00641DFE"/>
    <w:rsid w:val="00657943"/>
    <w:rsid w:val="00662F9A"/>
    <w:rsid w:val="00665A83"/>
    <w:rsid w:val="006727BE"/>
    <w:rsid w:val="006741FC"/>
    <w:rsid w:val="006752CE"/>
    <w:rsid w:val="00687297"/>
    <w:rsid w:val="00687986"/>
    <w:rsid w:val="00693FE3"/>
    <w:rsid w:val="006969A5"/>
    <w:rsid w:val="006A0F56"/>
    <w:rsid w:val="006B54BF"/>
    <w:rsid w:val="006C2EE9"/>
    <w:rsid w:val="006C31AB"/>
    <w:rsid w:val="006D53BD"/>
    <w:rsid w:val="006D57BB"/>
    <w:rsid w:val="006E27F1"/>
    <w:rsid w:val="006E28EB"/>
    <w:rsid w:val="006E34CF"/>
    <w:rsid w:val="006E6BEA"/>
    <w:rsid w:val="006E7DFB"/>
    <w:rsid w:val="006F42F0"/>
    <w:rsid w:val="006F659C"/>
    <w:rsid w:val="00702EF2"/>
    <w:rsid w:val="00706FAA"/>
    <w:rsid w:val="00707722"/>
    <w:rsid w:val="007152D9"/>
    <w:rsid w:val="00723F10"/>
    <w:rsid w:val="00725B28"/>
    <w:rsid w:val="00726863"/>
    <w:rsid w:val="007307E5"/>
    <w:rsid w:val="00734976"/>
    <w:rsid w:val="00747F87"/>
    <w:rsid w:val="00750269"/>
    <w:rsid w:val="0075278D"/>
    <w:rsid w:val="0076323D"/>
    <w:rsid w:val="007638D5"/>
    <w:rsid w:val="00775205"/>
    <w:rsid w:val="00791280"/>
    <w:rsid w:val="007974C8"/>
    <w:rsid w:val="007A46ED"/>
    <w:rsid w:val="007A52AA"/>
    <w:rsid w:val="007B0A5C"/>
    <w:rsid w:val="007B4257"/>
    <w:rsid w:val="007B6F21"/>
    <w:rsid w:val="007C046F"/>
    <w:rsid w:val="007C5A49"/>
    <w:rsid w:val="007C7512"/>
    <w:rsid w:val="007D3DBF"/>
    <w:rsid w:val="007D6183"/>
    <w:rsid w:val="007E7650"/>
    <w:rsid w:val="007F0635"/>
    <w:rsid w:val="007F20CD"/>
    <w:rsid w:val="007F4504"/>
    <w:rsid w:val="007F7341"/>
    <w:rsid w:val="0081395D"/>
    <w:rsid w:val="0081547E"/>
    <w:rsid w:val="00816CB9"/>
    <w:rsid w:val="00817073"/>
    <w:rsid w:val="00821A71"/>
    <w:rsid w:val="00830CC1"/>
    <w:rsid w:val="0083247C"/>
    <w:rsid w:val="00834887"/>
    <w:rsid w:val="0083585D"/>
    <w:rsid w:val="0083758E"/>
    <w:rsid w:val="0084205A"/>
    <w:rsid w:val="0084495B"/>
    <w:rsid w:val="00850A2A"/>
    <w:rsid w:val="00864E17"/>
    <w:rsid w:val="00871191"/>
    <w:rsid w:val="00876070"/>
    <w:rsid w:val="00881593"/>
    <w:rsid w:val="008B5DAC"/>
    <w:rsid w:val="008B675A"/>
    <w:rsid w:val="008B7088"/>
    <w:rsid w:val="008C73BF"/>
    <w:rsid w:val="008D149B"/>
    <w:rsid w:val="008D6A57"/>
    <w:rsid w:val="008D71F1"/>
    <w:rsid w:val="008E0812"/>
    <w:rsid w:val="008F2855"/>
    <w:rsid w:val="008F4232"/>
    <w:rsid w:val="009079A6"/>
    <w:rsid w:val="00911F3E"/>
    <w:rsid w:val="009202EE"/>
    <w:rsid w:val="009217CA"/>
    <w:rsid w:val="009310D5"/>
    <w:rsid w:val="00932D6C"/>
    <w:rsid w:val="00937DBA"/>
    <w:rsid w:val="0094159E"/>
    <w:rsid w:val="00944EFB"/>
    <w:rsid w:val="00953DC3"/>
    <w:rsid w:val="00954660"/>
    <w:rsid w:val="009558F2"/>
    <w:rsid w:val="00967EB1"/>
    <w:rsid w:val="009750D1"/>
    <w:rsid w:val="00975346"/>
    <w:rsid w:val="00975883"/>
    <w:rsid w:val="00985519"/>
    <w:rsid w:val="009A3D00"/>
    <w:rsid w:val="009A60C3"/>
    <w:rsid w:val="009A6D5B"/>
    <w:rsid w:val="009B2B5C"/>
    <w:rsid w:val="009B69BA"/>
    <w:rsid w:val="009B770B"/>
    <w:rsid w:val="009C12C5"/>
    <w:rsid w:val="009C6E0E"/>
    <w:rsid w:val="009D6FC4"/>
    <w:rsid w:val="009E115F"/>
    <w:rsid w:val="009E2F33"/>
    <w:rsid w:val="009E3889"/>
    <w:rsid w:val="009F1D5F"/>
    <w:rsid w:val="009F565D"/>
    <w:rsid w:val="00A007B3"/>
    <w:rsid w:val="00A0139A"/>
    <w:rsid w:val="00A01585"/>
    <w:rsid w:val="00A038DA"/>
    <w:rsid w:val="00A13798"/>
    <w:rsid w:val="00A1519F"/>
    <w:rsid w:val="00A20A8B"/>
    <w:rsid w:val="00A212C5"/>
    <w:rsid w:val="00A21B54"/>
    <w:rsid w:val="00A2485C"/>
    <w:rsid w:val="00A34F80"/>
    <w:rsid w:val="00A36590"/>
    <w:rsid w:val="00A42324"/>
    <w:rsid w:val="00A44E7E"/>
    <w:rsid w:val="00A45F47"/>
    <w:rsid w:val="00A51175"/>
    <w:rsid w:val="00A55E7F"/>
    <w:rsid w:val="00A63F4F"/>
    <w:rsid w:val="00A650DC"/>
    <w:rsid w:val="00A6592E"/>
    <w:rsid w:val="00A70199"/>
    <w:rsid w:val="00A722FD"/>
    <w:rsid w:val="00A831D1"/>
    <w:rsid w:val="00A83D09"/>
    <w:rsid w:val="00A906CA"/>
    <w:rsid w:val="00AA012C"/>
    <w:rsid w:val="00AA4EDD"/>
    <w:rsid w:val="00AA5A1A"/>
    <w:rsid w:val="00AB03AB"/>
    <w:rsid w:val="00AB0FDE"/>
    <w:rsid w:val="00AB7B10"/>
    <w:rsid w:val="00AC0EAD"/>
    <w:rsid w:val="00AE3ACF"/>
    <w:rsid w:val="00AF20A7"/>
    <w:rsid w:val="00AF3162"/>
    <w:rsid w:val="00AF5D74"/>
    <w:rsid w:val="00AF6348"/>
    <w:rsid w:val="00AF7802"/>
    <w:rsid w:val="00B06F0B"/>
    <w:rsid w:val="00B16830"/>
    <w:rsid w:val="00B2612F"/>
    <w:rsid w:val="00B358A1"/>
    <w:rsid w:val="00B374C6"/>
    <w:rsid w:val="00B443A2"/>
    <w:rsid w:val="00B70E37"/>
    <w:rsid w:val="00B7340A"/>
    <w:rsid w:val="00B81A5B"/>
    <w:rsid w:val="00B97198"/>
    <w:rsid w:val="00BA50D5"/>
    <w:rsid w:val="00BA7245"/>
    <w:rsid w:val="00BB114E"/>
    <w:rsid w:val="00BB753D"/>
    <w:rsid w:val="00BC691A"/>
    <w:rsid w:val="00BC7648"/>
    <w:rsid w:val="00BD138B"/>
    <w:rsid w:val="00BD2057"/>
    <w:rsid w:val="00BE00C4"/>
    <w:rsid w:val="00C02C5D"/>
    <w:rsid w:val="00C046F1"/>
    <w:rsid w:val="00C06A99"/>
    <w:rsid w:val="00C23C21"/>
    <w:rsid w:val="00C25EA7"/>
    <w:rsid w:val="00C26987"/>
    <w:rsid w:val="00C26E96"/>
    <w:rsid w:val="00C27EA2"/>
    <w:rsid w:val="00C40904"/>
    <w:rsid w:val="00C47776"/>
    <w:rsid w:val="00C50F0E"/>
    <w:rsid w:val="00C610E7"/>
    <w:rsid w:val="00C6681D"/>
    <w:rsid w:val="00C71BEF"/>
    <w:rsid w:val="00C90349"/>
    <w:rsid w:val="00CA0C2F"/>
    <w:rsid w:val="00CA79BE"/>
    <w:rsid w:val="00CC0BD2"/>
    <w:rsid w:val="00CC6654"/>
    <w:rsid w:val="00CC6C9F"/>
    <w:rsid w:val="00CD299B"/>
    <w:rsid w:val="00CE0F76"/>
    <w:rsid w:val="00CE60A2"/>
    <w:rsid w:val="00CF0A68"/>
    <w:rsid w:val="00CF1358"/>
    <w:rsid w:val="00CF70E1"/>
    <w:rsid w:val="00D156DC"/>
    <w:rsid w:val="00D36D91"/>
    <w:rsid w:val="00D4384A"/>
    <w:rsid w:val="00D44849"/>
    <w:rsid w:val="00D45517"/>
    <w:rsid w:val="00D54865"/>
    <w:rsid w:val="00D6281F"/>
    <w:rsid w:val="00D711C0"/>
    <w:rsid w:val="00D71821"/>
    <w:rsid w:val="00D7204A"/>
    <w:rsid w:val="00D75562"/>
    <w:rsid w:val="00D767DD"/>
    <w:rsid w:val="00D80809"/>
    <w:rsid w:val="00D81645"/>
    <w:rsid w:val="00D96B31"/>
    <w:rsid w:val="00D973DB"/>
    <w:rsid w:val="00DB30D4"/>
    <w:rsid w:val="00DB3A5B"/>
    <w:rsid w:val="00DB57AF"/>
    <w:rsid w:val="00DB7C9B"/>
    <w:rsid w:val="00DC153F"/>
    <w:rsid w:val="00DC5BDF"/>
    <w:rsid w:val="00DD23F2"/>
    <w:rsid w:val="00DD6653"/>
    <w:rsid w:val="00DF1247"/>
    <w:rsid w:val="00E00822"/>
    <w:rsid w:val="00E014E6"/>
    <w:rsid w:val="00E064C8"/>
    <w:rsid w:val="00E06DAB"/>
    <w:rsid w:val="00E13645"/>
    <w:rsid w:val="00E14183"/>
    <w:rsid w:val="00E15D51"/>
    <w:rsid w:val="00E27B88"/>
    <w:rsid w:val="00E334B1"/>
    <w:rsid w:val="00E3536A"/>
    <w:rsid w:val="00E40468"/>
    <w:rsid w:val="00E44BA3"/>
    <w:rsid w:val="00E545E3"/>
    <w:rsid w:val="00E62597"/>
    <w:rsid w:val="00E751D9"/>
    <w:rsid w:val="00E77DBB"/>
    <w:rsid w:val="00E83991"/>
    <w:rsid w:val="00E85503"/>
    <w:rsid w:val="00E8783E"/>
    <w:rsid w:val="00E87E46"/>
    <w:rsid w:val="00E87ED1"/>
    <w:rsid w:val="00EA3164"/>
    <w:rsid w:val="00EB6D33"/>
    <w:rsid w:val="00EC2284"/>
    <w:rsid w:val="00EC67D7"/>
    <w:rsid w:val="00ED70B6"/>
    <w:rsid w:val="00EE1F3A"/>
    <w:rsid w:val="00EF2042"/>
    <w:rsid w:val="00EF6CED"/>
    <w:rsid w:val="00F041D5"/>
    <w:rsid w:val="00F13724"/>
    <w:rsid w:val="00F20694"/>
    <w:rsid w:val="00F21D57"/>
    <w:rsid w:val="00F25E9A"/>
    <w:rsid w:val="00F5040F"/>
    <w:rsid w:val="00F5272F"/>
    <w:rsid w:val="00F56B30"/>
    <w:rsid w:val="00F7644F"/>
    <w:rsid w:val="00F910E4"/>
    <w:rsid w:val="00FA5BB5"/>
    <w:rsid w:val="00FA6377"/>
    <w:rsid w:val="00FB1B7D"/>
    <w:rsid w:val="00FB24B6"/>
    <w:rsid w:val="00FB4D87"/>
    <w:rsid w:val="00FC1DDE"/>
    <w:rsid w:val="00FC1E60"/>
    <w:rsid w:val="00FD1F04"/>
    <w:rsid w:val="00FD2B7C"/>
    <w:rsid w:val="00FD7406"/>
    <w:rsid w:val="00FE774F"/>
    <w:rsid w:val="00FF13F3"/>
    <w:rsid w:val="00FF14C7"/>
    <w:rsid w:val="06162584"/>
    <w:rsid w:val="0A8F7AAE"/>
    <w:rsid w:val="0BEF2344"/>
    <w:rsid w:val="0D274D36"/>
    <w:rsid w:val="0DF04072"/>
    <w:rsid w:val="0F92274A"/>
    <w:rsid w:val="10B7109D"/>
    <w:rsid w:val="147F2ECD"/>
    <w:rsid w:val="15483D4A"/>
    <w:rsid w:val="19DB1A47"/>
    <w:rsid w:val="1A184DD3"/>
    <w:rsid w:val="1EAC009D"/>
    <w:rsid w:val="20285E4C"/>
    <w:rsid w:val="242E71FF"/>
    <w:rsid w:val="26EC35C4"/>
    <w:rsid w:val="273D0EA9"/>
    <w:rsid w:val="2C817DED"/>
    <w:rsid w:val="2F1F332C"/>
    <w:rsid w:val="2FDB0363"/>
    <w:rsid w:val="30205610"/>
    <w:rsid w:val="313A31F0"/>
    <w:rsid w:val="322042DA"/>
    <w:rsid w:val="33335063"/>
    <w:rsid w:val="37EA4B67"/>
    <w:rsid w:val="415A7248"/>
    <w:rsid w:val="45880399"/>
    <w:rsid w:val="45C46D62"/>
    <w:rsid w:val="476763C5"/>
    <w:rsid w:val="48FB4818"/>
    <w:rsid w:val="49E474E8"/>
    <w:rsid w:val="49EE57D7"/>
    <w:rsid w:val="524B224A"/>
    <w:rsid w:val="59A04D0F"/>
    <w:rsid w:val="5DCA785F"/>
    <w:rsid w:val="64274585"/>
    <w:rsid w:val="653D3504"/>
    <w:rsid w:val="693806CA"/>
    <w:rsid w:val="6A6E66B9"/>
    <w:rsid w:val="6CCC7836"/>
    <w:rsid w:val="721B3847"/>
    <w:rsid w:val="746F6589"/>
    <w:rsid w:val="74FC1ABD"/>
    <w:rsid w:val="75126CF8"/>
    <w:rsid w:val="75547E76"/>
    <w:rsid w:val="76FB5EB8"/>
    <w:rsid w:val="7DFB791E"/>
    <w:rsid w:val="7E2113F7"/>
    <w:rsid w:val="7EC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qFormat/>
    <w:uiPriority w:val="0"/>
    <w:pPr>
      <w:adjustRightInd w:val="0"/>
      <w:ind w:firstLine="200" w:firstLineChars="200"/>
      <w:jc w:val="both"/>
    </w:pPr>
    <w:rPr>
      <w:rFonts w:ascii="Arial" w:hAnsi="Arial"/>
      <w:kern w:val="2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36" w:lineRule="auto"/>
      <w:ind w:firstLine="480" w:firstLineChars="200"/>
    </w:pPr>
    <w:rPr>
      <w:sz w:val="24"/>
      <w:szCs w:val="20"/>
    </w:rPr>
  </w:style>
  <w:style w:type="paragraph" w:styleId="4">
    <w:name w:val="header"/>
    <w:basedOn w:val="1"/>
    <w:next w:val="5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5"/>
    <w:basedOn w:val="6"/>
    <w:next w:val="8"/>
    <w:qFormat/>
    <w:uiPriority w:val="0"/>
    <w:pPr>
      <w:adjustRightInd w:val="0"/>
      <w:snapToGrid w:val="0"/>
      <w:spacing w:beforeLines="50" w:line="360" w:lineRule="auto"/>
      <w:jc w:val="center"/>
    </w:pPr>
    <w:rPr>
      <w:rFonts w:ascii="Times New Roman" w:hAnsi="Times New Roman" w:eastAsia="宋体" w:cs="Times New Roman"/>
      <w:b/>
      <w:color w:val="000000"/>
      <w:sz w:val="21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7">
    <w:name w:val="Date1"/>
    <w:basedOn w:val="1"/>
    <w:next w:val="1"/>
    <w:qFormat/>
    <w:uiPriority w:val="0"/>
    <w:rPr>
      <w:szCs w:val="20"/>
    </w:rPr>
  </w:style>
  <w:style w:type="paragraph" w:customStyle="1" w:styleId="8">
    <w:name w:val="图框文字"/>
    <w:basedOn w:val="1"/>
    <w:qFormat/>
    <w:uiPriority w:val="0"/>
    <w:pPr>
      <w:jc w:val="center"/>
      <w:textAlignment w:val="center"/>
    </w:pPr>
    <w:rPr>
      <w:rFonts w:ascii="Times New Roman" w:hAnsi="Times New Roman"/>
    </w:rPr>
  </w:style>
  <w:style w:type="paragraph" w:styleId="9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0">
    <w:name w:val="annotation text"/>
    <w:basedOn w:val="1"/>
    <w:link w:val="26"/>
    <w:unhideWhenUsed/>
    <w:qFormat/>
    <w:uiPriority w:val="99"/>
    <w:pPr>
      <w:jc w:val="left"/>
    </w:pPr>
  </w:style>
  <w:style w:type="paragraph" w:styleId="11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10"/>
    <w:next w:val="10"/>
    <w:link w:val="27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日期 字符"/>
    <w:basedOn w:val="18"/>
    <w:link w:val="11"/>
    <w:semiHidden/>
    <w:qFormat/>
    <w:uiPriority w:val="99"/>
    <w:rPr>
      <w:rFonts w:ascii="Calibri" w:hAnsi="Calibri" w:eastAsia="宋体" w:cs="Times New Roman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8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24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8"/>
    <w:link w:val="10"/>
    <w:qFormat/>
    <w:uiPriority w:val="99"/>
    <w:rPr>
      <w:rFonts w:ascii="Calibri" w:hAnsi="Calibri" w:eastAsia="宋体" w:cs="Times New Roman"/>
    </w:rPr>
  </w:style>
  <w:style w:type="character" w:customStyle="1" w:styleId="27">
    <w:name w:val="批注主题 字符"/>
    <w:basedOn w:val="26"/>
    <w:link w:val="15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8">
    <w:name w:val="批注框文本 字符"/>
    <w:basedOn w:val="18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修订8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9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Revision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1312</Words>
  <Characters>1418</Characters>
  <Lines>44</Lines>
  <Paragraphs>12</Paragraphs>
  <TotalTime>27</TotalTime>
  <ScaleCrop>false</ScaleCrop>
  <LinksUpToDate>false</LinksUpToDate>
  <CharactersWithSpaces>1444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2024-09-20T08:19:00Z</dcterms:created>
  <dc:creator>Microsoft</dc:creator>
  <cp:lastModifiedBy>YUANSU HU</cp:lastModifiedBy>
  <cp:lastPrinted>2024-10-25T03:07:00Z</cp:lastPrinted>
  <dcterms:modified xsi:type="dcterms:W3CDTF">2024-10-25T09:20:47Z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3F4EAA4B51494EE19B21F096EBEB655F_12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</vt:lpwstr>
  </property>
</Properties>
</file>