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560" w:lineRule="exact"/>
        <w:rPr>
          <w:rFonts w:hint="default" w:ascii="黑体" w:hAnsi="黑体" w:eastAsia="黑体" w:cs="黑体"/>
          <w:szCs w:val="21"/>
          <w:lang w:val="en-US" w:eastAsia="zh-CN"/>
        </w:rPr>
      </w:pPr>
      <w:r>
        <w:rPr>
          <w:rFonts w:hint="eastAsia" w:ascii="黑体" w:hAnsi="黑体" w:eastAsia="黑体" w:cs="黑体"/>
          <w:szCs w:val="21"/>
        </w:rPr>
        <w:t>股票代码：600188              股票简称：兖矿能源             编号：临 2024-</w:t>
      </w:r>
      <w:r>
        <w:rPr>
          <w:rFonts w:hint="eastAsia" w:ascii="黑体" w:hAnsi="黑体" w:eastAsia="黑体" w:cs="黑体"/>
          <w:szCs w:val="21"/>
          <w:lang w:val="en-US" w:eastAsia="zh-CN"/>
        </w:rPr>
        <w:t>073</w:t>
      </w:r>
    </w:p>
    <w:p>
      <w:pPr>
        <w:autoSpaceDE w:val="0"/>
        <w:autoSpaceDN w:val="0"/>
        <w:adjustRightInd w:val="0"/>
        <w:snapToGrid w:val="0"/>
        <w:spacing w:line="560" w:lineRule="exact"/>
        <w:ind w:firstLine="560" w:firstLineChars="200"/>
        <w:jc w:val="center"/>
        <w:rPr>
          <w:rFonts w:ascii="宋体" w:hAnsi="宋体" w:eastAsia="宋体" w:cs="宋体"/>
          <w:color w:val="000000"/>
          <w:sz w:val="28"/>
          <w:szCs w:val="28"/>
        </w:rPr>
      </w:pPr>
    </w:p>
    <w:p>
      <w:pPr>
        <w:adjustRightInd w:val="0"/>
        <w:snapToGrid w:val="0"/>
        <w:spacing w:line="560" w:lineRule="exact"/>
        <w:jc w:val="center"/>
        <w:rPr>
          <w:rFonts w:ascii="宋体" w:hAnsi="宋体" w:eastAsia="宋体" w:cs="宋体"/>
          <w:b/>
          <w:bCs/>
          <w:color w:val="FF0000"/>
          <w:sz w:val="36"/>
          <w:szCs w:val="36"/>
        </w:rPr>
      </w:pPr>
      <w:r>
        <w:rPr>
          <w:rFonts w:hint="eastAsia" w:ascii="宋体" w:hAnsi="宋体" w:eastAsia="宋体" w:cs="宋体"/>
          <w:b/>
          <w:bCs/>
          <w:color w:val="FF0000"/>
          <w:sz w:val="36"/>
          <w:szCs w:val="36"/>
        </w:rPr>
        <w:t>兖矿能源集团股份有限公司</w:t>
      </w:r>
    </w:p>
    <w:p>
      <w:pPr>
        <w:adjustRightInd w:val="0"/>
        <w:snapToGrid w:val="0"/>
        <w:spacing w:line="560" w:lineRule="exact"/>
        <w:jc w:val="center"/>
        <w:rPr>
          <w:rFonts w:ascii="宋体" w:hAnsi="宋体" w:eastAsia="宋体" w:cs="宋体"/>
          <w:b/>
          <w:bCs/>
          <w:color w:val="FF0000"/>
          <w:sz w:val="36"/>
          <w:szCs w:val="36"/>
        </w:rPr>
      </w:pPr>
      <w:r>
        <w:rPr>
          <w:rFonts w:hint="eastAsia" w:ascii="宋体" w:hAnsi="宋体" w:eastAsia="宋体" w:cs="宋体"/>
          <w:b/>
          <w:bCs/>
          <w:color w:val="FF0000"/>
          <w:sz w:val="36"/>
          <w:szCs w:val="36"/>
        </w:rPr>
        <w:t>关于并购物泊科技有限公司交易进展的公告</w:t>
      </w:r>
    </w:p>
    <w:p>
      <w:pPr>
        <w:snapToGrid w:val="0"/>
        <w:spacing w:line="560" w:lineRule="exact"/>
        <w:jc w:val="center"/>
        <w:rPr>
          <w:rFonts w:ascii="宋体" w:hAnsi="宋体" w:eastAsia="宋体" w:cs="宋体"/>
          <w:color w:val="000000"/>
          <w:sz w:val="28"/>
          <w:szCs w:val="28"/>
        </w:rPr>
      </w:pPr>
    </w:p>
    <w:p>
      <w:pPr>
        <w:pBdr>
          <w:top w:val="single" w:color="auto" w:sz="4" w:space="1"/>
          <w:left w:val="single" w:color="auto" w:sz="4" w:space="4"/>
          <w:bottom w:val="single" w:color="auto" w:sz="4" w:space="2"/>
          <w:right w:val="single" w:color="auto" w:sz="4" w:space="4"/>
        </w:pBdr>
        <w:adjustRightInd w:val="0"/>
        <w:spacing w:line="560" w:lineRule="exact"/>
        <w:rPr>
          <w:rFonts w:ascii="宋体" w:hAnsi="宋体" w:eastAsia="宋体" w:cs="宋体"/>
          <w:color w:val="000000"/>
          <w:sz w:val="28"/>
          <w:szCs w:val="28"/>
        </w:rPr>
      </w:pPr>
      <w:r>
        <w:rPr>
          <w:rFonts w:hint="eastAsia" w:ascii="宋体" w:hAnsi="宋体" w:eastAsia="宋体" w:cs="宋体"/>
          <w:color w:val="000000"/>
          <w:sz w:val="28"/>
          <w:szCs w:val="28"/>
        </w:rPr>
        <w:t xml:space="preserve">    本公司董事会及全体董事保证本公告内容不存在任何虚假记载、误导性陈述或者重大遗漏，并对其内容的真实性、准确性和完整性承担法律责任。</w:t>
      </w:r>
    </w:p>
    <w:p>
      <w:pPr>
        <w:pStyle w:val="10"/>
        <w:tabs>
          <w:tab w:val="left" w:pos="1260"/>
        </w:tabs>
        <w:adjustRightInd w:val="0"/>
        <w:snapToGrid w:val="0"/>
        <w:spacing w:line="560" w:lineRule="exact"/>
        <w:ind w:firstLine="560" w:firstLineChars="200"/>
        <w:jc w:val="both"/>
        <w:rPr>
          <w:color w:val="000000"/>
          <w:sz w:val="28"/>
          <w:szCs w:val="28"/>
        </w:rPr>
      </w:pPr>
      <w:r>
        <w:rPr>
          <w:rFonts w:hint="eastAsia"/>
          <w:color w:val="000000"/>
          <w:sz w:val="28"/>
          <w:szCs w:val="28"/>
        </w:rPr>
        <w:t>经兖矿能源集团股份有限公司（“公司”）第九届董事会第八次会议审议批准，公司以现金出资人民币1,554,545,455元认</w:t>
      </w:r>
      <w:r>
        <w:rPr>
          <w:rFonts w:hint="eastAsia"/>
          <w:color w:val="000000"/>
          <w:sz w:val="28"/>
          <w:szCs w:val="28"/>
          <w:lang w:val="en-US" w:eastAsia="zh-CN"/>
        </w:rPr>
        <w:t>购</w:t>
      </w:r>
      <w:r>
        <w:rPr>
          <w:rFonts w:hint="eastAsia"/>
          <w:color w:val="000000"/>
          <w:sz w:val="28"/>
          <w:szCs w:val="28"/>
        </w:rPr>
        <w:t>物泊科技有限公司（“目标公司”）新增注册资本</w:t>
      </w:r>
      <w:r>
        <w:rPr>
          <w:rFonts w:hint="eastAsia"/>
          <w:color w:val="000000"/>
          <w:sz w:val="28"/>
          <w:szCs w:val="28"/>
          <w:lang w:val="en-US" w:eastAsia="zh-CN"/>
        </w:rPr>
        <w:t>的</w:t>
      </w:r>
      <w:bookmarkStart w:id="0" w:name="_GoBack"/>
      <w:bookmarkEnd w:id="0"/>
      <w:r>
        <w:rPr>
          <w:rFonts w:hint="eastAsia"/>
          <w:color w:val="000000"/>
          <w:sz w:val="28"/>
          <w:szCs w:val="28"/>
        </w:rPr>
        <w:t>方式，取得目标公司45%的股权。同时，目标公司原股东福建东沃投资中心（有限合伙）及福建东创投资中心（有限合伙）分别将其所持有的全部目标公司股权（合计6.32%）所对应的全部表决权独家、无条件且不可撤销地全权授予公司，使得本次交易完成后公司可行使的表决权占目标公司全部实缴出资的51.32%，实现公司获得目标公司控制权（“本次交易”）。</w:t>
      </w:r>
    </w:p>
    <w:p>
      <w:pPr>
        <w:pStyle w:val="10"/>
        <w:tabs>
          <w:tab w:val="left" w:pos="1260"/>
        </w:tabs>
        <w:adjustRightInd w:val="0"/>
        <w:snapToGrid w:val="0"/>
        <w:spacing w:line="560" w:lineRule="exact"/>
        <w:ind w:firstLine="560" w:firstLineChars="200"/>
        <w:jc w:val="both"/>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有关详情请参见公司日期为2024年5月31日的关于并购物泊科技有限公司的公告、第九届董事会第八次会议决议公告。该等资料刊载于上海证券交易所网站、香港联合交易所有限公司网站、公司网站及/或《中国证券报》《上海证券报》《证券时报》《证券日报》。</w:t>
      </w:r>
    </w:p>
    <w:p>
      <w:pPr>
        <w:pStyle w:val="10"/>
        <w:tabs>
          <w:tab w:val="left" w:pos="1260"/>
        </w:tabs>
        <w:adjustRightInd w:val="0"/>
        <w:snapToGrid w:val="0"/>
        <w:spacing w:line="560" w:lineRule="exact"/>
        <w:ind w:firstLine="560" w:firstLineChars="200"/>
        <w:jc w:val="both"/>
        <w:rPr>
          <w:color w:val="000000"/>
          <w:sz w:val="28"/>
          <w:szCs w:val="28"/>
        </w:rPr>
      </w:pPr>
      <w:r>
        <w:rPr>
          <w:rFonts w:hint="eastAsia"/>
          <w:color w:val="000000"/>
          <w:sz w:val="28"/>
          <w:szCs w:val="28"/>
        </w:rPr>
        <w:t>截至本公告披露日，《增资协议》已生效，本次交易各方已经按照协议约定办理完毕交割手续。2024年</w:t>
      </w:r>
      <w:r>
        <w:rPr>
          <w:rFonts w:hint="eastAsia"/>
          <w:color w:val="000000"/>
          <w:sz w:val="28"/>
          <w:szCs w:val="28"/>
          <w:lang w:val="en-US" w:eastAsia="zh-CN"/>
        </w:rPr>
        <w:t>10</w:t>
      </w:r>
      <w:r>
        <w:rPr>
          <w:rFonts w:hint="eastAsia"/>
          <w:color w:val="000000"/>
          <w:sz w:val="28"/>
          <w:szCs w:val="28"/>
        </w:rPr>
        <w:t>月</w:t>
      </w:r>
      <w:r>
        <w:rPr>
          <w:rFonts w:hint="eastAsia"/>
          <w:color w:val="000000"/>
          <w:sz w:val="28"/>
          <w:szCs w:val="28"/>
          <w:lang w:val="en-US" w:eastAsia="zh-CN"/>
        </w:rPr>
        <w:t>24</w:t>
      </w:r>
      <w:r>
        <w:rPr>
          <w:rFonts w:hint="eastAsia"/>
          <w:color w:val="000000"/>
          <w:sz w:val="28"/>
          <w:szCs w:val="28"/>
        </w:rPr>
        <w:t>日，目标公司已经办理完毕工商变更/备案登记手续，公司获得目标公司45%股权及6.32%受托表决权。</w:t>
      </w:r>
    </w:p>
    <w:p>
      <w:pPr>
        <w:pStyle w:val="10"/>
        <w:tabs>
          <w:tab w:val="left" w:pos="1260"/>
        </w:tabs>
        <w:adjustRightInd w:val="0"/>
        <w:snapToGrid w:val="0"/>
        <w:spacing w:line="560" w:lineRule="exact"/>
        <w:ind w:firstLine="560" w:firstLineChars="200"/>
        <w:jc w:val="both"/>
        <w:rPr>
          <w:color w:val="000000"/>
          <w:sz w:val="28"/>
          <w:szCs w:val="28"/>
        </w:rPr>
      </w:pPr>
      <w:r>
        <w:rPr>
          <w:rFonts w:hint="eastAsia"/>
          <w:color w:val="000000"/>
          <w:sz w:val="28"/>
          <w:szCs w:val="28"/>
        </w:rPr>
        <w:t>本次交易有利于延伸公司“实体物流+平台”发展模式，完善“产销储配送”物流体系，加速智慧物流产业数字化转型，提升公司智慧物流产业竞争实力和发展速度。</w:t>
      </w:r>
    </w:p>
    <w:p>
      <w:pPr>
        <w:tabs>
          <w:tab w:val="left" w:pos="540"/>
          <w:tab w:val="left" w:pos="900"/>
        </w:tabs>
        <w:adjustRightInd w:val="0"/>
        <w:snapToGrid w:val="0"/>
        <w:spacing w:line="560" w:lineRule="exact"/>
        <w:ind w:firstLine="560" w:firstLineChars="200"/>
        <w:rPr>
          <w:rFonts w:ascii="宋体" w:hAnsi="宋体" w:eastAsia="宋体" w:cs="宋体"/>
          <w:bCs/>
          <w:sz w:val="28"/>
          <w:szCs w:val="28"/>
        </w:rPr>
      </w:pPr>
      <w:r>
        <w:rPr>
          <w:rFonts w:hint="eastAsia" w:ascii="宋体" w:hAnsi="宋体" w:eastAsia="宋体" w:cs="宋体"/>
          <w:bCs/>
          <w:sz w:val="28"/>
          <w:szCs w:val="28"/>
        </w:rPr>
        <w:t>特此公告。</w:t>
      </w:r>
    </w:p>
    <w:p>
      <w:pPr>
        <w:adjustRightInd w:val="0"/>
        <w:snapToGrid w:val="0"/>
        <w:spacing w:line="560" w:lineRule="exact"/>
        <w:ind w:firstLine="560" w:firstLineChars="200"/>
        <w:rPr>
          <w:rFonts w:ascii="宋体" w:hAnsi="宋体" w:eastAsia="宋体" w:cs="宋体"/>
          <w:color w:val="676767"/>
          <w:sz w:val="28"/>
          <w:szCs w:val="28"/>
        </w:rPr>
      </w:pPr>
    </w:p>
    <w:p>
      <w:pPr>
        <w:autoSpaceDE w:val="0"/>
        <w:autoSpaceDN w:val="0"/>
        <w:adjustRightInd w:val="0"/>
        <w:spacing w:line="560" w:lineRule="exact"/>
        <w:jc w:val="right"/>
        <w:rPr>
          <w:rFonts w:ascii="宋体" w:hAnsi="宋体" w:eastAsia="宋体" w:cs="宋体"/>
          <w:color w:val="000000"/>
          <w:kern w:val="0"/>
          <w:sz w:val="28"/>
          <w:szCs w:val="28"/>
        </w:rPr>
      </w:pPr>
      <w:r>
        <w:rPr>
          <w:rFonts w:hint="eastAsia" w:ascii="宋体" w:hAnsi="宋体" w:eastAsia="宋体" w:cs="宋体"/>
          <w:color w:val="000000"/>
          <w:kern w:val="0"/>
          <w:sz w:val="28"/>
          <w:szCs w:val="28"/>
        </w:rPr>
        <w:t>兖矿能源集团股份有限公司董事会</w:t>
      </w:r>
    </w:p>
    <w:p>
      <w:pPr>
        <w:tabs>
          <w:tab w:val="left" w:pos="540"/>
          <w:tab w:val="left" w:pos="900"/>
        </w:tabs>
        <w:adjustRightInd w:val="0"/>
        <w:snapToGrid w:val="0"/>
        <w:spacing w:line="560" w:lineRule="exact"/>
        <w:ind w:firstLine="560" w:firstLineChars="200"/>
        <w:jc w:val="right"/>
        <w:rPr>
          <w:rFonts w:ascii="仿宋" w:hAnsi="仿宋" w:eastAsia="仿宋"/>
          <w:bCs/>
          <w:sz w:val="30"/>
          <w:szCs w:val="30"/>
        </w:rPr>
      </w:pPr>
      <w:r>
        <w:rPr>
          <w:rFonts w:hint="eastAsia" w:ascii="宋体" w:hAnsi="宋体" w:eastAsia="宋体" w:cs="宋体"/>
          <w:bCs/>
          <w:sz w:val="28"/>
          <w:szCs w:val="28"/>
        </w:rPr>
        <w:t>2024年</w:t>
      </w:r>
      <w:r>
        <w:rPr>
          <w:rFonts w:hint="eastAsia" w:ascii="宋体" w:hAnsi="宋体" w:eastAsia="宋体" w:cs="宋体"/>
          <w:bCs w:val="0"/>
          <w:color w:val="000000"/>
          <w:kern w:val="0"/>
          <w:sz w:val="28"/>
          <w:szCs w:val="28"/>
          <w:lang w:val="en-US" w:eastAsia="zh-CN"/>
        </w:rPr>
        <w:t>10</w:t>
      </w:r>
      <w:r>
        <w:rPr>
          <w:rFonts w:hint="eastAsia" w:ascii="宋体" w:hAnsi="宋体" w:eastAsia="宋体" w:cs="宋体"/>
          <w:bCs/>
          <w:sz w:val="28"/>
          <w:szCs w:val="28"/>
        </w:rPr>
        <w:t>月</w:t>
      </w:r>
      <w:r>
        <w:rPr>
          <w:rFonts w:hint="eastAsia" w:ascii="宋体" w:hAnsi="宋体" w:eastAsia="宋体" w:cs="宋体"/>
          <w:bCs/>
          <w:sz w:val="28"/>
          <w:szCs w:val="28"/>
          <w:lang w:val="en-US" w:eastAsia="zh-CN"/>
        </w:rPr>
        <w:t>24</w:t>
      </w:r>
      <w:r>
        <w:rPr>
          <w:rFonts w:hint="eastAsia" w:ascii="宋体" w:hAnsi="宋体" w:eastAsia="宋体" w:cs="宋体"/>
          <w:bCs/>
          <w:sz w:val="28"/>
          <w:szCs w:val="28"/>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6376979"/>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5A6FB6"/>
    <w:multiLevelType w:val="multilevel"/>
    <w:tmpl w:val="4F5A6FB6"/>
    <w:lvl w:ilvl="0" w:tentative="0">
      <w:start w:val="1"/>
      <w:numFmt w:val="chineseCountingThousand"/>
      <w:pStyle w:val="24"/>
      <w:lvlText w:val="第%1条"/>
      <w:lvlJc w:val="left"/>
      <w:pPr>
        <w:ind w:left="2830" w:hanging="420"/>
      </w:pPr>
      <w:rPr>
        <w:rFonts w:hint="eastAsia"/>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265" w:hanging="585"/>
      </w:pPr>
      <w:rPr>
        <w:rFonts w:hint="default"/>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5E7B1010"/>
    <w:multiLevelType w:val="multilevel"/>
    <w:tmpl w:val="5E7B1010"/>
    <w:lvl w:ilvl="0" w:tentative="0">
      <w:start w:val="1"/>
      <w:numFmt w:val="chineseCountingThousand"/>
      <w:pStyle w:val="3"/>
      <w:lvlText w:val="%1、"/>
      <w:lvlJc w:val="left"/>
      <w:pPr>
        <w:ind w:left="0" w:firstLine="0"/>
      </w:pPr>
      <w:rPr>
        <w:rFonts w:hint="eastAsia" w:ascii="黑体" w:hAnsi="黑体" w:eastAsia="黑体"/>
        <w:b w:val="0"/>
        <w:i w:val="0"/>
        <w:sz w:val="26"/>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U1NmM5OTU2ZmY4Y2RiYTg3ZTQ2ZGQyMTliYjRmY2MifQ=="/>
    <w:docVar w:name="KSO_WPS_MARK_KEY" w:val="2d8472f2-f8b1-4ed8-8147-88598e4e46b5"/>
  </w:docVars>
  <w:rsids>
    <w:rsidRoot w:val="7F7E6360"/>
    <w:rsid w:val="00004338"/>
    <w:rsid w:val="00004D6A"/>
    <w:rsid w:val="00012D48"/>
    <w:rsid w:val="00027869"/>
    <w:rsid w:val="00027D07"/>
    <w:rsid w:val="00051EAC"/>
    <w:rsid w:val="00055AF4"/>
    <w:rsid w:val="000607D6"/>
    <w:rsid w:val="00063231"/>
    <w:rsid w:val="00066C71"/>
    <w:rsid w:val="00076CA2"/>
    <w:rsid w:val="00090CD6"/>
    <w:rsid w:val="0009210B"/>
    <w:rsid w:val="000925B8"/>
    <w:rsid w:val="00094E92"/>
    <w:rsid w:val="000A1BBD"/>
    <w:rsid w:val="000B5935"/>
    <w:rsid w:val="000C3D68"/>
    <w:rsid w:val="000C7B16"/>
    <w:rsid w:val="000D5AB2"/>
    <w:rsid w:val="000E35D1"/>
    <w:rsid w:val="000F18DA"/>
    <w:rsid w:val="001006CF"/>
    <w:rsid w:val="0010088D"/>
    <w:rsid w:val="001115A6"/>
    <w:rsid w:val="00117D19"/>
    <w:rsid w:val="0013364C"/>
    <w:rsid w:val="0014188B"/>
    <w:rsid w:val="00141F7E"/>
    <w:rsid w:val="00195E6B"/>
    <w:rsid w:val="001963F5"/>
    <w:rsid w:val="001B757C"/>
    <w:rsid w:val="001C314D"/>
    <w:rsid w:val="001C5C17"/>
    <w:rsid w:val="001E25D8"/>
    <w:rsid w:val="00212BA4"/>
    <w:rsid w:val="00222E2C"/>
    <w:rsid w:val="002260B4"/>
    <w:rsid w:val="00227C1F"/>
    <w:rsid w:val="002337FF"/>
    <w:rsid w:val="00255117"/>
    <w:rsid w:val="002627B6"/>
    <w:rsid w:val="002645CA"/>
    <w:rsid w:val="00273352"/>
    <w:rsid w:val="00293727"/>
    <w:rsid w:val="00294FCA"/>
    <w:rsid w:val="0029689F"/>
    <w:rsid w:val="002A60C3"/>
    <w:rsid w:val="002B557C"/>
    <w:rsid w:val="002C7EE3"/>
    <w:rsid w:val="002E03D0"/>
    <w:rsid w:val="002E6ED4"/>
    <w:rsid w:val="002F7B45"/>
    <w:rsid w:val="00300C42"/>
    <w:rsid w:val="003109BD"/>
    <w:rsid w:val="003300E1"/>
    <w:rsid w:val="003378FF"/>
    <w:rsid w:val="00340C0F"/>
    <w:rsid w:val="003649E3"/>
    <w:rsid w:val="00386D16"/>
    <w:rsid w:val="003E3AFE"/>
    <w:rsid w:val="003F24CC"/>
    <w:rsid w:val="003F578C"/>
    <w:rsid w:val="00406758"/>
    <w:rsid w:val="00410787"/>
    <w:rsid w:val="00432140"/>
    <w:rsid w:val="00442631"/>
    <w:rsid w:val="00446253"/>
    <w:rsid w:val="00464DC8"/>
    <w:rsid w:val="00472D09"/>
    <w:rsid w:val="0049052E"/>
    <w:rsid w:val="004917D2"/>
    <w:rsid w:val="004A57E5"/>
    <w:rsid w:val="004A632D"/>
    <w:rsid w:val="004A7A25"/>
    <w:rsid w:val="004B2E5E"/>
    <w:rsid w:val="004B51C9"/>
    <w:rsid w:val="004D046C"/>
    <w:rsid w:val="004F3C0F"/>
    <w:rsid w:val="00516E49"/>
    <w:rsid w:val="00526209"/>
    <w:rsid w:val="005323CB"/>
    <w:rsid w:val="00554636"/>
    <w:rsid w:val="00556C39"/>
    <w:rsid w:val="00561E58"/>
    <w:rsid w:val="00574A43"/>
    <w:rsid w:val="00583BE6"/>
    <w:rsid w:val="005967A8"/>
    <w:rsid w:val="005A721E"/>
    <w:rsid w:val="005C2C98"/>
    <w:rsid w:val="005C621D"/>
    <w:rsid w:val="005D0B1E"/>
    <w:rsid w:val="005D724F"/>
    <w:rsid w:val="005F6C91"/>
    <w:rsid w:val="006139C6"/>
    <w:rsid w:val="00642D97"/>
    <w:rsid w:val="00656BFB"/>
    <w:rsid w:val="00661BEF"/>
    <w:rsid w:val="006623D4"/>
    <w:rsid w:val="00664C14"/>
    <w:rsid w:val="0066691B"/>
    <w:rsid w:val="00671228"/>
    <w:rsid w:val="00672986"/>
    <w:rsid w:val="00682BD2"/>
    <w:rsid w:val="006854EB"/>
    <w:rsid w:val="006A29BA"/>
    <w:rsid w:val="006B08F4"/>
    <w:rsid w:val="006B0E15"/>
    <w:rsid w:val="006B3ADF"/>
    <w:rsid w:val="006B6557"/>
    <w:rsid w:val="006B7AD1"/>
    <w:rsid w:val="006C5815"/>
    <w:rsid w:val="006E30C6"/>
    <w:rsid w:val="006F390C"/>
    <w:rsid w:val="006F3972"/>
    <w:rsid w:val="0070193B"/>
    <w:rsid w:val="0070797E"/>
    <w:rsid w:val="00711D7C"/>
    <w:rsid w:val="00722D97"/>
    <w:rsid w:val="007247E0"/>
    <w:rsid w:val="007626AE"/>
    <w:rsid w:val="00766264"/>
    <w:rsid w:val="007C72FB"/>
    <w:rsid w:val="008026C9"/>
    <w:rsid w:val="00805F42"/>
    <w:rsid w:val="00825FE7"/>
    <w:rsid w:val="00842D1B"/>
    <w:rsid w:val="008450DC"/>
    <w:rsid w:val="008844A0"/>
    <w:rsid w:val="008A7BCE"/>
    <w:rsid w:val="008B1EE7"/>
    <w:rsid w:val="008B600B"/>
    <w:rsid w:val="008F50EB"/>
    <w:rsid w:val="00902CD1"/>
    <w:rsid w:val="009040BD"/>
    <w:rsid w:val="009117CE"/>
    <w:rsid w:val="00912040"/>
    <w:rsid w:val="009136C1"/>
    <w:rsid w:val="00942EEC"/>
    <w:rsid w:val="00952D27"/>
    <w:rsid w:val="009534D2"/>
    <w:rsid w:val="00974527"/>
    <w:rsid w:val="00976BB4"/>
    <w:rsid w:val="009805FB"/>
    <w:rsid w:val="00983E7D"/>
    <w:rsid w:val="00993F53"/>
    <w:rsid w:val="009946C5"/>
    <w:rsid w:val="009B4B82"/>
    <w:rsid w:val="009D60A9"/>
    <w:rsid w:val="009E6687"/>
    <w:rsid w:val="009F5AB1"/>
    <w:rsid w:val="009F7613"/>
    <w:rsid w:val="00A01677"/>
    <w:rsid w:val="00A01B5A"/>
    <w:rsid w:val="00A043BB"/>
    <w:rsid w:val="00A05A87"/>
    <w:rsid w:val="00A148AF"/>
    <w:rsid w:val="00A152DE"/>
    <w:rsid w:val="00A21E47"/>
    <w:rsid w:val="00A42EEE"/>
    <w:rsid w:val="00A4637C"/>
    <w:rsid w:val="00A543F8"/>
    <w:rsid w:val="00A83C84"/>
    <w:rsid w:val="00A920B6"/>
    <w:rsid w:val="00AA1BA9"/>
    <w:rsid w:val="00AA3C7F"/>
    <w:rsid w:val="00AB141C"/>
    <w:rsid w:val="00AB2D3A"/>
    <w:rsid w:val="00AC7491"/>
    <w:rsid w:val="00AD074D"/>
    <w:rsid w:val="00AE2D56"/>
    <w:rsid w:val="00AE484A"/>
    <w:rsid w:val="00AE5F76"/>
    <w:rsid w:val="00B038FA"/>
    <w:rsid w:val="00B11D61"/>
    <w:rsid w:val="00B209BE"/>
    <w:rsid w:val="00B309E3"/>
    <w:rsid w:val="00B3798B"/>
    <w:rsid w:val="00B43FBA"/>
    <w:rsid w:val="00B6080A"/>
    <w:rsid w:val="00B62D68"/>
    <w:rsid w:val="00B70D61"/>
    <w:rsid w:val="00B74A2C"/>
    <w:rsid w:val="00B77B05"/>
    <w:rsid w:val="00B77E46"/>
    <w:rsid w:val="00B834A7"/>
    <w:rsid w:val="00B84E4D"/>
    <w:rsid w:val="00B93016"/>
    <w:rsid w:val="00B93C28"/>
    <w:rsid w:val="00B962E4"/>
    <w:rsid w:val="00B96543"/>
    <w:rsid w:val="00BA351B"/>
    <w:rsid w:val="00BB0D46"/>
    <w:rsid w:val="00BD0CB7"/>
    <w:rsid w:val="00BE21EA"/>
    <w:rsid w:val="00C00F13"/>
    <w:rsid w:val="00C03F98"/>
    <w:rsid w:val="00C2209E"/>
    <w:rsid w:val="00C52D27"/>
    <w:rsid w:val="00C61582"/>
    <w:rsid w:val="00C704A2"/>
    <w:rsid w:val="00C83F91"/>
    <w:rsid w:val="00CA005A"/>
    <w:rsid w:val="00CB49D9"/>
    <w:rsid w:val="00CD1B97"/>
    <w:rsid w:val="00CE7788"/>
    <w:rsid w:val="00D12CAA"/>
    <w:rsid w:val="00D40F9B"/>
    <w:rsid w:val="00D71D73"/>
    <w:rsid w:val="00D763DA"/>
    <w:rsid w:val="00DA7C80"/>
    <w:rsid w:val="00DB5FC9"/>
    <w:rsid w:val="00DB6338"/>
    <w:rsid w:val="00DE5E52"/>
    <w:rsid w:val="00E2448D"/>
    <w:rsid w:val="00E3494E"/>
    <w:rsid w:val="00E91A64"/>
    <w:rsid w:val="00ED118C"/>
    <w:rsid w:val="00ED24F2"/>
    <w:rsid w:val="00ED3F35"/>
    <w:rsid w:val="00F22580"/>
    <w:rsid w:val="00F25CD6"/>
    <w:rsid w:val="00F2781E"/>
    <w:rsid w:val="00F306B8"/>
    <w:rsid w:val="00F60370"/>
    <w:rsid w:val="00F76428"/>
    <w:rsid w:val="00F9511D"/>
    <w:rsid w:val="00FA6905"/>
    <w:rsid w:val="00FB619D"/>
    <w:rsid w:val="00FC16E4"/>
    <w:rsid w:val="00FC285C"/>
    <w:rsid w:val="00FD11BD"/>
    <w:rsid w:val="00FD7B89"/>
    <w:rsid w:val="070D2465"/>
    <w:rsid w:val="0BA14C92"/>
    <w:rsid w:val="30670D37"/>
    <w:rsid w:val="332E0634"/>
    <w:rsid w:val="371A770B"/>
    <w:rsid w:val="3F1674F3"/>
    <w:rsid w:val="45401508"/>
    <w:rsid w:val="4DFF6C8F"/>
    <w:rsid w:val="4ECA7CA1"/>
    <w:rsid w:val="58D8658E"/>
    <w:rsid w:val="5D330785"/>
    <w:rsid w:val="60D877DF"/>
    <w:rsid w:val="78464B17"/>
    <w:rsid w:val="79FF6DA8"/>
    <w:rsid w:val="7F7E6360"/>
    <w:rsid w:val="DFDFA6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4"/>
    <w:next w:val="1"/>
    <w:unhideWhenUsed/>
    <w:qFormat/>
    <w:uiPriority w:val="0"/>
    <w:pPr>
      <w:keepNext/>
      <w:keepLines/>
      <w:numPr>
        <w:ilvl w:val="0"/>
        <w:numId w:val="1"/>
      </w:numPr>
      <w:spacing w:before="240" w:after="240" w:line="360" w:lineRule="auto"/>
      <w:ind w:firstLine="721" w:firstLineChars="200"/>
      <w:outlineLvl w:val="1"/>
    </w:pPr>
    <w:rPr>
      <w:rFonts w:eastAsia="黑体" w:asciiTheme="majorHAnsi" w:hAnsiTheme="majorHAnsi" w:cstheme="majorBidi"/>
      <w:bCs/>
      <w:sz w:val="26"/>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lock Text"/>
    <w:basedOn w:val="1"/>
    <w:qFormat/>
    <w:uiPriority w:val="0"/>
    <w:pPr>
      <w:ind w:left="1440" w:leftChars="700" w:right="700" w:rightChars="700"/>
    </w:pPr>
  </w:style>
  <w:style w:type="paragraph" w:styleId="5">
    <w:name w:val="annotation text"/>
    <w:basedOn w:val="1"/>
    <w:link w:val="22"/>
    <w:unhideWhenUsed/>
    <w:qFormat/>
    <w:uiPriority w:val="99"/>
    <w:pPr>
      <w:jc w:val="left"/>
    </w:pPr>
  </w:style>
  <w:style w:type="paragraph" w:styleId="6">
    <w:name w:val="Body Text Indent 2"/>
    <w:basedOn w:val="1"/>
    <w:qFormat/>
    <w:uiPriority w:val="0"/>
    <w:pPr>
      <w:spacing w:line="600" w:lineRule="exact"/>
      <w:ind w:firstLine="600" w:firstLineChars="200"/>
    </w:pPr>
    <w:rPr>
      <w:rFonts w:ascii="仿宋_GB2312" w:hAnsi="宋体" w:eastAsia="仿宋_GB2312" w:cs="Times New Roman"/>
      <w:sz w:val="30"/>
      <w:szCs w:val="30"/>
    </w:rPr>
  </w:style>
  <w:style w:type="paragraph" w:styleId="7">
    <w:name w:val="Balloon Text"/>
    <w:basedOn w:val="1"/>
    <w:link w:val="21"/>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5"/>
    <w:next w:val="5"/>
    <w:link w:val="23"/>
    <w:semiHidden/>
    <w:unhideWhenUsed/>
    <w:qFormat/>
    <w:uiPriority w:val="0"/>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99"/>
    <w:rPr>
      <w:color w:val="0000FF"/>
      <w:u w:val="single"/>
    </w:rPr>
  </w:style>
  <w:style w:type="character" w:styleId="16">
    <w:name w:val="annotation reference"/>
    <w:basedOn w:val="14"/>
    <w:unhideWhenUsed/>
    <w:qFormat/>
    <w:uiPriority w:val="99"/>
    <w:rPr>
      <w:sz w:val="21"/>
      <w:szCs w:val="21"/>
    </w:rPr>
  </w:style>
  <w:style w:type="paragraph" w:customStyle="1" w:styleId="17">
    <w:name w:val="列出段落1"/>
    <w:basedOn w:val="1"/>
    <w:qFormat/>
    <w:uiPriority w:val="34"/>
    <w:pPr>
      <w:ind w:firstLine="420" w:firstLineChars="200"/>
    </w:pPr>
  </w:style>
  <w:style w:type="character" w:customStyle="1" w:styleId="18">
    <w:name w:val="页眉 字符"/>
    <w:basedOn w:val="14"/>
    <w:link w:val="9"/>
    <w:qFormat/>
    <w:uiPriority w:val="0"/>
    <w:rPr>
      <w:kern w:val="2"/>
      <w:sz w:val="18"/>
      <w:szCs w:val="18"/>
    </w:rPr>
  </w:style>
  <w:style w:type="character" w:customStyle="1" w:styleId="19">
    <w:name w:val="页脚 字符"/>
    <w:basedOn w:val="14"/>
    <w:link w:val="8"/>
    <w:qFormat/>
    <w:uiPriority w:val="99"/>
    <w:rPr>
      <w:kern w:val="2"/>
      <w:sz w:val="18"/>
      <w:szCs w:val="18"/>
    </w:rPr>
  </w:style>
  <w:style w:type="paragraph" w:styleId="20">
    <w:name w:val="List Paragraph"/>
    <w:basedOn w:val="1"/>
    <w:qFormat/>
    <w:uiPriority w:val="34"/>
    <w:pPr>
      <w:ind w:firstLine="420" w:firstLineChars="200"/>
    </w:pPr>
    <w:rPr>
      <w:rFonts w:ascii="Calibri" w:hAnsi="Calibri" w:eastAsia="宋体" w:cs="Times New Roman"/>
    </w:rPr>
  </w:style>
  <w:style w:type="character" w:customStyle="1" w:styleId="21">
    <w:name w:val="批注框文本 字符"/>
    <w:basedOn w:val="14"/>
    <w:link w:val="7"/>
    <w:qFormat/>
    <w:uiPriority w:val="99"/>
    <w:rPr>
      <w:kern w:val="2"/>
      <w:sz w:val="18"/>
      <w:szCs w:val="18"/>
    </w:rPr>
  </w:style>
  <w:style w:type="character" w:customStyle="1" w:styleId="22">
    <w:name w:val="批注文字 字符"/>
    <w:basedOn w:val="14"/>
    <w:link w:val="5"/>
    <w:qFormat/>
    <w:uiPriority w:val="99"/>
    <w:rPr>
      <w:kern w:val="2"/>
      <w:sz w:val="21"/>
      <w:szCs w:val="22"/>
    </w:rPr>
  </w:style>
  <w:style w:type="character" w:customStyle="1" w:styleId="23">
    <w:name w:val="批注主题 字符"/>
    <w:basedOn w:val="22"/>
    <w:link w:val="11"/>
    <w:qFormat/>
    <w:uiPriority w:val="0"/>
    <w:rPr>
      <w:kern w:val="2"/>
      <w:sz w:val="21"/>
      <w:szCs w:val="22"/>
    </w:rPr>
  </w:style>
  <w:style w:type="paragraph" w:customStyle="1" w:styleId="24">
    <w:name w:val="二级条款"/>
    <w:basedOn w:val="1"/>
    <w:link w:val="25"/>
    <w:qFormat/>
    <w:uiPriority w:val="0"/>
    <w:pPr>
      <w:numPr>
        <w:ilvl w:val="0"/>
        <w:numId w:val="2"/>
      </w:numPr>
      <w:tabs>
        <w:tab w:val="left" w:pos="420"/>
      </w:tabs>
      <w:adjustRightInd w:val="0"/>
      <w:snapToGrid w:val="0"/>
      <w:spacing w:before="50" w:beforeLines="50" w:after="50" w:afterLines="50" w:line="440" w:lineRule="exact"/>
    </w:pPr>
    <w:rPr>
      <w:rFonts w:ascii="Times New Roman" w:hAnsi="Times New Roman" w:eastAsia="仿宋"/>
      <w:sz w:val="24"/>
    </w:rPr>
  </w:style>
  <w:style w:type="character" w:customStyle="1" w:styleId="25">
    <w:name w:val="二级条款 字符"/>
    <w:basedOn w:val="14"/>
    <w:link w:val="24"/>
    <w:qFormat/>
    <w:uiPriority w:val="0"/>
    <w:rPr>
      <w:rFonts w:ascii="Times New Roman" w:hAnsi="Times New Roman" w:eastAsia="仿宋"/>
      <w:kern w:val="2"/>
      <w:sz w:val="24"/>
      <w:szCs w:val="22"/>
    </w:rPr>
  </w:style>
  <w:style w:type="paragraph" w:customStyle="1" w:styleId="26">
    <w:name w:val="条款正文"/>
    <w:basedOn w:val="24"/>
    <w:link w:val="27"/>
    <w:qFormat/>
    <w:uiPriority w:val="0"/>
    <w:pPr>
      <w:numPr>
        <w:numId w:val="0"/>
      </w:numPr>
    </w:pPr>
  </w:style>
  <w:style w:type="character" w:customStyle="1" w:styleId="27">
    <w:name w:val="条款正文 字符"/>
    <w:basedOn w:val="25"/>
    <w:link w:val="26"/>
    <w:qFormat/>
    <w:uiPriority w:val="0"/>
    <w:rPr>
      <w:rFonts w:ascii="Times New Roman" w:hAnsi="Times New Roman" w:eastAsia="仿宋"/>
      <w:kern w:val="2"/>
      <w:sz w:val="24"/>
      <w:szCs w:val="22"/>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9">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858CB-69F5-4540-B609-760D4BA7528F}">
  <ds:schemaRefs/>
</ds:datastoreItem>
</file>

<file path=docProps/app.xml><?xml version="1.0" encoding="utf-8"?>
<Properties xmlns="http://schemas.openxmlformats.org/officeDocument/2006/extended-properties" xmlns:vt="http://schemas.openxmlformats.org/officeDocument/2006/docPropsVTypes">
  <Template>Normal</Template>
  <Company>CICC</Company>
  <Pages>2</Pages>
  <Words>647</Words>
  <Characters>702</Characters>
  <Lines>5</Lines>
  <Paragraphs>1</Paragraphs>
  <TotalTime>1</TotalTime>
  <ScaleCrop>false</ScaleCrop>
  <LinksUpToDate>false</LinksUpToDate>
  <CharactersWithSpaces>734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2024-09-27T03:46:00Z</dcterms:created>
  <dc:creator>jl</dc:creator>
  <cp:lastModifiedBy>YUANSU HU</cp:lastModifiedBy>
  <cp:lastPrinted>2024-09-27T03:47:00Z</cp:lastPrinted>
  <dcterms:modified xsi:type="dcterms:W3CDTF">2024-10-24T03:55:51Z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5B77E7CEEC58BC6AFAE8886BEB80DBEB">
    <vt:lpwstr>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</vt:lpwstr>
  </property>
  <property fmtid="{D5CDD505-2E9C-101B-9397-08002B2CF9AE}" pid="4" name="ICV">
    <vt:lpwstr>E95915DCF0F24898834775137C5E388E_13</vt:lpwstr>
  </property>
</Properties>
</file>