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4</w:t>
      </w:r>
      <w:r>
        <w:rPr>
          <w:rFonts w:hint="eastAsia" w:ascii="黑体" w:eastAsia="黑体"/>
          <w:szCs w:val="20"/>
        </w:rPr>
        <w:t>-</w:t>
      </w:r>
      <w:r>
        <w:rPr>
          <w:rFonts w:hint="eastAsia" w:ascii="黑体" w:eastAsia="黑体"/>
          <w:szCs w:val="20"/>
          <w:lang w:val="en-US" w:eastAsia="zh-CN"/>
        </w:rPr>
        <w:t>072</w:t>
      </w:r>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关于举办2024年第三季度业绩说明会的公告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w:t>
      </w:r>
      <w:r>
        <w:rPr>
          <w:rFonts w:ascii="宋体" w:hAnsi="宋体"/>
          <w:sz w:val="28"/>
          <w:szCs w:val="28"/>
        </w:rPr>
        <w:t>4</w:t>
      </w:r>
      <w:r>
        <w:rPr>
          <w:rFonts w:hint="eastAsia" w:ascii="宋体" w:hAnsi="宋体"/>
          <w:sz w:val="28"/>
          <w:szCs w:val="28"/>
        </w:rPr>
        <w:t>年</w:t>
      </w:r>
      <w:r>
        <w:rPr>
          <w:rFonts w:ascii="宋体" w:hAnsi="宋体"/>
          <w:sz w:val="28"/>
          <w:szCs w:val="28"/>
        </w:rPr>
        <w:t>10</w:t>
      </w:r>
      <w:r>
        <w:rPr>
          <w:rFonts w:hint="eastAsia" w:ascii="宋体" w:hAnsi="宋体"/>
          <w:sz w:val="28"/>
          <w:szCs w:val="28"/>
        </w:rPr>
        <w:t>月2</w:t>
      </w:r>
      <w:r>
        <w:rPr>
          <w:rFonts w:ascii="宋体" w:hAnsi="宋体"/>
          <w:sz w:val="28"/>
          <w:szCs w:val="28"/>
        </w:rPr>
        <w:t>7</w:t>
      </w:r>
      <w:r>
        <w:rPr>
          <w:rFonts w:hint="eastAsia" w:ascii="宋体" w:hAnsi="宋体"/>
          <w:sz w:val="28"/>
          <w:szCs w:val="28"/>
        </w:rPr>
        <w:t>日（周日）</w:t>
      </w:r>
      <w:r>
        <w:rPr>
          <w:rFonts w:ascii="宋体" w:hAnsi="宋体"/>
          <w:sz w:val="28"/>
          <w:szCs w:val="28"/>
        </w:rPr>
        <w:t>10:00-11:00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会议召开方式：电话及网络会议</w:t>
      </w:r>
    </w:p>
    <w:p>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w:t>
      </w:r>
      <w:r>
        <w:rPr>
          <w:rFonts w:ascii="宋体" w:hAnsi="宋体"/>
          <w:sz w:val="28"/>
          <w:szCs w:val="28"/>
        </w:rPr>
        <w:t>024</w:t>
      </w:r>
      <w:r>
        <w:rPr>
          <w:rFonts w:hint="eastAsia" w:ascii="宋体" w:hAnsi="宋体"/>
          <w:sz w:val="28"/>
          <w:szCs w:val="28"/>
        </w:rPr>
        <w:t>年</w:t>
      </w:r>
      <w:r>
        <w:rPr>
          <w:rFonts w:ascii="宋体" w:hAnsi="宋体"/>
          <w:sz w:val="28"/>
          <w:szCs w:val="28"/>
        </w:rPr>
        <w:t>10</w:t>
      </w:r>
      <w:r>
        <w:rPr>
          <w:rFonts w:hint="eastAsia" w:ascii="宋体" w:hAnsi="宋体"/>
          <w:sz w:val="28"/>
          <w:szCs w:val="28"/>
        </w:rPr>
        <w:t>月</w:t>
      </w:r>
      <w:bookmarkStart w:id="1" w:name="_GoBack"/>
      <w:bookmarkEnd w:id="1"/>
      <w:r>
        <w:rPr>
          <w:rFonts w:hint="eastAsia" w:ascii="宋体" w:hAnsi="宋体"/>
          <w:sz w:val="28"/>
          <w:szCs w:val="28"/>
        </w:rPr>
        <w:t>2</w:t>
      </w:r>
      <w:r>
        <w:rPr>
          <w:rFonts w:ascii="宋体" w:hAnsi="宋体"/>
          <w:sz w:val="28"/>
          <w:szCs w:val="28"/>
        </w:rPr>
        <w:t>5</w:t>
      </w:r>
      <w:r>
        <w:rPr>
          <w:rFonts w:hint="eastAsia" w:ascii="宋体" w:hAnsi="宋体"/>
          <w:sz w:val="28"/>
          <w:szCs w:val="28"/>
        </w:rPr>
        <w:t>日（周五）17:00前将关注的问题通过电子邮件的形式发送至</w:t>
      </w:r>
      <w:r>
        <w:rPr>
          <w:rFonts w:ascii="宋体" w:hAnsi="宋体"/>
          <w:sz w:val="28"/>
          <w:szCs w:val="28"/>
        </w:rPr>
        <w:t>IR@ykenergy.com</w:t>
      </w:r>
      <w:r>
        <w:rPr>
          <w:rFonts w:hint="eastAsia" w:ascii="宋体" w:hAnsi="宋体"/>
          <w:sz w:val="28"/>
          <w:szCs w:val="28"/>
        </w:rPr>
        <w:t>。本公司将会于2024年第三季度业绩说明会（“业绩说明会”）上对投资者普遍关注的问题进行回答。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兖矿能源集团股份有限公司（“公司”“本公司”）将于2024年</w:t>
      </w:r>
      <w:r>
        <w:rPr>
          <w:rFonts w:ascii="宋体" w:hAnsi="宋体"/>
          <w:sz w:val="28"/>
          <w:szCs w:val="28"/>
        </w:rPr>
        <w:t>10</w:t>
      </w:r>
      <w:r>
        <w:rPr>
          <w:rFonts w:hint="eastAsia" w:ascii="宋体" w:hAnsi="宋体"/>
          <w:sz w:val="28"/>
          <w:szCs w:val="28"/>
        </w:rPr>
        <w:t>月</w:t>
      </w:r>
      <w:r>
        <w:rPr>
          <w:rFonts w:ascii="宋体" w:hAnsi="宋体"/>
          <w:sz w:val="28"/>
          <w:szCs w:val="28"/>
        </w:rPr>
        <w:t>26</w:t>
      </w:r>
      <w:r>
        <w:rPr>
          <w:rFonts w:hint="eastAsia" w:ascii="宋体" w:hAnsi="宋体"/>
          <w:sz w:val="28"/>
          <w:szCs w:val="28"/>
        </w:rPr>
        <w:t>日在上海证券交易所网站、香港联合交易所网站披露2024年第三季度业绩。为协助投资者更好地了解公司业绩，公司拟以电话及网络会议的方式召开业绩说明会。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w:t>
      </w:r>
      <w:r>
        <w:rPr>
          <w:rFonts w:ascii="宋体" w:hAnsi="宋体"/>
          <w:sz w:val="28"/>
          <w:szCs w:val="28"/>
        </w:rPr>
        <w:t>4</w:t>
      </w:r>
      <w:r>
        <w:rPr>
          <w:rFonts w:hint="eastAsia" w:ascii="宋体" w:hAnsi="宋体"/>
          <w:sz w:val="28"/>
          <w:szCs w:val="28"/>
        </w:rPr>
        <w:t>年</w:t>
      </w:r>
      <w:r>
        <w:rPr>
          <w:rFonts w:ascii="宋体" w:hAnsi="宋体"/>
          <w:sz w:val="28"/>
          <w:szCs w:val="28"/>
        </w:rPr>
        <w:t>10</w:t>
      </w:r>
      <w:r>
        <w:rPr>
          <w:rFonts w:hint="eastAsia" w:ascii="宋体" w:hAnsi="宋体"/>
          <w:sz w:val="28"/>
          <w:szCs w:val="28"/>
        </w:rPr>
        <w:t>月2</w:t>
      </w:r>
      <w:r>
        <w:rPr>
          <w:rFonts w:ascii="宋体" w:hAnsi="宋体"/>
          <w:sz w:val="28"/>
          <w:szCs w:val="28"/>
        </w:rPr>
        <w:t>7</w:t>
      </w:r>
      <w:r>
        <w:rPr>
          <w:rFonts w:hint="eastAsia" w:ascii="宋体" w:hAnsi="宋体"/>
          <w:sz w:val="28"/>
          <w:szCs w:val="28"/>
        </w:rPr>
        <w:t>日（周日）</w:t>
      </w:r>
      <w:r>
        <w:rPr>
          <w:rFonts w:ascii="宋体" w:hAnsi="宋体"/>
          <w:sz w:val="28"/>
          <w:szCs w:val="28"/>
        </w:rPr>
        <w:t>10:00-11:00</w:t>
      </w:r>
    </w:p>
    <w:p>
      <w:pPr>
        <w:autoSpaceDE w:val="0"/>
        <w:autoSpaceDN w:val="0"/>
        <w:adjustRightInd w:val="0"/>
        <w:spacing w:line="560" w:lineRule="exact"/>
        <w:ind w:firstLine="560" w:firstLineChars="200"/>
        <w:jc w:val="left"/>
        <w:rPr>
          <w:rFonts w:ascii="宋体" w:hAnsi="宋体"/>
          <w:sz w:val="28"/>
          <w:szCs w:val="28"/>
          <w:u w:val="single"/>
        </w:rPr>
      </w:pPr>
      <w:r>
        <w:rPr>
          <w:rFonts w:hint="eastAsia" w:ascii="宋体" w:hAnsi="宋体"/>
          <w:sz w:val="28"/>
          <w:szCs w:val="28"/>
        </w:rPr>
        <w:t>（二）召开方式：电话及网络会议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中国大陆：+86-4001510269</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w:t>
      </w:r>
      <w:r>
        <w:rPr>
          <w:rFonts w:ascii="宋体" w:hAnsi="宋体"/>
          <w:sz w:val="28"/>
          <w:szCs w:val="28"/>
        </w:rPr>
        <w:t>+852-</w:t>
      </w:r>
      <w:r>
        <w:rPr>
          <w:rFonts w:hint="eastAsia" w:ascii="宋体" w:hAnsi="宋体"/>
          <w:sz w:val="28"/>
          <w:szCs w:val="28"/>
        </w:rPr>
        <w:t>800931266</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中国台湾：+886</w:t>
      </w:r>
      <w:r>
        <w:rPr>
          <w:rFonts w:ascii="宋体" w:hAnsi="宋体"/>
          <w:sz w:val="28"/>
          <w:szCs w:val="28"/>
        </w:rPr>
        <w:t>-</w:t>
      </w:r>
      <w:r>
        <w:rPr>
          <w:rFonts w:hint="eastAsia" w:ascii="宋体" w:hAnsi="宋体"/>
          <w:sz w:val="28"/>
          <w:szCs w:val="28"/>
        </w:rPr>
        <w:t>277083288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w:t>
      </w:r>
      <w:r>
        <w:rPr>
          <w:rFonts w:ascii="宋体" w:hAnsi="宋体"/>
          <w:sz w:val="28"/>
          <w:szCs w:val="28"/>
        </w:rPr>
        <w:t>-</w:t>
      </w:r>
      <w:r>
        <w:rPr>
          <w:rFonts w:hint="eastAsia" w:ascii="宋体" w:hAnsi="宋体"/>
          <w:sz w:val="28"/>
          <w:szCs w:val="28"/>
        </w:rPr>
        <w:t>2087016888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 xml:space="preserve">全 </w:t>
      </w:r>
      <w:r>
        <w:rPr>
          <w:rFonts w:ascii="宋体" w:hAnsi="宋体"/>
          <w:sz w:val="28"/>
          <w:szCs w:val="28"/>
        </w:rPr>
        <w:t xml:space="preserve">   </w:t>
      </w:r>
      <w:r>
        <w:rPr>
          <w:rFonts w:hint="eastAsia" w:ascii="宋体" w:hAnsi="宋体"/>
          <w:sz w:val="28"/>
          <w:szCs w:val="28"/>
        </w:rPr>
        <w:t>球：+86-01021377168</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365118</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（四）网络参会地址：</w:t>
      </w:r>
      <w:r>
        <w:rPr>
          <w:rFonts w:ascii="宋体" w:hAnsi="宋体"/>
          <w:sz w:val="28"/>
          <w:szCs w:val="28"/>
        </w:rPr>
        <w:t>https://s.comein.cn/ABGpu</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党委委员、副总经理王九红先生（代行总经理职责），董事、董事会秘书黄霄龙先生，财务总监赵治国先生，独立董事胡家栋先生和有关业务负责人。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（一）届时投资者可以通过电话及网络参加会议，公司将介绍2024年第三季度经营业绩，未来市场分析、经营措施等相关情况，并就投资者关注的问题进行沟通和交流。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（二）投资者可于2</w:t>
      </w:r>
      <w:r>
        <w:rPr>
          <w:rFonts w:ascii="宋体" w:hAnsi="宋体"/>
          <w:sz w:val="28"/>
          <w:szCs w:val="28"/>
        </w:rPr>
        <w:t>024</w:t>
      </w:r>
      <w:r>
        <w:rPr>
          <w:rFonts w:hint="eastAsia" w:ascii="宋体" w:hAnsi="宋体"/>
          <w:sz w:val="28"/>
          <w:szCs w:val="28"/>
        </w:rPr>
        <w:t>年</w:t>
      </w:r>
      <w:r>
        <w:rPr>
          <w:rFonts w:ascii="宋体" w:hAnsi="宋体"/>
          <w:sz w:val="28"/>
          <w:szCs w:val="28"/>
        </w:rPr>
        <w:t>10</w:t>
      </w:r>
      <w:r>
        <w:rPr>
          <w:rFonts w:hint="eastAsia" w:ascii="宋体" w:hAnsi="宋体"/>
          <w:sz w:val="28"/>
          <w:szCs w:val="28"/>
        </w:rPr>
        <w:t>月2</w:t>
      </w:r>
      <w:r>
        <w:rPr>
          <w:rFonts w:ascii="宋体" w:hAnsi="宋体"/>
          <w:sz w:val="28"/>
          <w:szCs w:val="28"/>
        </w:rPr>
        <w:t>5</w:t>
      </w:r>
      <w:r>
        <w:rPr>
          <w:rFonts w:hint="eastAsia" w:ascii="宋体" w:hAnsi="宋体"/>
          <w:sz w:val="28"/>
          <w:szCs w:val="28"/>
        </w:rPr>
        <w:t>日（周五）17:00前将关注的问题通过电子邮件的形式发送至</w:t>
      </w:r>
      <w:r>
        <w:rPr>
          <w:rFonts w:ascii="宋体" w:hAnsi="宋体"/>
          <w:sz w:val="28"/>
          <w:szCs w:val="28"/>
        </w:rPr>
        <w:t>IR@ykenergy.com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联 系 人：刘  佩  +86-</w:t>
      </w:r>
      <w:r>
        <w:t xml:space="preserve"> </w:t>
      </w:r>
      <w:r>
        <w:rPr>
          <w:rFonts w:ascii="宋体" w:hAnsi="宋体"/>
          <w:sz w:val="28"/>
          <w:szCs w:val="28"/>
        </w:rPr>
        <w:t>15513578290</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+86-0537 5937890</w:t>
      </w:r>
    </w:p>
    <w:p>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 xml:space="preserve">IR@ykenergy.com </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w:t>
      </w:r>
      <w:r>
        <w:rPr>
          <w:rFonts w:ascii="宋体" w:hAnsi="宋体"/>
          <w:sz w:val="28"/>
          <w:szCs w:val="28"/>
        </w:rPr>
        <w:t>4</w:t>
      </w:r>
      <w:r>
        <w:rPr>
          <w:rFonts w:hint="eastAsia" w:ascii="宋体" w:hAnsi="宋体"/>
          <w:sz w:val="28"/>
          <w:szCs w:val="28"/>
        </w:rPr>
        <w:t>年</w:t>
      </w:r>
      <w:r>
        <w:rPr>
          <w:rFonts w:ascii="宋体" w:hAnsi="宋体"/>
          <w:sz w:val="28"/>
          <w:szCs w:val="28"/>
        </w:rPr>
        <w:t>10</w:t>
      </w:r>
      <w:r>
        <w:rPr>
          <w:rFonts w:hint="eastAsia" w:ascii="宋体" w:hAnsi="宋体"/>
          <w:sz w:val="28"/>
          <w:szCs w:val="28"/>
        </w:rPr>
        <w:t>月2</w:t>
      </w:r>
      <w:r>
        <w:rPr>
          <w:rFonts w:ascii="宋体" w:hAnsi="宋体"/>
          <w:sz w:val="28"/>
          <w:szCs w:val="28"/>
        </w:rPr>
        <w:t>2</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a6431544-7938-41d5-bc4a-04661601e3d6"/>
  </w:docVars>
  <w:rsids>
    <w:rsidRoot w:val="00000000"/>
    <w:rsid w:val="1654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uiPriority w:val="0"/>
    <w:rPr>
      <w:sz w:val="18"/>
      <w:szCs w:val="18"/>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uiPriority w:val="0"/>
    <w:rPr>
      <w:color w:val="800080"/>
      <w:u w:val="single"/>
    </w:rPr>
  </w:style>
  <w:style w:type="character" w:styleId="24">
    <w:name w:val="Hyperlink"/>
    <w:unhideWhenUsed/>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uiPriority w:val="0"/>
    <w:rPr>
      <w:rFonts w:eastAsia="宋体"/>
      <w:kern w:val="2"/>
      <w:sz w:val="18"/>
      <w:szCs w:val="18"/>
      <w:lang w:val="en-US" w:eastAsia="zh-CN" w:bidi="ar-SA"/>
    </w:rPr>
  </w:style>
  <w:style w:type="character" w:customStyle="1" w:styleId="31">
    <w:name w:val="页脚 字符"/>
    <w:link w:val="13"/>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locked/>
    <w:uiPriority w:val="0"/>
    <w:rPr>
      <w:rFonts w:ascii="仿宋_GB2312" w:eastAsia="仿宋_GB2312"/>
      <w:kern w:val="2"/>
      <w:sz w:val="32"/>
      <w:lang w:val="en-US" w:eastAsia="zh-CN" w:bidi="ar-SA"/>
    </w:rPr>
  </w:style>
  <w:style w:type="character" w:customStyle="1" w:styleId="36">
    <w:name w:val="未处理的提及1"/>
    <w:unhideWhenUsed/>
    <w:qFormat/>
    <w:uiPriority w:val="99"/>
    <w:rPr>
      <w:color w:val="605E5C"/>
      <w:shd w:val="clear" w:color="auto" w:fill="E1DFDD"/>
    </w:rPr>
  </w:style>
  <w:style w:type="paragraph" w:customStyle="1" w:styleId="3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uiPriority w:val="0"/>
    <w:pPr>
      <w:spacing w:line="360" w:lineRule="auto"/>
      <w:ind w:left="840" w:leftChars="400" w:right="840" w:rightChars="400"/>
      <w:jc w:val="center"/>
    </w:pPr>
    <w:rPr>
      <w:sz w:val="36"/>
    </w:rPr>
  </w:style>
  <w:style w:type="paragraph" w:customStyle="1" w:styleId="3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791</Words>
  <Characters>1058</Characters>
  <Lines>13</Lines>
  <Paragraphs>3</Paragraphs>
  <TotalTime>36</TotalTime>
  <ScaleCrop>false</ScaleCrop>
  <LinksUpToDate>false</LinksUpToDate>
  <CharactersWithSpaces>1105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2024-09-25T02:15:00Z</dcterms:created>
  <dc:creator>xzz</dc:creator>
  <cp:lastModifiedBy>YUANSU HU</cp:lastModifiedBy>
  <cp:lastPrinted>2024-09-29T01:51:00Z</cp:lastPrinted>
  <dcterms:modified xsi:type="dcterms:W3CDTF">2024-10-22T08:21:55Z</dcterms:modified>
  <dc:title>上证交字〔2003〕10号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17F7674B15334737B12DD1513BA78F42_13</vt:lpwstr>
  </property>
  <property fmtid="{D5CDD505-2E9C-101B-9397-08002B2CF9AE}" pid="6" name="5B77E7CEEC58BC6AFAE8886BEB80DBEB">
    <vt:lpwstr>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</vt:lpwstr>
  </property>
</Properties>
</file>