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黑体" w:hAnsi="黑体" w:eastAsia="黑体"/>
          <w:color w:val="000000"/>
          <w:lang w:val="en-US"/>
        </w:rPr>
      </w:pPr>
      <w:r>
        <w:rPr>
          <w:rFonts w:ascii="黑体" w:hAnsi="黑体" w:eastAsia="黑体"/>
          <w:color w:val="000000"/>
        </w:rPr>
        <w:t>股票代码：600188            股票简称：</w:t>
      </w:r>
      <w:r>
        <w:rPr>
          <w:rFonts w:hint="eastAsia" w:ascii="黑体" w:hAnsi="黑体" w:eastAsia="黑体"/>
          <w:color w:val="000000"/>
        </w:rPr>
        <w:t>兖矿能源</w:t>
      </w:r>
      <w:r>
        <w:rPr>
          <w:rFonts w:ascii="黑体" w:hAnsi="黑体" w:eastAsia="黑体"/>
          <w:color w:val="000000"/>
        </w:rPr>
        <w:t xml:space="preserve">            编号：临</w:t>
      </w:r>
      <w:r>
        <w:rPr>
          <w:rFonts w:hint="eastAsia" w:ascii="黑体" w:hAnsi="黑体" w:eastAsia="黑体" w:cs="黑体"/>
        </w:rPr>
        <w:t>202</w:t>
      </w:r>
      <w:r>
        <w:rPr>
          <w:rFonts w:ascii="黑体" w:hAnsi="黑体" w:eastAsia="黑体" w:cs="黑体"/>
        </w:rPr>
        <w:t>4</w:t>
      </w:r>
      <w:r>
        <w:rPr>
          <w:rFonts w:hint="eastAsia" w:ascii="黑体" w:hAnsi="黑体" w:eastAsia="黑体" w:cs="黑体"/>
        </w:rPr>
        <w:t>-</w:t>
      </w:r>
      <w:r>
        <w:rPr>
          <w:rFonts w:hint="default" w:ascii="黑体" w:hAnsi="黑体" w:eastAsia="黑体" w:cs="黑体"/>
          <w:lang w:val="en-US"/>
        </w:rPr>
        <w:t>070</w:t>
      </w:r>
    </w:p>
    <w:p>
      <w:pPr>
        <w:spacing w:line="560" w:lineRule="exact"/>
        <w:jc w:val="center"/>
        <w:rPr>
          <w:rFonts w:ascii="黑体" w:eastAsia="黑体"/>
          <w:bCs/>
          <w:color w:val="FF0000"/>
          <w:sz w:val="36"/>
          <w:szCs w:val="36"/>
        </w:rPr>
      </w:pPr>
    </w:p>
    <w:p>
      <w:pPr>
        <w:spacing w:line="560" w:lineRule="exact"/>
        <w:jc w:val="center"/>
        <w:rPr>
          <w:rFonts w:ascii="黑体" w:eastAsia="黑体"/>
          <w:b/>
          <w:bCs/>
          <w:color w:val="FF0000"/>
          <w:sz w:val="36"/>
          <w:szCs w:val="36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兖矿能源集团股份有限公司</w:t>
      </w:r>
    </w:p>
    <w:p>
      <w:pPr>
        <w:spacing w:line="560" w:lineRule="exact"/>
        <w:jc w:val="center"/>
        <w:rPr>
          <w:b/>
          <w:bCs/>
          <w:color w:val="000000"/>
          <w:sz w:val="32"/>
        </w:rPr>
      </w:pPr>
      <w:r>
        <w:rPr>
          <w:rFonts w:hint="eastAsia" w:ascii="黑体" w:eastAsia="黑体"/>
          <w:b/>
          <w:bCs/>
          <w:color w:val="FF0000"/>
          <w:sz w:val="36"/>
          <w:szCs w:val="36"/>
        </w:rPr>
        <w:t>202</w:t>
      </w:r>
      <w:r>
        <w:rPr>
          <w:rFonts w:ascii="黑体" w:eastAsia="黑体"/>
          <w:b/>
          <w:bCs/>
          <w:color w:val="FF0000"/>
          <w:sz w:val="36"/>
          <w:szCs w:val="36"/>
        </w:rPr>
        <w:t>4</w:t>
      </w:r>
      <w:r>
        <w:rPr>
          <w:rFonts w:hint="eastAsia" w:ascii="黑体" w:eastAsia="黑体"/>
          <w:b/>
          <w:bCs/>
          <w:color w:val="FF0000"/>
          <w:sz w:val="36"/>
          <w:szCs w:val="36"/>
        </w:rPr>
        <w:t>年第三季度主要运营数据</w:t>
      </w:r>
      <w:r>
        <w:rPr>
          <w:rFonts w:ascii="黑体" w:eastAsia="黑体"/>
          <w:b/>
          <w:bCs/>
          <w:color w:val="FF0000"/>
          <w:sz w:val="36"/>
          <w:szCs w:val="36"/>
        </w:rPr>
        <w:t>公告</w:t>
      </w:r>
    </w:p>
    <w:p>
      <w:pPr>
        <w:spacing w:line="560" w:lineRule="exact"/>
        <w:jc w:val="center"/>
        <w:rPr>
          <w:b/>
          <w:bCs/>
          <w:color w:val="000000"/>
          <w:sz w:val="28"/>
        </w:rPr>
      </w:pPr>
      <w:r>
        <w:rPr>
          <w:b/>
          <w:bCs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150495</wp:posOffset>
                </wp:positionV>
                <wp:extent cx="5372100" cy="980440"/>
                <wp:effectExtent l="0" t="0" r="0" b="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72100" cy="980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本公司董事会及全体董事保证本公告内容不存在任何虚假记载、误导性陈述或者重大遗漏，并对其内容的真实性、准确性和完整性承担法律责任。</w:t>
                            </w:r>
                          </w:p>
                          <w:p>
                            <w:pPr>
                              <w:adjustRightInd w:val="0"/>
                              <w:snapToGrid w:val="0"/>
                              <w:spacing w:line="480" w:lineRule="exact"/>
                              <w:ind w:firstLine="560" w:firstLineChars="20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8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.25pt;margin-top:11.85pt;height:77.2pt;width:423pt;z-index:251659264;mso-width-relative:page;mso-height-relative:page;" fillcolor="#FFFFFF" filled="t" stroked="t" coordsize="21600,21600" o:gfxdata="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jn3xq2AAAAAkBAAAPAAAAAAAAAAEAIAAAACIAAABkcnMvZG93bnJldi54bWxQ&#10;SwECFAAUAAAACACHTuJADYh2pTACAACGBAAADgAAAAAAAAABACAAAAAnAQAAZHJzL2Uyb0RvYy54&#10;bWxQSwUGAAAAAAYABgBZAQAAyQUAAAAA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本公司董事会及全体董事保证本公告内容不存在任何虚假记载、误导性陈述或者重大遗漏，并对其内容的真实性、准确性和完整性承担法律责任。</w:t>
                      </w:r>
                    </w:p>
                    <w:p>
                      <w:pPr>
                        <w:adjustRightInd w:val="0"/>
                        <w:snapToGrid w:val="0"/>
                        <w:spacing w:line="480" w:lineRule="exact"/>
                        <w:ind w:firstLine="560" w:firstLineChars="200"/>
                        <w:rPr>
                          <w:sz w:val="28"/>
                        </w:rPr>
                      </w:pPr>
                      <w:r>
                        <w:rPr>
                          <w:rFonts w:hint="eastAsia"/>
                          <w:sz w:val="28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adjustRightInd w:val="0"/>
        <w:snapToGrid w:val="0"/>
        <w:spacing w:line="500" w:lineRule="exact"/>
        <w:ind w:firstLine="562" w:firstLineChars="200"/>
        <w:outlineLvl w:val="0"/>
        <w:rPr>
          <w:b/>
          <w:bCs/>
          <w:color w:val="000000"/>
          <w:sz w:val="28"/>
        </w:rPr>
      </w:pP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经兖矿能源集团股份有限公司（“公司”）内部统</w:t>
      </w:r>
      <w:bookmarkStart w:id="3" w:name="_GoBack"/>
      <w:bookmarkEnd w:id="3"/>
      <w:r>
        <w:rPr>
          <w:rFonts w:hint="eastAsia" w:ascii="宋体" w:hAnsi="宋体"/>
          <w:sz w:val="28"/>
          <w:szCs w:val="28"/>
        </w:rPr>
        <w:t>计，2024年第三季度，公司及其附属公司煤炭业务、煤化工业务主要运营数据如下表：</w:t>
      </w:r>
    </w:p>
    <w:p>
      <w:pPr>
        <w:spacing w:line="520" w:lineRule="exact"/>
        <w:ind w:firstLine="7080" w:firstLineChars="2950"/>
        <w:rPr>
          <w:sz w:val="24"/>
          <w:szCs w:val="24"/>
        </w:rPr>
      </w:pPr>
      <w:r>
        <w:rPr>
          <w:rFonts w:hint="eastAsia"/>
          <w:sz w:val="24"/>
          <w:szCs w:val="24"/>
        </w:rPr>
        <w:t>单位：万吨</w:t>
      </w:r>
    </w:p>
    <w:tbl>
      <w:tblPr>
        <w:tblStyle w:val="14"/>
        <w:tblW w:w="100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2"/>
        <w:gridCol w:w="1181"/>
        <w:gridCol w:w="1181"/>
        <w:gridCol w:w="1370"/>
        <w:gridCol w:w="14"/>
        <w:gridCol w:w="1167"/>
        <w:gridCol w:w="1181"/>
        <w:gridCol w:w="1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4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第3季度</w:t>
            </w:r>
          </w:p>
        </w:tc>
        <w:tc>
          <w:tcPr>
            <w:tcW w:w="3647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3季度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2024年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2023年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2024年</w:t>
            </w:r>
          </w:p>
        </w:tc>
        <w:tc>
          <w:tcPr>
            <w:tcW w:w="11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2023年</w:t>
            </w:r>
          </w:p>
        </w:tc>
        <w:tc>
          <w:tcPr>
            <w:tcW w:w="12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增减幅（%）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一、煤炭业务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3,673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3,345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9.81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10,581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9,730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8.75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商品煤销量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3,346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3,323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0.68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10,134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9,917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2.18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firstLine="360" w:firstLine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其中：自产煤销量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3,185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2,980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6.87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9,561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8,831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8.27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二、煤化工业务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（一）甲醇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104.75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110.76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-5.43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304.09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303.40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0.23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101.30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110.51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-8.34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292.21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301.32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-3.02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（二）乙二醇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8.73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10.53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-17.09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28.52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24.83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14.86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8.49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10.48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-18.99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28.61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27.34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4.65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（三）醋酸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26.31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27.63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-4.78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77.17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85.43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-9.67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20.69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17.78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16.37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54.43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54.25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0.33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0" w:name="_Hlk108628063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（四）醋酸乙酯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①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4.71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9.58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-50.84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22.56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31.79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-29.03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4.81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9.51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-49.42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22.39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31.98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-29.99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（五）己内酰胺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6.38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7.95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-19.75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24.07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22.76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5.76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6.42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7.83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-18.01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23.56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22.39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5.23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（六）聚甲醛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bookmarkStart w:id="1" w:name="_Hlk108689319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1.54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1.83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-15.85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4.72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5.49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-14.03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1.72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1.86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-7.53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4.73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5.46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-13.37 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（七）粗液体蜡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11.05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7.24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52.62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28.68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7.24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296.13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11.65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 5.91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97.12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28.70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5.91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385.62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2" w:name="_Hlk108689336"/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（八）柴油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vertAlign w:val="superscript"/>
              </w:rPr>
              <w:t>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-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3.59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-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27.71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-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4.79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26.91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（九）石脑油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6.37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6.71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-5.07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17.29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18.42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-6.13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6.40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6.81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-6.02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17.21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18.35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-6.21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055" w:type="dxa"/>
            <w:gridSpan w:val="8"/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（十）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bidi="ar"/>
              </w:rPr>
              <w:t>尿素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1.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产量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17.89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17.27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3.62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50.33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42.50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18.43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2662" w:type="dxa"/>
            <w:shd w:val="clear" w:color="auto" w:fill="auto"/>
            <w:vAlign w:val="center"/>
          </w:tcPr>
          <w:p>
            <w:pPr>
              <w:widowControl/>
              <w:ind w:left="315" w:leftChars="150"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销量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14.92 </w:t>
            </w:r>
          </w:p>
        </w:tc>
        <w:tc>
          <w:tcPr>
            <w:tcW w:w="118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16.92 </w:t>
            </w:r>
          </w:p>
        </w:tc>
        <w:tc>
          <w:tcPr>
            <w:tcW w:w="1370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-11.84 </w:t>
            </w:r>
          </w:p>
        </w:tc>
        <w:tc>
          <w:tcPr>
            <w:tcW w:w="1181" w:type="dxa"/>
            <w:gridSpan w:val="2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46.32 </w:t>
            </w:r>
          </w:p>
        </w:tc>
        <w:tc>
          <w:tcPr>
            <w:tcW w:w="1181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44.70 </w:t>
            </w:r>
          </w:p>
        </w:tc>
        <w:tc>
          <w:tcPr>
            <w:tcW w:w="1299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 xml:space="preserve">3.62 </w:t>
            </w:r>
          </w:p>
        </w:tc>
      </w:tr>
      <w:bookmarkEnd w:id="2"/>
    </w:tbl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注：</w:t>
      </w:r>
    </w:p>
    <w:p>
      <w:pPr>
        <w:snapToGrid w:val="0"/>
        <w:ind w:firstLine="480" w:firstLineChars="200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①醋酸乙酯产量、销量同比减少，主要是由于：兖矿鲁南化工有限公司积极应对市场环境变化，进行柔性生产，影响醋酸乙酯产量、销量同比减少。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②粗液体蜡、柴油产品产量、销量</w:t>
      </w:r>
      <w:r>
        <w:rPr>
          <w:rFonts w:hint="eastAsia" w:ascii="宋体" w:hAnsi="宋体"/>
          <w:sz w:val="24"/>
          <w:szCs w:val="24"/>
        </w:rPr>
        <w:t>同比增减变动，主要是由于：陕西未来能源化工有限公司积极应对市场环境变化，进行柔性生产，不断优化产品结构，影响其化工产品产量、销量变动。</w:t>
      </w:r>
    </w:p>
    <w:p>
      <w:pPr>
        <w:snapToGrid w:val="0"/>
        <w:ind w:firstLine="480" w:firstLineChars="200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③上表中产量、销量数据均经四舍五入，</w:t>
      </w:r>
      <w:r>
        <w:rPr>
          <w:rFonts w:hint="eastAsia"/>
          <w:sz w:val="24"/>
          <w:szCs w:val="24"/>
        </w:rPr>
        <w:t>但增减幅按四舍五入前的原始数据计算得出</w:t>
      </w:r>
      <w:r>
        <w:rPr>
          <w:rFonts w:hint="eastAsia" w:ascii="宋体" w:hAnsi="宋体"/>
          <w:sz w:val="24"/>
          <w:szCs w:val="24"/>
        </w:rPr>
        <w:t>。</w:t>
      </w:r>
    </w:p>
    <w:p>
      <w:pPr>
        <w:spacing w:line="520" w:lineRule="exact"/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于诸多因素影响，包括但不限于国家宏观政策调整、国内外市场环境变化、季节性因素、恶劣天气及灾害、设备检修和安全检查等，各个季度的运营数据可能存在较大差异。运营数据可能与相关期间定期报告披露的数据有差异，最终数据以相关期间定期报告披露数据为准。请广大投资者注意投资风险。</w:t>
      </w:r>
    </w:p>
    <w:p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</w:p>
    <w:p>
      <w:pPr>
        <w:adjustRightInd w:val="0"/>
        <w:snapToGrid w:val="0"/>
        <w:spacing w:line="500" w:lineRule="exact"/>
        <w:ind w:firstLine="4200" w:firstLineChars="1500"/>
        <w:rPr>
          <w:color w:val="000000"/>
          <w:sz w:val="28"/>
          <w:szCs w:val="28"/>
        </w:rPr>
      </w:pPr>
    </w:p>
    <w:p>
      <w:pPr>
        <w:spacing w:line="520" w:lineRule="exact"/>
        <w:ind w:firstLine="560" w:firstLineChars="20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兖矿能源集团股份有限公司董事会</w:t>
      </w:r>
    </w:p>
    <w:p>
      <w:pPr>
        <w:spacing w:line="520" w:lineRule="exact"/>
        <w:ind w:right="840" w:rightChars="40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2024年10月</w:t>
      </w:r>
      <w:r>
        <w:rPr>
          <w:rFonts w:ascii="宋体" w:hAnsi="宋体"/>
          <w:sz w:val="28"/>
          <w:szCs w:val="28"/>
        </w:rPr>
        <w:t>17</w:t>
      </w:r>
      <w:r>
        <w:rPr>
          <w:rFonts w:hint="eastAsia" w:ascii="宋体" w:hAnsi="宋体"/>
          <w:sz w:val="28"/>
          <w:szCs w:val="28"/>
        </w:rPr>
        <w:t>日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..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21323419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center" w:y="1"/>
      <w:rPr>
        <w:rStyle w:val="18"/>
      </w:rPr>
    </w:pPr>
    <w:r>
      <w:rPr>
        <w:rStyle w:val="18"/>
      </w:rPr>
      <w:fldChar w:fldCharType="begin"/>
    </w:r>
    <w:r>
      <w:rPr>
        <w:rStyle w:val="18"/>
      </w:rPr>
      <w:instrText xml:space="preserve">PAGE  </w:instrText>
    </w:r>
    <w:r>
      <w:rPr>
        <w:rStyle w:val="18"/>
      </w:rPr>
      <w:fldChar w:fldCharType="separate"/>
    </w:r>
    <w:r>
      <w:rPr>
        <w:rStyle w:val="18"/>
      </w:rPr>
      <w:t>1</w:t>
    </w:r>
    <w:r>
      <w:rPr>
        <w:rStyle w:val="18"/>
      </w:rPr>
      <w:fldChar w:fldCharType="end"/>
    </w:r>
  </w:p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1NmM5OTU2ZmY4Y2RiYTg3ZTQ2ZGQyMTliYjRmY2MifQ=="/>
    <w:docVar w:name="KSO_WPS_MARK_KEY" w:val="efacb410-a617-4496-afbd-5d833974be16"/>
  </w:docVars>
  <w:rsids>
    <w:rsidRoot w:val="00000000"/>
    <w:rsid w:val="7DC1007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qFormat="1" w:unhideWhenUsed="0" w:uiPriority="0" w:semiHidden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7">
    <w:name w:val="Default Paragraph Font"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28"/>
    <w:semiHidden/>
    <w:qFormat/>
    <w:uiPriority w:val="99"/>
    <w:pPr>
      <w:jc w:val="left"/>
    </w:pPr>
    <w:rPr>
      <w:lang w:val="zh-CN"/>
    </w:rPr>
  </w:style>
  <w:style w:type="paragraph" w:styleId="4">
    <w:name w:val="Body Text Indent"/>
    <w:basedOn w:val="1"/>
    <w:qFormat/>
    <w:uiPriority w:val="0"/>
    <w:pPr>
      <w:spacing w:line="480" w:lineRule="exact"/>
      <w:ind w:firstLine="560"/>
    </w:pPr>
    <w:rPr>
      <w:rFonts w:ascii="宋体" w:hAnsi="宋体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link w:val="29"/>
    <w:qFormat/>
    <w:uiPriority w:val="0"/>
    <w:rPr>
      <w:sz w:val="24"/>
      <w:lang w:val="zh-CN"/>
    </w:rPr>
  </w:style>
  <w:style w:type="paragraph" w:styleId="7">
    <w:name w:val="Body Text Indent 2"/>
    <w:basedOn w:val="1"/>
    <w:qFormat/>
    <w:uiPriority w:val="0"/>
    <w:pPr>
      <w:ind w:firstLine="539"/>
    </w:pPr>
    <w:rPr>
      <w:color w:val="FF0000"/>
    </w:r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3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1">
    <w:name w:val="Body Text Indent 3"/>
    <w:basedOn w:val="1"/>
    <w:qFormat/>
    <w:uiPriority w:val="0"/>
    <w:pPr>
      <w:spacing w:line="440" w:lineRule="exact"/>
      <w:ind w:firstLine="480"/>
    </w:pPr>
    <w:rPr>
      <w:rFonts w:ascii="宋体" w:hAnsi="宋体"/>
      <w:sz w:val="24"/>
    </w:rPr>
  </w:style>
  <w:style w:type="paragraph" w:styleId="12">
    <w:name w:val="index 1"/>
    <w:basedOn w:val="1"/>
    <w:next w:val="1"/>
    <w:qFormat/>
    <w:uiPriority w:val="0"/>
    <w:rPr>
      <w:rFonts w:eastAsia="楷体_GB2312"/>
      <w:sz w:val="28"/>
      <w:szCs w:val="24"/>
    </w:rPr>
  </w:style>
  <w:style w:type="paragraph" w:styleId="13">
    <w:name w:val="annotation subject"/>
    <w:basedOn w:val="3"/>
    <w:next w:val="3"/>
    <w:semiHidden/>
    <w:qFormat/>
    <w:uiPriority w:val="0"/>
    <w:rPr>
      <w:b/>
      <w:bCs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6">
    <w:name w:val="Table Colorful 2"/>
    <w:basedOn w:val="14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character" w:styleId="18">
    <w:name w:val="page number"/>
    <w:basedOn w:val="17"/>
    <w:qFormat/>
    <w:uiPriority w:val="0"/>
  </w:style>
  <w:style w:type="character" w:styleId="19">
    <w:name w:val="Hyperlink"/>
    <w:qFormat/>
    <w:uiPriority w:val="0"/>
    <w:rPr>
      <w:color w:val="0000FF"/>
      <w:u w:val="single"/>
    </w:rPr>
  </w:style>
  <w:style w:type="character" w:styleId="20">
    <w:name w:val="annotation reference"/>
    <w:semiHidden/>
    <w:qFormat/>
    <w:uiPriority w:val="0"/>
    <w:rPr>
      <w:sz w:val="21"/>
      <w:szCs w:val="21"/>
    </w:rPr>
  </w:style>
  <w:style w:type="paragraph" w:customStyle="1" w:styleId="21">
    <w:name w:val="正文1"/>
    <w:qFormat/>
    <w:uiPriority w:val="0"/>
    <w:pPr>
      <w:jc w:val="both"/>
    </w:pPr>
    <w:rPr>
      <w:rFonts w:ascii="Times New Roman" w:hAnsi="Times New Roman" w:eastAsia="PMingLiU" w:cs="Times New Roman"/>
      <w:kern w:val="2"/>
      <w:sz w:val="24"/>
      <w:lang w:val="en-US" w:eastAsia="zh-TW" w:bidi="ar-SA"/>
    </w:rPr>
  </w:style>
  <w:style w:type="character" w:customStyle="1" w:styleId="22">
    <w:name w:val="已访问的超链接1"/>
    <w:qFormat/>
    <w:uiPriority w:val="0"/>
    <w:rPr>
      <w:color w:val="800080"/>
      <w:u w:val="single"/>
    </w:rPr>
  </w:style>
  <w:style w:type="paragraph" w:customStyle="1" w:styleId="23">
    <w:name w:val="默认段落字体 Para Char Char Char Char Char Char Char"/>
    <w:basedOn w:val="1"/>
    <w:qFormat/>
    <w:uiPriority w:val="0"/>
    <w:rPr>
      <w:rFonts w:ascii="Tahoma" w:hAnsi="Tahoma"/>
      <w:sz w:val="24"/>
    </w:rPr>
  </w:style>
  <w:style w:type="paragraph" w:customStyle="1" w:styleId="24">
    <w:name w:val="Char Char Char Char 字元 字元 Char Char 字元 字元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Verdana" w:hAnsi="Verdana" w:eastAsia="Times New Roman"/>
      <w:kern w:val="0"/>
      <w:sz w:val="20"/>
      <w:lang w:eastAsia="en-US"/>
    </w:rPr>
  </w:style>
  <w:style w:type="paragraph" w:customStyle="1" w:styleId="25">
    <w:name w:val="Default"/>
    <w:qFormat/>
    <w:uiPriority w:val="0"/>
    <w:pPr>
      <w:widowControl w:val="0"/>
      <w:autoSpaceDE w:val="0"/>
      <w:autoSpaceDN w:val="0"/>
      <w:adjustRightInd w:val="0"/>
    </w:pPr>
    <w:rPr>
      <w:rFonts w:ascii=".." w:hAnsi="Times New Roman" w:eastAsia=".." w:cs="Times New Roman"/>
      <w:color w:val="000000"/>
      <w:sz w:val="24"/>
      <w:szCs w:val="24"/>
      <w:lang w:val="en-US" w:eastAsia="zh-CN" w:bidi="ar-SA"/>
    </w:rPr>
  </w:style>
  <w:style w:type="paragraph" w:customStyle="1" w:styleId="26">
    <w:name w:val="Char Char Char1 Char"/>
    <w:basedOn w:val="2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  <w:szCs w:val="28"/>
    </w:rPr>
  </w:style>
  <w:style w:type="character" w:customStyle="1" w:styleId="27">
    <w:name w:val="页眉 字符"/>
    <w:link w:val="10"/>
    <w:qFormat/>
    <w:uiPriority w:val="0"/>
    <w:rPr>
      <w:kern w:val="2"/>
      <w:sz w:val="18"/>
      <w:szCs w:val="18"/>
    </w:rPr>
  </w:style>
  <w:style w:type="character" w:customStyle="1" w:styleId="28">
    <w:name w:val="批注文字 字符"/>
    <w:link w:val="3"/>
    <w:semiHidden/>
    <w:qFormat/>
    <w:uiPriority w:val="99"/>
    <w:rPr>
      <w:kern w:val="2"/>
      <w:sz w:val="21"/>
    </w:rPr>
  </w:style>
  <w:style w:type="character" w:customStyle="1" w:styleId="29">
    <w:name w:val="日期 字符"/>
    <w:link w:val="6"/>
    <w:qFormat/>
    <w:uiPriority w:val="0"/>
    <w:rPr>
      <w:kern w:val="2"/>
      <w:sz w:val="24"/>
    </w:rPr>
  </w:style>
  <w:style w:type="paragraph" w:customStyle="1" w:styleId="30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customStyle="1" w:styleId="31">
    <w:name w:val="列表段落1"/>
    <w:basedOn w:val="1"/>
    <w:qFormat/>
    <w:uiPriority w:val="34"/>
    <w:pPr>
      <w:ind w:firstLine="420" w:firstLineChars="200"/>
    </w:pPr>
  </w:style>
  <w:style w:type="character" w:customStyle="1" w:styleId="32">
    <w:name w:val="页脚 字符"/>
    <w:basedOn w:val="17"/>
    <w:link w:val="9"/>
    <w:qFormat/>
    <w:uiPriority w:val="99"/>
    <w:rPr>
      <w:kern w:val="2"/>
      <w:sz w:val="18"/>
    </w:rPr>
  </w:style>
  <w:style w:type="paragraph" w:customStyle="1" w:styleId="33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61A9578-6934-4D3D-951A-1B08FA367A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csc</Company>
  <Pages>2</Pages>
  <Words>258</Words>
  <Characters>1474</Characters>
  <Lines>12</Lines>
  <Paragraphs>3</Paragraphs>
  <TotalTime>92</TotalTime>
  <ScaleCrop>false</ScaleCrop>
  <LinksUpToDate>false</LinksUpToDate>
  <CharactersWithSpaces>1729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2024-10-09T02:58:00Z</dcterms:created>
  <dc:creator>熊振中</dc:creator>
  <cp:lastModifiedBy>YUANSU HU</cp:lastModifiedBy>
  <cp:lastPrinted>2024-10-14T09:10:00Z</cp:lastPrinted>
  <dcterms:modified xsi:type="dcterms:W3CDTF">2024-10-16T07:25:48Z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5B77E7CEEC58BC6AFAE8886BEB80DBEB">
    <vt:lpwstr>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</vt:lpwstr>
  </property>
  <property fmtid="{D5CDD505-2E9C-101B-9397-08002B2CF9AE}" pid="4" name="ICV">
    <vt:lpwstr>5AA6AF35894A4F1C9CB70AC17D5E1BFE_12</vt:lpwstr>
  </property>
</Properties>
</file>