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eastAsia="楷体_GB2312"/>
          <w:color w:val="000000"/>
          <w:lang w:val="en-US" w:eastAsia="zh-CN"/>
        </w:rPr>
      </w:pPr>
      <w:r>
        <w:rPr>
          <w:rFonts w:eastAsia="黑体"/>
          <w:color w:val="000000"/>
        </w:rPr>
        <w:t>股票代码：600188               股票简称：兖矿能源               编号：临2024-</w:t>
      </w:r>
      <w:r>
        <w:rPr>
          <w:rFonts w:hint="eastAsia" w:eastAsia="楷体_GB2312"/>
          <w:color w:val="000000"/>
          <w:lang w:val="en-US" w:eastAsia="zh-CN"/>
        </w:rPr>
        <w:t>064</w:t>
      </w:r>
    </w:p>
    <w:p>
      <w:pPr>
        <w:spacing w:line="520" w:lineRule="exact"/>
        <w:jc w:val="center"/>
        <w:rPr>
          <w:rFonts w:eastAsia="黑体"/>
          <w:b/>
          <w:bCs/>
          <w:color w:val="FF0000"/>
          <w:sz w:val="36"/>
          <w:szCs w:val="36"/>
        </w:rPr>
      </w:pPr>
    </w:p>
    <w:p>
      <w:pPr>
        <w:spacing w:line="520" w:lineRule="exact"/>
        <w:jc w:val="center"/>
        <w:rPr>
          <w:rFonts w:eastAsia="黑体"/>
          <w:b/>
          <w:bCs/>
          <w:color w:val="FF0000"/>
          <w:sz w:val="36"/>
          <w:szCs w:val="36"/>
        </w:rPr>
      </w:pPr>
      <w:r>
        <w:rPr>
          <w:rFonts w:eastAsia="黑体"/>
          <w:b/>
          <w:bCs/>
          <w:color w:val="FF0000"/>
          <w:sz w:val="36"/>
          <w:szCs w:val="36"/>
        </w:rPr>
        <w:t>兖矿能源集团股份有限公司</w:t>
      </w:r>
    </w:p>
    <w:p>
      <w:pPr>
        <w:spacing w:line="520" w:lineRule="exact"/>
        <w:jc w:val="center"/>
        <w:rPr>
          <w:b/>
          <w:bCs/>
          <w:color w:val="000000"/>
          <w:sz w:val="32"/>
        </w:rPr>
      </w:pPr>
      <w:r>
        <w:rPr>
          <w:rFonts w:eastAsia="黑体"/>
          <w:b/>
          <w:bCs/>
          <w:color w:val="FF0000"/>
          <w:sz w:val="36"/>
          <w:szCs w:val="36"/>
        </w:rPr>
        <w:t>关于收购境外公司股权</w:t>
      </w:r>
      <w:r>
        <w:rPr>
          <w:rFonts w:hint="eastAsia" w:eastAsia="黑体"/>
          <w:b/>
          <w:bCs/>
          <w:color w:val="FF0000"/>
          <w:sz w:val="36"/>
          <w:szCs w:val="36"/>
        </w:rPr>
        <w:t>事项完成交割</w:t>
      </w:r>
      <w:r>
        <w:rPr>
          <w:rFonts w:eastAsia="黑体"/>
          <w:b/>
          <w:bCs/>
          <w:color w:val="FF0000"/>
          <w:sz w:val="36"/>
          <w:szCs w:val="36"/>
        </w:rPr>
        <w:t>的公告</w:t>
      </w:r>
    </w:p>
    <w:p>
      <w:pPr>
        <w:spacing w:after="156" w:afterLines="50" w:line="520" w:lineRule="exact"/>
        <w:jc w:val="center"/>
        <w:rPr>
          <w:b/>
          <w:bCs/>
          <w:color w:val="000000"/>
          <w:sz w:val="28"/>
        </w:rPr>
      </w:pPr>
      <w:r>
        <w:rPr>
          <w:b/>
          <w:bCs/>
          <w:color w:val="000000"/>
          <w:sz w:val="28"/>
        </w:rPr>
        <mc:AlternateContent>
          <mc:Choice Requires="wps">
            <w:drawing>
              <wp:anchor distT="0" distB="0" distL="0" distR="0" simplePos="0" relativeHeight="251660288" behindDoc="0" locked="0" layoutInCell="1" allowOverlap="1">
                <wp:simplePos x="0" y="0"/>
                <wp:positionH relativeFrom="column">
                  <wp:posOffset>114300</wp:posOffset>
                </wp:positionH>
                <wp:positionV relativeFrom="paragraph">
                  <wp:posOffset>150495</wp:posOffset>
                </wp:positionV>
                <wp:extent cx="5372100" cy="980440"/>
                <wp:effectExtent l="9525" t="12065" r="9525" b="7620"/>
                <wp:wrapNone/>
                <wp:docPr id="1026" name="文本框 1"/>
                <wp:cNvGraphicFramePr/>
                <a:graphic xmlns:a="http://schemas.openxmlformats.org/drawingml/2006/main">
                  <a:graphicData uri="http://schemas.microsoft.com/office/word/2010/wordprocessingShape">
                    <wps:wsp>
                      <wps:cNvSpPr/>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vert="horz" wrap="square" lIns="91440" tIns="45720" rIns="91440" bIns="45720" anchor="t" upright="1">
                        <a:noAutofit/>
                      </wps:bodyPr>
                    </wps:wsp>
                  </a:graphicData>
                </a:graphic>
              </wp:anchor>
            </w:drawing>
          </mc:Choice>
          <mc:Fallback>
            <w:pict>
              <v:rect id="文本框 1" o:spid="_x0000_s1026" o:spt="1" style="position:absolute;left:0pt;margin-left:9pt;margin-top:11.85pt;height:77.2pt;width:423pt;z-index:251660288;mso-width-relative:page;mso-height-relative:page;" fillcolor="#FFFFFF" filled="t" stroked="t" coordsize="21600,21600" o:gfxdata="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OGh/vWAAAACQEAAA8AAAAAAAAAAQAgAAAAIgAA&#10;AGRycy9kb3ducmV2LnhtbFBLAQIUABQAAAAIAIdO4kDTmxnZQwIAAKIEAAAOAAAAAAAAAAEAIAAA&#10;ACUBAABkcnMvZTJvRG9jLnhtbFBLBQYAAAAABgAGAFkBAADaBQ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rect>
            </w:pict>
          </mc:Fallback>
        </mc:AlternateContent>
      </w:r>
    </w:p>
    <w:p>
      <w:pPr>
        <w:spacing w:after="156" w:afterLines="50" w:line="520" w:lineRule="exact"/>
        <w:jc w:val="center"/>
        <w:rPr>
          <w:b/>
          <w:bCs/>
          <w:color w:val="000000"/>
          <w:sz w:val="28"/>
        </w:rPr>
      </w:pPr>
    </w:p>
    <w:p>
      <w:pPr>
        <w:spacing w:after="156" w:afterLines="50" w:line="520" w:lineRule="exact"/>
        <w:jc w:val="center"/>
        <w:rPr>
          <w:b/>
          <w:bCs/>
          <w:color w:val="000000"/>
          <w:sz w:val="28"/>
        </w:rPr>
      </w:pPr>
    </w:p>
    <w:p/>
    <w:p>
      <w:pPr>
        <w:snapToGrid w:val="0"/>
        <w:spacing w:before="156" w:beforeLines="50" w:after="156" w:afterLines="50" w:line="520" w:lineRule="exact"/>
        <w:ind w:firstLine="560" w:firstLineChars="200"/>
        <w:rPr>
          <w:sz w:val="28"/>
        </w:rPr>
      </w:pPr>
      <w:r>
        <w:rPr>
          <w:rFonts w:hint="eastAsia" w:ascii="宋体" w:hAnsi="宋体" w:eastAsia="宋体" w:cs="宋体"/>
          <w:sz w:val="28"/>
        </w:rPr>
        <w:t>2024年3月1日，兖矿能源集团股份有限公司（“兖矿能源”“公司”）与Shareholder Value Management Aktiengesellschaft、Shareholder Value Beteiligungen Aktiengesellschaft等10方签署了《股份购买协议-关于出售及购买SMT Scharf AG特定股份》；与Famous Holding GmbH签署了《股份购买协议（Famous）-关于出售及购买SMT Scharf AG特定股份》（上述两份协议合称“《股份购买协议》”）。公司</w:t>
      </w:r>
      <w:r>
        <w:rPr>
          <w:rFonts w:hint="eastAsia" w:ascii="宋体" w:hAnsi="宋体" w:cs="宋体"/>
          <w:sz w:val="28"/>
          <w:lang w:val="en-US" w:eastAsia="zh-CN"/>
        </w:rPr>
        <w:t>拟</w:t>
      </w:r>
      <w:r>
        <w:rPr>
          <w:rFonts w:hint="eastAsia" w:ascii="宋体" w:hAnsi="宋体" w:eastAsia="宋体" w:cs="宋体"/>
          <w:sz w:val="28"/>
        </w:rPr>
        <w:t>以现金收购交易对方合计持有的SMT Scharf AG（“标的公司”）2,907,454股普通股股份，公司实际支付转让价款约为3,216.95万欧元（“本次交易”）。</w:t>
      </w:r>
    </w:p>
    <w:p>
      <w:pPr>
        <w:snapToGrid w:val="0"/>
        <w:spacing w:before="156" w:beforeLines="50" w:after="156" w:afterLines="50" w:line="520" w:lineRule="exact"/>
        <w:ind w:firstLine="560" w:firstLineChars="200"/>
        <w:rPr>
          <w:rFonts w:hint="eastAsia" w:ascii="楷体_GB2312" w:hAnsi="楷体_GB2312" w:eastAsia="楷体_GB2312" w:cs="楷体_GB2312"/>
          <w:sz w:val="28"/>
        </w:rPr>
      </w:pPr>
      <w:r>
        <w:rPr>
          <w:rFonts w:hint="eastAsia" w:ascii="楷体_GB2312" w:hAnsi="楷体_GB2312" w:eastAsia="楷体_GB2312" w:cs="楷体_GB2312"/>
          <w:sz w:val="28"/>
        </w:rPr>
        <w:t>有关详情请参见公司日期为2024年3月1日的关于收购境外公司股权的公告，该等资料刊载于上海证券交易所网站、香港联合交易所有限公司网站、公司网站及/或《中国证券报》《上海证券报》《证券时报》《证券日报》。</w:t>
      </w:r>
    </w:p>
    <w:p>
      <w:pPr>
        <w:snapToGrid w:val="0"/>
        <w:spacing w:before="156" w:beforeLines="50" w:after="156" w:afterLines="5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2024年9月</w:t>
      </w:r>
      <w:r>
        <w:rPr>
          <w:rFonts w:hint="eastAsia" w:ascii="宋体" w:hAnsi="宋体" w:eastAsia="宋体" w:cs="宋体"/>
          <w:sz w:val="28"/>
          <w:szCs w:val="28"/>
          <w:highlight w:val="none"/>
          <w:lang w:val="en-US" w:eastAsia="zh-CN"/>
        </w:rPr>
        <w:t>18</w:t>
      </w:r>
      <w:r>
        <w:rPr>
          <w:rFonts w:hint="eastAsia" w:ascii="宋体" w:hAnsi="宋体" w:eastAsia="宋体" w:cs="宋体"/>
          <w:sz w:val="28"/>
          <w:szCs w:val="28"/>
        </w:rPr>
        <w:t>日，交易各方签署了《交割条件确认书》等相关文件，确认本次交易的交割条件已经达成或被予以豁免。</w:t>
      </w:r>
      <w:r>
        <w:rPr>
          <w:rFonts w:hint="eastAsia" w:ascii="宋体" w:hAnsi="宋体" w:eastAsia="宋体" w:cs="宋体"/>
          <w:color w:val="auto"/>
          <w:sz w:val="28"/>
          <w:szCs w:val="28"/>
        </w:rPr>
        <w:t>2024年9月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rPr>
        <w:t>日，标的股份完成交割并转让至公司，资金监管账户中的部分交易价款已按照交易文件的约定支付至交易对方指定账户，公司建议的人士已经成为标的公司监事会成员。</w:t>
      </w:r>
      <w:r>
        <w:rPr>
          <w:rFonts w:hint="eastAsia" w:ascii="宋体" w:hAnsi="宋体" w:eastAsia="宋体" w:cs="宋体"/>
          <w:sz w:val="28"/>
          <w:szCs w:val="28"/>
        </w:rPr>
        <w:t>交易各方将按照《股份购买协议》及相关文件的约定办理后续事项。</w:t>
      </w:r>
    </w:p>
    <w:p>
      <w:pPr>
        <w:snapToGrid w:val="0"/>
        <w:spacing w:before="156" w:beforeLines="50" w:after="156" w:afterLines="5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本次交易有利于公司对矿用设备板块的战略延伸，有利于公司持续推进国际化布局进程，加强</w:t>
      </w:r>
      <w:bookmarkStart w:id="0" w:name="_GoBack"/>
      <w:bookmarkEnd w:id="0"/>
      <w:r>
        <w:rPr>
          <w:rFonts w:hint="eastAsia" w:ascii="宋体" w:hAnsi="宋体" w:eastAsia="宋体" w:cs="宋体"/>
          <w:sz w:val="28"/>
          <w:szCs w:val="28"/>
        </w:rPr>
        <w:t>国际化发展竞争优势。此外，根据本次交易协议的相关约定，标的公司将在本次交易完成后，尽最大努力并采取合理行动转板至德国法兰克福证券交易所受监管高级市场上市。就其转板上市的有关情况，公司将及时履行信息披露义务。</w:t>
      </w:r>
    </w:p>
    <w:p>
      <w:pPr>
        <w:adjustRightInd w:val="0"/>
        <w:snapToGrid w:val="0"/>
        <w:spacing w:line="520" w:lineRule="exact"/>
        <w:ind w:left="560"/>
        <w:rPr>
          <w:rFonts w:hint="eastAsia" w:ascii="宋体" w:hAnsi="宋体" w:eastAsia="宋体" w:cs="宋体"/>
          <w:sz w:val="28"/>
          <w:szCs w:val="28"/>
        </w:rPr>
      </w:pPr>
      <w:r>
        <w:rPr>
          <w:rFonts w:hint="eastAsia" w:ascii="宋体" w:hAnsi="宋体" w:eastAsia="宋体" w:cs="宋体"/>
          <w:sz w:val="28"/>
          <w:szCs w:val="28"/>
        </w:rPr>
        <w:t>特此公告。</w:t>
      </w:r>
    </w:p>
    <w:p>
      <w:pPr>
        <w:spacing w:line="520" w:lineRule="exact"/>
        <w:ind w:firstLine="3920" w:firstLineChars="1400"/>
        <w:jc w:val="right"/>
        <w:rPr>
          <w:rFonts w:hint="eastAsia" w:ascii="宋体" w:hAnsi="宋体" w:eastAsia="宋体" w:cs="宋体"/>
          <w:sz w:val="28"/>
          <w:szCs w:val="28"/>
        </w:rPr>
      </w:pPr>
    </w:p>
    <w:p>
      <w:pPr>
        <w:spacing w:line="520" w:lineRule="exact"/>
        <w:ind w:firstLine="3920" w:firstLineChars="1400"/>
        <w:jc w:val="right"/>
        <w:rPr>
          <w:rFonts w:hint="eastAsia" w:ascii="宋体" w:hAnsi="宋体" w:eastAsia="宋体" w:cs="宋体"/>
          <w:sz w:val="28"/>
          <w:szCs w:val="28"/>
        </w:rPr>
      </w:pPr>
      <w:r>
        <w:rPr>
          <w:rFonts w:hint="eastAsia" w:ascii="宋体" w:hAnsi="宋体" w:eastAsia="宋体" w:cs="宋体"/>
          <w:sz w:val="28"/>
          <w:szCs w:val="28"/>
        </w:rPr>
        <w:t>兖矿能源集团股份有限公司董事会</w:t>
      </w:r>
    </w:p>
    <w:p>
      <w:pPr>
        <w:spacing w:line="520" w:lineRule="exact"/>
        <w:jc w:val="right"/>
        <w:rPr>
          <w:rFonts w:hint="eastAsia" w:ascii="宋体" w:hAnsi="宋体" w:eastAsia="宋体" w:cs="宋体"/>
          <w:sz w:val="28"/>
          <w:szCs w:val="28"/>
        </w:rPr>
      </w:pPr>
      <w:r>
        <w:rPr>
          <w:rFonts w:hint="eastAsia" w:ascii="宋体" w:hAnsi="宋体" w:eastAsia="宋体" w:cs="宋体"/>
          <w:sz w:val="28"/>
          <w:szCs w:val="28"/>
        </w:rPr>
        <w:t>2024年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20</w:t>
      </w:r>
      <w:r>
        <w:rPr>
          <w:rFonts w:hint="eastAsia" w:ascii="宋体" w:hAnsi="宋体" w:eastAsia="宋体" w:cs="宋体"/>
          <w:sz w:val="28"/>
          <w:szCs w:val="28"/>
        </w:rPr>
        <w:t>日</w:t>
      </w:r>
    </w:p>
    <w:p>
      <w:pPr>
        <w:rPr>
          <w:rFonts w:hint="eastAsia" w:ascii="宋体" w:hAnsi="宋体" w:eastAsia="宋体" w:cs="宋体"/>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dc4d4306-56dc-4c4b-a973-53d9fc649913"/>
  </w:docVars>
  <w:rsids>
    <w:rsidRoot w:val="00C03F32"/>
    <w:rsid w:val="00074154"/>
    <w:rsid w:val="001117C7"/>
    <w:rsid w:val="00111DE5"/>
    <w:rsid w:val="001134D1"/>
    <w:rsid w:val="0012264C"/>
    <w:rsid w:val="00257712"/>
    <w:rsid w:val="00306143"/>
    <w:rsid w:val="005324C0"/>
    <w:rsid w:val="00596211"/>
    <w:rsid w:val="00696523"/>
    <w:rsid w:val="006A3427"/>
    <w:rsid w:val="006E167E"/>
    <w:rsid w:val="007E7D8C"/>
    <w:rsid w:val="007F29DA"/>
    <w:rsid w:val="008D3929"/>
    <w:rsid w:val="008D5E63"/>
    <w:rsid w:val="00A25DFE"/>
    <w:rsid w:val="00A32F32"/>
    <w:rsid w:val="00A56CF0"/>
    <w:rsid w:val="00A63BAF"/>
    <w:rsid w:val="00B376D9"/>
    <w:rsid w:val="00B620FC"/>
    <w:rsid w:val="00B77DA9"/>
    <w:rsid w:val="00B80584"/>
    <w:rsid w:val="00BA0274"/>
    <w:rsid w:val="00BB2C10"/>
    <w:rsid w:val="00BD197A"/>
    <w:rsid w:val="00C03F32"/>
    <w:rsid w:val="00C441D4"/>
    <w:rsid w:val="00CB3377"/>
    <w:rsid w:val="00D411C0"/>
    <w:rsid w:val="00D41DCA"/>
    <w:rsid w:val="00D926B2"/>
    <w:rsid w:val="00E35401"/>
    <w:rsid w:val="00EA68DD"/>
    <w:rsid w:val="00F34364"/>
    <w:rsid w:val="0CEF4223"/>
    <w:rsid w:val="0DBD3B34"/>
    <w:rsid w:val="17AC4A5D"/>
    <w:rsid w:val="292363E3"/>
    <w:rsid w:val="3E0550EF"/>
    <w:rsid w:val="47FD2B03"/>
    <w:rsid w:val="673A38C4"/>
    <w:rsid w:val="75900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iPriority w:val="99"/>
    <w:pPr>
      <w:jc w:val="left"/>
    </w:pPr>
  </w:style>
  <w:style w:type="paragraph" w:styleId="3">
    <w:name w:val="Balloon Text"/>
    <w:basedOn w:val="1"/>
    <w:link w:val="13"/>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character" w:styleId="9">
    <w:name w:val="annotation reference"/>
    <w:basedOn w:val="8"/>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rFonts w:ascii="Times New Roman" w:hAnsi="Times New Roman" w:eastAsia="宋体" w:cs="Times New Roman"/>
      <w:sz w:val="18"/>
      <w:szCs w:val="18"/>
    </w:rPr>
  </w:style>
  <w:style w:type="character" w:customStyle="1" w:styleId="12">
    <w:name w:val="页脚 字符"/>
    <w:basedOn w:val="8"/>
    <w:link w:val="4"/>
    <w:qFormat/>
    <w:uiPriority w:val="99"/>
    <w:rPr>
      <w:rFonts w:ascii="Times New Roman" w:hAnsi="Times New Roman" w:eastAsia="宋体" w:cs="Times New Roman"/>
      <w:sz w:val="18"/>
      <w:szCs w:val="18"/>
    </w:rPr>
  </w:style>
  <w:style w:type="character" w:customStyle="1" w:styleId="13">
    <w:name w:val="批注框文本 字符"/>
    <w:basedOn w:val="8"/>
    <w:link w:val="3"/>
    <w:qFormat/>
    <w:uiPriority w:val="99"/>
    <w:rPr>
      <w:rFonts w:ascii="Times New Roman" w:hAnsi="Times New Roman" w:eastAsia="宋体" w:cs="Times New Roman"/>
      <w:sz w:val="18"/>
      <w:szCs w:val="18"/>
    </w:rPr>
  </w:style>
  <w:style w:type="character" w:customStyle="1" w:styleId="14">
    <w:name w:val="批注文字 字符"/>
    <w:basedOn w:val="8"/>
    <w:link w:val="2"/>
    <w:qFormat/>
    <w:uiPriority w:val="99"/>
    <w:rPr>
      <w:rFonts w:ascii="Times New Roman" w:hAnsi="Times New Roman" w:eastAsia="宋体" w:cs="Times New Roman"/>
      <w:szCs w:val="20"/>
    </w:rPr>
  </w:style>
  <w:style w:type="character" w:customStyle="1" w:styleId="15">
    <w:name w:val="批注主题 字符"/>
    <w:basedOn w:val="14"/>
    <w:link w:val="6"/>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2</Pages>
  <Words>665</Words>
  <Characters>837</Characters>
  <Lines>8</Lines>
  <Paragraphs>2</Paragraphs>
  <TotalTime>2280</TotalTime>
  <ScaleCrop>false</ScaleCrop>
  <LinksUpToDate>false</LinksUpToDate>
  <CharactersWithSpaces>881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2024-08-27T10:07:00Z</dcterms:created>
  <dc:creator>KWM</dc:creator>
  <cp:lastModifiedBy>YUANSU HU</cp:lastModifiedBy>
  <cp:lastPrinted>2024-09-19T08:02:00Z</cp:lastPrinted>
  <dcterms:modified xsi:type="dcterms:W3CDTF">2024-09-20T01:44:04Z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d7aea9ef544b4f88b80b14bae9d766cb_23</vt:lpwstr>
  </property>
  <property fmtid="{D5CDD505-2E9C-101B-9397-08002B2CF9AE}" pid="3" name="KSOProductBuildVer">
    <vt:lpwstr>2052-11.1.0.14309</vt:lpwstr>
  </property>
  <property fmtid="{D5CDD505-2E9C-101B-9397-08002B2CF9AE}" pid="4" name="5B77E7CEEC58BC6AFAE8886BEB80DBEB">
    <vt:lpwstr>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</vt:lpwstr>
  </property>
</Properties>
</file>