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eastAsia="楷体_GB2312"/>
          <w:color w:val="000000"/>
          <w:lang w:val="en-US" w:eastAsia="zh-CN"/>
        </w:rPr>
      </w:pPr>
      <w:r>
        <w:rPr>
          <w:rFonts w:eastAsia="黑体"/>
          <w:color w:val="000000"/>
        </w:rPr>
        <w:t>股票代码：600188               股票简称：兖矿能源           编号：临2024-</w:t>
      </w:r>
      <w:r>
        <w:rPr>
          <w:rFonts w:hint="eastAsia" w:eastAsia="楷体_GB2312"/>
          <w:color w:val="000000"/>
          <w:lang w:val="en-US" w:eastAsia="zh-CN"/>
        </w:rPr>
        <w:t>066</w:t>
      </w:r>
    </w:p>
    <w:p>
      <w:pPr>
        <w:spacing w:line="520" w:lineRule="exact"/>
        <w:jc w:val="center"/>
        <w:rPr>
          <w:rFonts w:eastAsia="黑体"/>
          <w:b/>
          <w:bCs/>
          <w:color w:val="FF0000"/>
          <w:sz w:val="36"/>
          <w:szCs w:val="36"/>
        </w:rPr>
      </w:pPr>
    </w:p>
    <w:p>
      <w:pPr>
        <w:spacing w:line="520" w:lineRule="exact"/>
        <w:jc w:val="center"/>
        <w:rPr>
          <w:rFonts w:eastAsia="黑体"/>
          <w:b/>
          <w:bCs/>
          <w:color w:val="FF0000"/>
          <w:sz w:val="36"/>
          <w:szCs w:val="36"/>
        </w:rPr>
      </w:pPr>
      <w:r>
        <w:rPr>
          <w:rFonts w:eastAsia="黑体"/>
          <w:b/>
          <w:bCs/>
          <w:color w:val="FF0000"/>
          <w:sz w:val="36"/>
          <w:szCs w:val="36"/>
        </w:rPr>
        <w:t>兖矿能源集团股份有限公司</w:t>
      </w:r>
    </w:p>
    <w:p>
      <w:pPr>
        <w:spacing w:line="520" w:lineRule="exact"/>
        <w:jc w:val="center"/>
        <w:rPr>
          <w:b/>
          <w:bCs/>
          <w:color w:val="000000"/>
          <w:sz w:val="32"/>
        </w:rPr>
      </w:pPr>
      <w:r>
        <w:rPr>
          <w:rFonts w:eastAsia="黑体"/>
          <w:b/>
          <w:bCs/>
          <w:color w:val="FF0000"/>
          <w:sz w:val="36"/>
          <w:szCs w:val="36"/>
        </w:rPr>
        <w:t>关于</w:t>
      </w:r>
      <w:r>
        <w:rPr>
          <w:rFonts w:hint="eastAsia" w:eastAsia="黑体"/>
          <w:b/>
          <w:bCs/>
          <w:color w:val="FF0000"/>
          <w:sz w:val="36"/>
          <w:szCs w:val="36"/>
        </w:rPr>
        <w:t>境外控股子公司转换上市板块</w:t>
      </w:r>
      <w:r>
        <w:rPr>
          <w:rFonts w:eastAsia="黑体"/>
          <w:b/>
          <w:bCs/>
          <w:color w:val="FF0000"/>
          <w:sz w:val="36"/>
          <w:szCs w:val="36"/>
        </w:rPr>
        <w:t>的公告</w:t>
      </w:r>
    </w:p>
    <w:p>
      <w:pPr>
        <w:spacing w:after="156" w:afterLines="50" w:line="520" w:lineRule="exact"/>
        <w:jc w:val="center"/>
        <w:rPr>
          <w:b/>
          <w:bCs/>
          <w:color w:val="000000"/>
          <w:sz w:val="28"/>
        </w:rPr>
      </w:pPr>
      <w:r>
        <w:rPr>
          <w:b/>
          <w:bCs/>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150495</wp:posOffset>
                </wp:positionV>
                <wp:extent cx="5372100" cy="980440"/>
                <wp:effectExtent l="9525" t="12065" r="9525" b="76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cmpd="sng">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85pt;height:77.2pt;width:423pt;z-index:251660288;mso-width-relative:page;mso-height-relative:page;" fillcolor="#FFFFFF" filled="t" stroked="t" coordsize="21600,21600" o:gfxdata="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0FiK/XAAAACQEAAA8AAAAAAAAAAQAg&#10;AAAAIgAAAGRycy9kb3ducmV2LnhtbFBLAQIUABQAAAAIAIdO4kBMjAAGSAIAAJIEAAAOAAAAAAAA&#10;AAEAIAAAACYBAABkcnMvZTJvRG9jLnhtbFBLBQYAAAAABgAGAFkBAADg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spacing w:after="156" w:afterLines="50" w:line="520" w:lineRule="exact"/>
        <w:jc w:val="center"/>
        <w:rPr>
          <w:b/>
          <w:bCs/>
          <w:color w:val="000000"/>
          <w:sz w:val="28"/>
        </w:rPr>
      </w:pPr>
    </w:p>
    <w:p>
      <w:pPr>
        <w:spacing w:after="156" w:afterLines="50" w:line="520" w:lineRule="exact"/>
        <w:jc w:val="center"/>
        <w:rPr>
          <w:b/>
          <w:bCs/>
          <w:color w:val="000000"/>
          <w:sz w:val="28"/>
        </w:rPr>
      </w:pPr>
    </w:p>
    <w:p/>
    <w:p>
      <w:pPr>
        <w:snapToGrid w:val="0"/>
        <w:spacing w:before="156" w:beforeLines="50" w:after="156" w:afterLines="50" w:line="520" w:lineRule="exact"/>
        <w:ind w:firstLine="560" w:firstLineChars="200"/>
        <w:rPr>
          <w:rFonts w:hint="eastAsia" w:ascii="宋体" w:hAnsi="宋体" w:cs="宋体"/>
          <w:sz w:val="28"/>
          <w:highlight w:val="none"/>
          <w:lang w:val="en-US" w:eastAsia="zh-CN"/>
        </w:rPr>
      </w:pPr>
      <w:r>
        <w:rPr>
          <w:rFonts w:hint="eastAsia" w:ascii="宋体" w:hAnsi="宋体" w:cs="宋体"/>
          <w:sz w:val="28"/>
        </w:rPr>
        <w:t>2024年3月1日，兖矿能源集团股份有限公司（“公司”）与Shareholder Value Management Aktiengesellschaft等11方签署股份购买协议，公司以现金收购交易对方所合计持有的SMT Scharf AG（“</w:t>
      </w:r>
      <w:r>
        <w:rPr>
          <w:rFonts w:hint="eastAsia" w:ascii="宋体" w:hAnsi="宋体" w:cs="宋体"/>
          <w:sz w:val="28"/>
          <w:highlight w:val="none"/>
          <w:lang w:val="en-US" w:eastAsia="zh-CN"/>
        </w:rPr>
        <w:t>沙尔夫公司</w:t>
      </w:r>
      <w:r>
        <w:rPr>
          <w:rFonts w:hint="eastAsia" w:ascii="宋体" w:hAnsi="宋体" w:cs="宋体"/>
          <w:sz w:val="28"/>
          <w:highlight w:val="none"/>
        </w:rPr>
        <w:t>”）2,907,454股普通股股份（“标的股</w:t>
      </w:r>
      <w:r>
        <w:rPr>
          <w:rFonts w:hint="eastAsia" w:ascii="宋体" w:hAnsi="宋体" w:cs="宋体"/>
          <w:sz w:val="28"/>
          <w:highlight w:val="none"/>
          <w:lang w:val="en-US" w:eastAsia="zh-CN"/>
        </w:rPr>
        <w:t>份</w:t>
      </w:r>
      <w:r>
        <w:rPr>
          <w:rFonts w:hint="eastAsia" w:ascii="宋体" w:hAnsi="宋体" w:cs="宋体"/>
          <w:sz w:val="28"/>
          <w:highlight w:val="none"/>
        </w:rPr>
        <w:t>”），公司实际支付转让价款约为3,216.95万欧元。2024年9月</w:t>
      </w:r>
      <w:r>
        <w:rPr>
          <w:rFonts w:hint="eastAsia" w:ascii="宋体" w:hAnsi="宋体" w:cs="宋体"/>
          <w:sz w:val="28"/>
          <w:highlight w:val="none"/>
          <w:lang w:val="en-US" w:eastAsia="zh-CN"/>
        </w:rPr>
        <w:t>19</w:t>
      </w:r>
      <w:r>
        <w:rPr>
          <w:rFonts w:hint="eastAsia" w:ascii="宋体" w:hAnsi="宋体" w:cs="宋体"/>
          <w:sz w:val="28"/>
          <w:highlight w:val="none"/>
        </w:rPr>
        <w:t>日，</w:t>
      </w:r>
      <w:r>
        <w:rPr>
          <w:rFonts w:hint="eastAsia" w:ascii="宋体" w:hAnsi="宋体" w:cs="宋体"/>
          <w:sz w:val="28"/>
          <w:highlight w:val="none"/>
          <w:lang w:val="en-US" w:eastAsia="zh-CN"/>
        </w:rPr>
        <w:t>标的股份完成交割并转让至公司。</w:t>
      </w:r>
    </w:p>
    <w:p>
      <w:pPr>
        <w:snapToGrid w:val="0"/>
        <w:spacing w:before="156" w:beforeLines="50" w:after="156" w:afterLines="50" w:line="520" w:lineRule="exact"/>
        <w:ind w:firstLine="560" w:firstLineChars="200"/>
        <w:rPr>
          <w:rFonts w:hint="eastAsia" w:ascii="楷体_GB2312" w:hAnsi="楷体_GB2312" w:eastAsia="楷体_GB2312" w:cs="楷体_GB2312"/>
          <w:sz w:val="28"/>
          <w:highlight w:val="none"/>
        </w:rPr>
      </w:pPr>
      <w:r>
        <w:rPr>
          <w:rFonts w:hint="eastAsia" w:ascii="楷体_GB2312" w:hAnsi="楷体_GB2312" w:eastAsia="楷体_GB2312" w:cs="楷体_GB2312"/>
          <w:sz w:val="28"/>
          <w:highlight w:val="none"/>
        </w:rPr>
        <w:t>有关详情请参见公司日期为2024年3月1日的关于收购境外公司股权的公告</w:t>
      </w:r>
      <w:r>
        <w:rPr>
          <w:rFonts w:hint="eastAsia" w:ascii="楷体_GB2312" w:hAnsi="楷体_GB2312" w:eastAsia="楷体_GB2312" w:cs="楷体_GB2312"/>
          <w:sz w:val="28"/>
          <w:highlight w:val="none"/>
          <w:lang w:val="en-US" w:eastAsia="zh-CN"/>
        </w:rPr>
        <w:t>和2024年9月20日关于收购境外公司股权事项完成交割的公告</w:t>
      </w:r>
      <w:r>
        <w:rPr>
          <w:rFonts w:hint="eastAsia" w:ascii="楷体_GB2312" w:hAnsi="楷体_GB2312" w:eastAsia="楷体_GB2312" w:cs="楷体_GB2312"/>
          <w:sz w:val="28"/>
          <w:highlight w:val="none"/>
        </w:rPr>
        <w:t>，该等资料刊载于上海证券交易所网站、香港联合交易所有限公司网站、公司网站及/或《中国证券报》《上海证券报》《证券时报》《证券日报》。</w:t>
      </w:r>
    </w:p>
    <w:p>
      <w:pPr>
        <w:snapToGrid w:val="0"/>
        <w:spacing w:before="156" w:beforeLines="50" w:after="156" w:afterLines="50" w:line="520" w:lineRule="exact"/>
        <w:ind w:firstLine="560" w:firstLineChars="200"/>
        <w:rPr>
          <w:sz w:val="28"/>
        </w:rPr>
      </w:pPr>
      <w:r>
        <w:rPr>
          <w:rFonts w:hint="eastAsia" w:ascii="宋体" w:hAnsi="宋体" w:cs="宋体"/>
          <w:sz w:val="28"/>
          <w:lang w:val="en-US" w:eastAsia="zh-CN"/>
        </w:rPr>
        <w:t>为</w:t>
      </w:r>
      <w:r>
        <w:rPr>
          <w:rFonts w:hint="eastAsia" w:ascii="宋体" w:hAnsi="宋体" w:cs="宋体"/>
          <w:sz w:val="28"/>
        </w:rPr>
        <w:t>提升</w:t>
      </w:r>
      <w:r>
        <w:rPr>
          <w:rFonts w:hint="eastAsia" w:ascii="宋体" w:hAnsi="宋体" w:cs="宋体"/>
          <w:sz w:val="28"/>
          <w:lang w:val="en-US" w:eastAsia="zh-CN"/>
        </w:rPr>
        <w:t>沙尔夫公司</w:t>
      </w:r>
      <w:r>
        <w:rPr>
          <w:rFonts w:hint="eastAsia" w:ascii="宋体" w:hAnsi="宋体" w:cs="宋体"/>
          <w:sz w:val="28"/>
        </w:rPr>
        <w:t>股票价值与流通性</w:t>
      </w:r>
      <w:r>
        <w:rPr>
          <w:rFonts w:hint="eastAsia" w:ascii="宋体" w:hAnsi="宋体" w:cs="宋体"/>
          <w:sz w:val="28"/>
          <w:lang w:eastAsia="zh-CN"/>
        </w:rPr>
        <w:t>，</w:t>
      </w:r>
      <w:r>
        <w:rPr>
          <w:rFonts w:hint="eastAsia" w:ascii="宋体" w:hAnsi="宋体" w:cs="宋体"/>
          <w:sz w:val="28"/>
        </w:rPr>
        <w:t>沙尔夫公司将其股票由</w:t>
      </w:r>
      <w:r>
        <w:rPr>
          <w:rFonts w:hint="eastAsia" w:ascii="宋体" w:hAnsi="宋体" w:cs="宋体"/>
          <w:sz w:val="28"/>
          <w:lang w:val="en-US" w:eastAsia="zh-CN"/>
        </w:rPr>
        <w:t>德国</w:t>
      </w:r>
      <w:r>
        <w:rPr>
          <w:rFonts w:hint="eastAsia" w:ascii="宋体" w:hAnsi="宋体" w:cs="宋体"/>
          <w:sz w:val="28"/>
        </w:rPr>
        <w:t>法兰克福证券交易所</w:t>
      </w:r>
      <w:r>
        <w:rPr>
          <w:rFonts w:hint="eastAsia" w:ascii="宋体" w:hAnsi="宋体" w:cs="宋体"/>
          <w:sz w:val="28"/>
          <w:lang w:val="en-US" w:eastAsia="zh-CN"/>
        </w:rPr>
        <w:t>报价</w:t>
      </w:r>
      <w:r>
        <w:rPr>
          <w:rFonts w:hint="eastAsia" w:ascii="宋体" w:hAnsi="宋体" w:cs="宋体"/>
          <w:sz w:val="28"/>
        </w:rPr>
        <w:t>板块转换至</w:t>
      </w:r>
      <w:r>
        <w:rPr>
          <w:rFonts w:hint="eastAsia" w:ascii="宋体" w:hAnsi="宋体" w:cs="宋体"/>
          <w:sz w:val="28"/>
          <w:szCs w:val="28"/>
        </w:rPr>
        <w:t>受监管高级市场</w:t>
      </w:r>
      <w:r>
        <w:rPr>
          <w:rFonts w:hint="eastAsia" w:ascii="宋体" w:hAnsi="宋体" w:cs="宋体"/>
          <w:sz w:val="28"/>
        </w:rPr>
        <w:t>上市交易（“本次上市板块转换”）。本次上市板块转换不涉及</w:t>
      </w:r>
      <w:r>
        <w:rPr>
          <w:rFonts w:hint="eastAsia" w:ascii="宋体" w:hAnsi="宋体" w:cs="宋体"/>
          <w:sz w:val="28"/>
          <w:lang w:val="en-US" w:eastAsia="zh-CN"/>
        </w:rPr>
        <w:t>沙尔夫公司</w:t>
      </w:r>
      <w:r>
        <w:rPr>
          <w:rFonts w:hint="eastAsia" w:ascii="宋体" w:hAnsi="宋体" w:cs="宋体"/>
          <w:sz w:val="28"/>
        </w:rPr>
        <w:t>股票发行</w:t>
      </w:r>
      <w:r>
        <w:rPr>
          <w:rFonts w:hint="eastAsia" w:ascii="宋体" w:hAnsi="宋体" w:cs="宋体"/>
          <w:sz w:val="28"/>
          <w:lang w:eastAsia="zh-CN"/>
        </w:rPr>
        <w:t>，不会导致公司持有沙尔夫公司股份数额和</w:t>
      </w:r>
      <w:bookmarkStart w:id="0" w:name="_GoBack"/>
      <w:bookmarkEnd w:id="0"/>
      <w:r>
        <w:rPr>
          <w:rFonts w:hint="eastAsia" w:ascii="宋体" w:hAnsi="宋体" w:cs="宋体"/>
          <w:sz w:val="28"/>
          <w:lang w:eastAsia="zh-CN"/>
        </w:rPr>
        <w:t>股份占比发生变化</w:t>
      </w:r>
      <w:r>
        <w:rPr>
          <w:rFonts w:hint="eastAsia" w:ascii="宋体" w:hAnsi="宋体" w:cs="宋体"/>
          <w:sz w:val="28"/>
        </w:rPr>
        <w:t>。</w:t>
      </w:r>
    </w:p>
    <w:p>
      <w:pPr>
        <w:snapToGrid w:val="0"/>
        <w:spacing w:before="156" w:beforeLines="50" w:after="156" w:afterLines="50" w:line="520" w:lineRule="exact"/>
        <w:ind w:firstLine="560" w:firstLineChars="200"/>
        <w:rPr>
          <w:rFonts w:hint="eastAsia" w:ascii="宋体" w:hAnsi="宋体" w:cs="宋体"/>
          <w:sz w:val="28"/>
          <w:lang w:val="en-US" w:eastAsia="zh-CN"/>
        </w:rPr>
      </w:pPr>
      <w:r>
        <w:rPr>
          <w:rFonts w:hint="eastAsia" w:ascii="宋体" w:hAnsi="宋体" w:cs="宋体"/>
          <w:sz w:val="28"/>
        </w:rPr>
        <w:t>沙尔夫公司于</w:t>
      </w:r>
      <w:r>
        <w:rPr>
          <w:rFonts w:hint="eastAsia" w:ascii="宋体" w:hAnsi="宋体" w:cs="宋体"/>
          <w:sz w:val="28"/>
          <w:lang w:val="en-US" w:eastAsia="zh-CN"/>
        </w:rPr>
        <w:t>2024年9月</w:t>
      </w:r>
      <w:r>
        <w:rPr>
          <w:rFonts w:hint="eastAsia" w:ascii="宋体" w:hAnsi="宋体" w:cs="宋体"/>
          <w:sz w:val="28"/>
          <w:highlight w:val="none"/>
          <w:lang w:val="en-US" w:eastAsia="zh-CN"/>
        </w:rPr>
        <w:t>20</w:t>
      </w:r>
      <w:r>
        <w:rPr>
          <w:rFonts w:hint="eastAsia" w:ascii="宋体" w:hAnsi="宋体" w:cs="宋体"/>
          <w:sz w:val="28"/>
          <w:highlight w:val="none"/>
        </w:rPr>
        <w:t>日</w:t>
      </w:r>
      <w:r>
        <w:rPr>
          <w:rFonts w:hint="eastAsia" w:ascii="宋体" w:hAnsi="宋体" w:cs="宋体"/>
          <w:sz w:val="28"/>
          <w:highlight w:val="none"/>
          <w:lang w:val="en-US" w:eastAsia="zh-CN"/>
        </w:rPr>
        <w:t>取得德国金融监管局关于本次上市板块转换</w:t>
      </w:r>
      <w:r>
        <w:rPr>
          <w:rFonts w:hint="eastAsia" w:ascii="宋体" w:hAnsi="宋体" w:cs="宋体"/>
          <w:sz w:val="28"/>
          <w:highlight w:val="none"/>
        </w:rPr>
        <w:t>的批准。2024年9月</w:t>
      </w:r>
      <w:r>
        <w:rPr>
          <w:rFonts w:hint="eastAsia" w:ascii="宋体" w:hAnsi="宋体" w:cs="宋体"/>
          <w:sz w:val="28"/>
          <w:highlight w:val="none"/>
          <w:lang w:val="en-US" w:eastAsia="zh-CN"/>
        </w:rPr>
        <w:t>24</w:t>
      </w:r>
      <w:r>
        <w:rPr>
          <w:rFonts w:hint="eastAsia" w:ascii="宋体" w:hAnsi="宋体" w:cs="宋体"/>
          <w:sz w:val="28"/>
        </w:rPr>
        <w:t>日，</w:t>
      </w:r>
      <w:r>
        <w:rPr>
          <w:rFonts w:hint="eastAsia" w:ascii="宋体" w:hAnsi="宋体" w:cs="宋体"/>
          <w:sz w:val="28"/>
          <w:lang w:val="en-US" w:eastAsia="zh-CN"/>
        </w:rPr>
        <w:t>经德国法兰克福证券交易所批准，</w:t>
      </w:r>
      <w:r>
        <w:rPr>
          <w:rFonts w:hint="eastAsia" w:ascii="宋体" w:hAnsi="宋体" w:cs="宋体"/>
          <w:sz w:val="28"/>
        </w:rPr>
        <w:t>沙尔夫公司股票正式转换上市板块至法兰克福</w:t>
      </w:r>
      <w:r>
        <w:rPr>
          <w:rFonts w:hint="eastAsia" w:ascii="宋体" w:hAnsi="宋体" w:cs="宋体"/>
          <w:sz w:val="28"/>
          <w:lang w:val="en-US" w:eastAsia="zh-CN"/>
        </w:rPr>
        <w:t>证券</w:t>
      </w:r>
      <w:r>
        <w:rPr>
          <w:rFonts w:hint="eastAsia" w:ascii="宋体" w:hAnsi="宋体" w:cs="宋体"/>
          <w:sz w:val="28"/>
        </w:rPr>
        <w:t>交易所</w:t>
      </w:r>
      <w:r>
        <w:rPr>
          <w:rFonts w:hint="eastAsia" w:ascii="宋体" w:hAnsi="宋体" w:cs="宋体"/>
          <w:sz w:val="28"/>
          <w:szCs w:val="28"/>
        </w:rPr>
        <w:t>受监管高级市场</w:t>
      </w:r>
      <w:r>
        <w:rPr>
          <w:rFonts w:hint="eastAsia" w:ascii="宋体" w:hAnsi="宋体" w:cs="宋体"/>
          <w:sz w:val="28"/>
        </w:rPr>
        <w:t>上市</w:t>
      </w:r>
      <w:r>
        <w:rPr>
          <w:rFonts w:hint="eastAsia" w:ascii="宋体" w:hAnsi="宋体" w:cs="宋体"/>
          <w:sz w:val="28"/>
          <w:lang w:val="en-US" w:eastAsia="zh-CN"/>
        </w:rPr>
        <w:t>交易，股票代码为S4AA。</w:t>
      </w:r>
    </w:p>
    <w:p>
      <w:pPr>
        <w:snapToGrid w:val="0"/>
        <w:spacing w:before="156" w:beforeLines="50" w:after="156" w:afterLines="50" w:line="52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本次上市板块转换完成后，沙尔夫公司股票将在德国法兰克福证券交易所受监管高级市场和慕尼黑证券交易所M：accsess分部上市交易。</w:t>
      </w:r>
    </w:p>
    <w:p>
      <w:pPr>
        <w:adjustRightInd w:val="0"/>
        <w:snapToGrid w:val="0"/>
        <w:spacing w:line="520" w:lineRule="exact"/>
        <w:ind w:left="560"/>
        <w:rPr>
          <w:rFonts w:hint="eastAsia" w:ascii="宋体" w:hAnsi="宋体" w:cs="宋体"/>
          <w:sz w:val="28"/>
          <w:szCs w:val="28"/>
        </w:rPr>
      </w:pPr>
      <w:r>
        <w:rPr>
          <w:rFonts w:hint="eastAsia" w:ascii="宋体" w:hAnsi="宋体" w:cs="宋体"/>
          <w:sz w:val="28"/>
          <w:szCs w:val="28"/>
        </w:rPr>
        <w:t>特此公告。</w:t>
      </w:r>
    </w:p>
    <w:p>
      <w:pPr>
        <w:spacing w:line="520" w:lineRule="exact"/>
        <w:ind w:firstLine="3920" w:firstLineChars="1400"/>
        <w:jc w:val="right"/>
        <w:rPr>
          <w:rFonts w:hint="eastAsia" w:ascii="宋体" w:hAnsi="宋体" w:cs="宋体"/>
          <w:sz w:val="28"/>
          <w:szCs w:val="28"/>
        </w:rPr>
      </w:pPr>
    </w:p>
    <w:p>
      <w:pPr>
        <w:spacing w:line="520" w:lineRule="exact"/>
        <w:ind w:firstLine="3920" w:firstLineChars="1400"/>
        <w:jc w:val="right"/>
        <w:rPr>
          <w:rFonts w:hint="eastAsia" w:ascii="宋体" w:hAnsi="宋体" w:cs="宋体"/>
          <w:sz w:val="28"/>
          <w:szCs w:val="28"/>
        </w:rPr>
      </w:pPr>
      <w:r>
        <w:rPr>
          <w:rFonts w:hint="eastAsia" w:ascii="宋体" w:hAnsi="宋体" w:cs="宋体"/>
          <w:sz w:val="28"/>
          <w:szCs w:val="28"/>
        </w:rPr>
        <w:t>兖矿能源集团股份有限公司董事会</w:t>
      </w:r>
    </w:p>
    <w:p>
      <w:pPr>
        <w:spacing w:line="520" w:lineRule="exact"/>
        <w:jc w:val="right"/>
        <w:rPr>
          <w:rFonts w:hint="eastAsia" w:ascii="宋体" w:hAnsi="宋体" w:cs="宋体"/>
          <w:sz w:val="28"/>
          <w:szCs w:val="28"/>
        </w:rPr>
      </w:pPr>
      <w:r>
        <w:rPr>
          <w:rFonts w:hint="eastAsia" w:ascii="宋体" w:hAnsi="宋体" w:cs="宋体"/>
          <w:sz w:val="28"/>
          <w:szCs w:val="28"/>
        </w:rPr>
        <w:t>2024年</w:t>
      </w:r>
      <w:r>
        <w:rPr>
          <w:rFonts w:hint="eastAsia" w:ascii="宋体" w:hAnsi="宋体" w:cs="宋体"/>
          <w:sz w:val="28"/>
          <w:szCs w:val="28"/>
          <w:lang w:eastAsia="zh-CN"/>
        </w:rPr>
        <w:t>9</w:t>
      </w:r>
      <w:r>
        <w:rPr>
          <w:rFonts w:hint="eastAsia" w:ascii="宋体" w:hAnsi="宋体" w:cs="宋体"/>
          <w:sz w:val="28"/>
          <w:szCs w:val="28"/>
          <w:highlight w:val="none"/>
        </w:rPr>
        <w:t>月</w:t>
      </w:r>
      <w:r>
        <w:rPr>
          <w:rFonts w:hint="eastAsia" w:ascii="宋体" w:hAnsi="宋体" w:cs="宋体"/>
          <w:sz w:val="28"/>
          <w:szCs w:val="28"/>
          <w:highlight w:val="none"/>
          <w:lang w:eastAsia="zh-CN"/>
        </w:rPr>
        <w:t>2</w:t>
      </w:r>
      <w:r>
        <w:rPr>
          <w:rFonts w:hint="eastAsia" w:ascii="宋体" w:hAnsi="宋体" w:cs="宋体"/>
          <w:sz w:val="28"/>
          <w:szCs w:val="28"/>
          <w:highlight w:val="none"/>
          <w:lang w:val="en-US" w:eastAsia="zh-CN"/>
        </w:rPr>
        <w:t>4</w:t>
      </w:r>
      <w:r>
        <w:rPr>
          <w:rFonts w:hint="eastAsia" w:ascii="宋体" w:hAnsi="宋体" w:cs="宋体"/>
          <w:sz w:val="28"/>
          <w:szCs w:val="28"/>
        </w:rPr>
        <w:t>日</w:t>
      </w:r>
    </w:p>
    <w:p>
      <w:pPr>
        <w:rPr>
          <w:rFonts w:eastAsia="黑体"/>
          <w:sz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ac6e6c8b-3fcf-4972-a11e-1baf2284665a"/>
  </w:docVars>
  <w:rsids>
    <w:rsidRoot w:val="001E036F"/>
    <w:rsid w:val="0003087B"/>
    <w:rsid w:val="0006268C"/>
    <w:rsid w:val="00074DA5"/>
    <w:rsid w:val="00093BE1"/>
    <w:rsid w:val="000C6543"/>
    <w:rsid w:val="000D69D5"/>
    <w:rsid w:val="001161D0"/>
    <w:rsid w:val="001819A8"/>
    <w:rsid w:val="001834C0"/>
    <w:rsid w:val="001D6D39"/>
    <w:rsid w:val="001E036F"/>
    <w:rsid w:val="002312B4"/>
    <w:rsid w:val="002441E0"/>
    <w:rsid w:val="00265083"/>
    <w:rsid w:val="00284E6E"/>
    <w:rsid w:val="002C6E6C"/>
    <w:rsid w:val="002D4A32"/>
    <w:rsid w:val="00324FDD"/>
    <w:rsid w:val="00332489"/>
    <w:rsid w:val="00373FE1"/>
    <w:rsid w:val="003C433B"/>
    <w:rsid w:val="003E4B20"/>
    <w:rsid w:val="004D5A37"/>
    <w:rsid w:val="00506C19"/>
    <w:rsid w:val="005256D3"/>
    <w:rsid w:val="00533B69"/>
    <w:rsid w:val="00551537"/>
    <w:rsid w:val="00552BB4"/>
    <w:rsid w:val="00563F81"/>
    <w:rsid w:val="0057051D"/>
    <w:rsid w:val="005B2C8E"/>
    <w:rsid w:val="00601FD9"/>
    <w:rsid w:val="006A06AD"/>
    <w:rsid w:val="006A3CA4"/>
    <w:rsid w:val="006C48F5"/>
    <w:rsid w:val="00714E5D"/>
    <w:rsid w:val="00743B6C"/>
    <w:rsid w:val="007939F8"/>
    <w:rsid w:val="007A7F75"/>
    <w:rsid w:val="007B0D14"/>
    <w:rsid w:val="007C1699"/>
    <w:rsid w:val="007E44FB"/>
    <w:rsid w:val="007F3D5D"/>
    <w:rsid w:val="00816373"/>
    <w:rsid w:val="00820B7F"/>
    <w:rsid w:val="00837465"/>
    <w:rsid w:val="00872C38"/>
    <w:rsid w:val="00897B7C"/>
    <w:rsid w:val="008B68E2"/>
    <w:rsid w:val="00974B86"/>
    <w:rsid w:val="009B252C"/>
    <w:rsid w:val="009C5475"/>
    <w:rsid w:val="009C5ADB"/>
    <w:rsid w:val="009D63F3"/>
    <w:rsid w:val="00A941CA"/>
    <w:rsid w:val="00AD2A15"/>
    <w:rsid w:val="00B00417"/>
    <w:rsid w:val="00B10C09"/>
    <w:rsid w:val="00B44EAD"/>
    <w:rsid w:val="00B709B3"/>
    <w:rsid w:val="00BA698F"/>
    <w:rsid w:val="00BA7D42"/>
    <w:rsid w:val="00BD09B9"/>
    <w:rsid w:val="00BE3B1E"/>
    <w:rsid w:val="00C0308B"/>
    <w:rsid w:val="00C16768"/>
    <w:rsid w:val="00C329C1"/>
    <w:rsid w:val="00C370D3"/>
    <w:rsid w:val="00C64DA8"/>
    <w:rsid w:val="00C831F6"/>
    <w:rsid w:val="00CA604C"/>
    <w:rsid w:val="00CE7439"/>
    <w:rsid w:val="00D05FEA"/>
    <w:rsid w:val="00D2133B"/>
    <w:rsid w:val="00D437E9"/>
    <w:rsid w:val="00D70DB5"/>
    <w:rsid w:val="00DB7E0F"/>
    <w:rsid w:val="00DE7166"/>
    <w:rsid w:val="00E27C94"/>
    <w:rsid w:val="00E8483F"/>
    <w:rsid w:val="00E86679"/>
    <w:rsid w:val="00EB4D15"/>
    <w:rsid w:val="00EB5307"/>
    <w:rsid w:val="00ED3AB7"/>
    <w:rsid w:val="00F162F4"/>
    <w:rsid w:val="00F56D58"/>
    <w:rsid w:val="00F7284A"/>
    <w:rsid w:val="00F76245"/>
    <w:rsid w:val="00F9543D"/>
    <w:rsid w:val="00FB6108"/>
    <w:rsid w:val="00FB768C"/>
    <w:rsid w:val="00FF117E"/>
    <w:rsid w:val="06FC3A61"/>
    <w:rsid w:val="20685F3C"/>
    <w:rsid w:val="39C057CF"/>
    <w:rsid w:val="5E886C40"/>
    <w:rsid w:val="70A42DD7"/>
    <w:rsid w:val="79AF2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rFonts w:ascii="Times New Roman" w:hAnsi="Times New Roman" w:eastAsia="宋体" w:cs="Times New Roman"/>
      <w:sz w:val="18"/>
      <w:szCs w:val="18"/>
    </w:rPr>
  </w:style>
  <w:style w:type="character" w:customStyle="1" w:styleId="12">
    <w:name w:val="页脚 字符"/>
    <w:basedOn w:val="8"/>
    <w:link w:val="4"/>
    <w:qFormat/>
    <w:uiPriority w:val="99"/>
    <w:rPr>
      <w:rFonts w:ascii="Times New Roman" w:hAnsi="Times New Roman" w:eastAsia="宋体" w:cs="Times New Roman"/>
      <w:sz w:val="18"/>
      <w:szCs w:val="18"/>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character" w:customStyle="1" w:styleId="14">
    <w:name w:val="批注文字 字符"/>
    <w:basedOn w:val="8"/>
    <w:link w:val="2"/>
    <w:semiHidden/>
    <w:qFormat/>
    <w:uiPriority w:val="99"/>
    <w:rPr>
      <w:rFonts w:ascii="Times New Roman" w:hAnsi="Times New Roman" w:eastAsia="宋体" w:cs="Times New Roman"/>
      <w:szCs w:val="20"/>
    </w:rPr>
  </w:style>
  <w:style w:type="character" w:customStyle="1" w:styleId="15">
    <w:name w:val="批注主题 字符"/>
    <w:basedOn w:val="14"/>
    <w:link w:val="6"/>
    <w:semiHidden/>
    <w:qFormat/>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2</Pages>
  <Words>602</Words>
  <Characters>713</Characters>
  <Lines>5</Lines>
  <Paragraphs>1</Paragraphs>
  <TotalTime>14</TotalTime>
  <ScaleCrop>false</ScaleCrop>
  <LinksUpToDate>false</LinksUpToDate>
  <CharactersWithSpaces>744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2024-08-27T10:07:00Z</dcterms:created>
  <dc:creator>KWM</dc:creator>
  <cp:lastModifiedBy>YUANSU HU</cp:lastModifiedBy>
  <dcterms:modified xsi:type="dcterms:W3CDTF">2024-09-24T03:44:11Z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EF3FF5A08FAB4E06A228AD85A94C7CA3_12</vt:lpwstr>
  </property>
  <property fmtid="{D5CDD505-2E9C-101B-9397-08002B2CF9AE}" pid="4" name="5B77E7CEEC58BC6AFAE8886BEB80DBEB">
    <vt:lpwstr>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</vt:lpwstr>
  </property>
</Properties>
</file>