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rPr>
          <w:rFonts w:hint="default" w:ascii="黑体" w:hAnsi="黑体" w:eastAsia="黑体" w:cs="黑体"/>
          <w:szCs w:val="21"/>
          <w:lang w:val="en-US" w:eastAsia="zh-CN"/>
        </w:rPr>
      </w:pPr>
      <w:r>
        <w:rPr>
          <w:rFonts w:hint="eastAsia" w:ascii="黑体" w:hAnsi="黑体" w:eastAsia="黑体" w:cs="黑体"/>
          <w:szCs w:val="21"/>
        </w:rPr>
        <w:t>股票代码：</w:t>
      </w:r>
      <w:r>
        <w:rPr>
          <w:rFonts w:ascii="黑体" w:hAnsi="黑体" w:eastAsia="黑体" w:cs="黑体"/>
          <w:szCs w:val="21"/>
        </w:rPr>
        <w:t xml:space="preserve">600188      </w:t>
      </w:r>
      <w:r>
        <w:rPr>
          <w:rFonts w:hint="eastAsia" w:ascii="黑体" w:hAnsi="黑体" w:eastAsia="黑体" w:cs="黑体"/>
          <w:szCs w:val="21"/>
        </w:rPr>
        <w:t xml:space="preserve">  </w:t>
      </w:r>
      <w:r>
        <w:rPr>
          <w:rFonts w:ascii="黑体" w:hAnsi="黑体" w:eastAsia="黑体" w:cs="黑体"/>
          <w:szCs w:val="21"/>
        </w:rPr>
        <w:t xml:space="preserve">   </w:t>
      </w:r>
      <w:r>
        <w:rPr>
          <w:rFonts w:hint="eastAsia" w:ascii="黑体" w:hAnsi="黑体" w:eastAsia="黑体" w:cs="黑体"/>
          <w:szCs w:val="21"/>
        </w:rPr>
        <w:t>股票简称：兖矿能源</w:t>
      </w:r>
      <w:r>
        <w:rPr>
          <w:rFonts w:ascii="黑体" w:hAnsi="黑体" w:eastAsia="黑体" w:cs="黑体"/>
          <w:szCs w:val="21"/>
        </w:rPr>
        <w:t xml:space="preserve">       </w:t>
      </w:r>
      <w:r>
        <w:rPr>
          <w:rFonts w:hint="eastAsia" w:ascii="黑体" w:hAnsi="黑体" w:eastAsia="黑体" w:cs="黑体"/>
          <w:szCs w:val="21"/>
        </w:rPr>
        <w:t xml:space="preserve">    </w:t>
      </w:r>
      <w:r>
        <w:rPr>
          <w:rFonts w:ascii="黑体" w:hAnsi="黑体" w:eastAsia="黑体" w:cs="黑体"/>
          <w:szCs w:val="21"/>
        </w:rPr>
        <w:t xml:space="preserve">  </w:t>
      </w:r>
      <w:r>
        <w:rPr>
          <w:rFonts w:hint="eastAsia" w:ascii="黑体" w:hAnsi="黑体" w:eastAsia="黑体" w:cs="黑体"/>
          <w:szCs w:val="21"/>
        </w:rPr>
        <w:t>编号：临</w:t>
      </w:r>
      <w:r>
        <w:rPr>
          <w:rFonts w:ascii="黑体" w:hAnsi="黑体" w:eastAsia="黑体" w:cs="黑体"/>
          <w:szCs w:val="21"/>
        </w:rPr>
        <w:t>2024-</w:t>
      </w:r>
      <w:r>
        <w:rPr>
          <w:rFonts w:hint="eastAsia" w:ascii="黑体" w:hAnsi="黑体" w:eastAsia="黑体" w:cs="黑体"/>
          <w:szCs w:val="21"/>
          <w:lang w:val="en-US" w:eastAsia="zh-CN"/>
        </w:rPr>
        <w:t>065</w:t>
      </w:r>
    </w:p>
    <w:p>
      <w:pPr>
        <w:adjustRightInd w:val="0"/>
        <w:snapToGrid w:val="0"/>
        <w:spacing w:line="360" w:lineRule="auto"/>
        <w:rPr>
          <w:rFonts w:ascii="Times New Roman" w:hAnsi="Times New Roman"/>
          <w:sz w:val="24"/>
        </w:rPr>
      </w:pPr>
    </w:p>
    <w:p>
      <w:pPr>
        <w:adjustRightInd w:val="0"/>
        <w:snapToGrid w:val="0"/>
        <w:spacing w:line="560" w:lineRule="exact"/>
        <w:ind w:firstLine="510"/>
        <w:jc w:val="center"/>
        <w:rPr>
          <w:rFonts w:ascii="Times New Roman" w:hAnsi="Times New Roman"/>
          <w:b/>
          <w:bCs/>
          <w:color w:val="FF0000"/>
          <w:sz w:val="36"/>
          <w:szCs w:val="24"/>
        </w:rPr>
      </w:pPr>
      <w:r>
        <w:rPr>
          <w:rFonts w:hint="eastAsia" w:ascii="Times New Roman" w:hAnsi="Times New Roman"/>
          <w:b/>
          <w:bCs/>
          <w:color w:val="FF0000"/>
          <w:sz w:val="36"/>
          <w:szCs w:val="24"/>
        </w:rPr>
        <w:t>兖矿能源集团股份有限公司</w:t>
      </w:r>
    </w:p>
    <w:p>
      <w:pPr>
        <w:adjustRightInd w:val="0"/>
        <w:snapToGrid w:val="0"/>
        <w:spacing w:after="156" w:afterLines="50" w:line="560" w:lineRule="exact"/>
        <w:jc w:val="center"/>
        <w:rPr>
          <w:rFonts w:ascii="Times New Roman" w:hAnsi="Times New Roman"/>
          <w:b/>
          <w:bCs/>
          <w:color w:val="FF0000"/>
          <w:sz w:val="36"/>
          <w:szCs w:val="24"/>
        </w:rPr>
      </w:pPr>
      <w:r>
        <w:rPr>
          <w:rFonts w:ascii="Times New Roman" w:hAnsi="Times New Roman"/>
          <w:b/>
          <w:bCs/>
          <w:color w:val="FF0000"/>
          <w:sz w:val="36"/>
          <w:szCs w:val="24"/>
        </w:rPr>
        <w:t>关于</w:t>
      </w:r>
      <w:r>
        <w:rPr>
          <w:rFonts w:hint="eastAsia" w:ascii="Times New Roman" w:hAnsi="Times New Roman"/>
          <w:b/>
          <w:bCs/>
          <w:color w:val="FF0000"/>
          <w:sz w:val="36"/>
          <w:szCs w:val="24"/>
        </w:rPr>
        <w:t>并购Highfield Resources Limited的公告</w:t>
      </w:r>
    </w:p>
    <w:p>
      <w:pPr>
        <w:pBdr>
          <w:top w:val="single" w:color="auto" w:sz="4" w:space="1"/>
          <w:left w:val="single" w:color="auto" w:sz="4" w:space="4"/>
          <w:bottom w:val="single" w:color="auto" w:sz="4" w:space="1"/>
          <w:right w:val="single" w:color="auto" w:sz="4" w:space="4"/>
        </w:pBdr>
        <w:adjustRightInd w:val="0"/>
        <w:snapToGrid w:val="0"/>
        <w:spacing w:line="360" w:lineRule="auto"/>
        <w:ind w:firstLine="560" w:firstLineChars="200"/>
        <w:rPr>
          <w:rFonts w:ascii="Times New Roman" w:hAnsi="Times New Roman"/>
          <w:color w:val="000000"/>
          <w:sz w:val="24"/>
        </w:rPr>
      </w:pPr>
      <w:r>
        <w:rPr>
          <w:rFonts w:hint="eastAsia" w:ascii="Times New Roman" w:hAnsi="Times New Roman"/>
          <w:color w:val="000000"/>
          <w:sz w:val="28"/>
          <w:szCs w:val="28"/>
        </w:rPr>
        <w:t>本公司董事会及全体董事保证本公告内容不存在任何虚假记载、误导性陈述或者重大遗漏，并对其内容的真实性、准确性和完整性承担法律责任</w:t>
      </w:r>
      <w:r>
        <w:rPr>
          <w:rFonts w:ascii="Times New Roman" w:hAnsi="Times New Roman"/>
          <w:color w:val="000000"/>
          <w:sz w:val="24"/>
        </w:rPr>
        <w:t>。</w:t>
      </w:r>
    </w:p>
    <w:p>
      <w:pPr>
        <w:rPr>
          <w:rFonts w:ascii="Times New Roman" w:hAnsi="Times New Roman"/>
          <w:sz w:val="24"/>
        </w:rPr>
      </w:pPr>
    </w:p>
    <w:p>
      <w:pPr>
        <w:spacing w:line="360" w:lineRule="auto"/>
        <w:ind w:firstLine="562" w:firstLineChars="200"/>
        <w:rPr>
          <w:rFonts w:ascii="宋体" w:hAnsi="宋体" w:cs="宋体"/>
          <w:b/>
          <w:sz w:val="28"/>
          <w:szCs w:val="28"/>
        </w:rPr>
      </w:pPr>
      <w:r>
        <w:rPr>
          <w:rFonts w:hint="eastAsia" w:ascii="宋体" w:hAnsi="宋体" w:cs="宋体"/>
          <w:b/>
          <w:sz w:val="28"/>
          <w:szCs w:val="28"/>
        </w:rPr>
        <w:t>重要内容提示：</w:t>
      </w:r>
    </w:p>
    <w:p>
      <w:pPr>
        <w:pStyle w:val="14"/>
        <w:numPr>
          <w:ilvl w:val="0"/>
          <w:numId w:val="1"/>
        </w:numPr>
        <w:spacing w:line="520" w:lineRule="exact"/>
        <w:ind w:left="980" w:leftChars="200" w:hanging="560" w:hangingChars="200"/>
        <w:rPr>
          <w:rFonts w:ascii="宋体" w:hAnsi="宋体" w:cs="宋体"/>
          <w:b/>
          <w:sz w:val="28"/>
          <w:szCs w:val="28"/>
        </w:rPr>
      </w:pPr>
      <w:r>
        <w:rPr>
          <w:rFonts w:hint="eastAsia" w:ascii="宋体" w:hAnsi="宋体" w:cs="宋体"/>
          <w:sz w:val="28"/>
          <w:szCs w:val="28"/>
        </w:rPr>
        <w:t>投资标的名称：</w:t>
      </w:r>
      <w:r>
        <w:rPr>
          <w:rFonts w:ascii="宋体" w:hAnsi="宋体" w:cs="宋体"/>
          <w:sz w:val="28"/>
          <w:szCs w:val="28"/>
        </w:rPr>
        <w:t>Highfield Resources Limited</w:t>
      </w:r>
      <w:r>
        <w:rPr>
          <w:rFonts w:hint="eastAsia" w:ascii="宋体" w:hAnsi="宋体" w:cs="宋体"/>
          <w:sz w:val="28"/>
          <w:szCs w:val="28"/>
        </w:rPr>
        <w:t>（一家于澳大利亚证券交易所上市的公司，股份代码：</w:t>
      </w:r>
      <w:r>
        <w:rPr>
          <w:rFonts w:ascii="宋体" w:hAnsi="宋体" w:cs="宋体"/>
          <w:sz w:val="28"/>
          <w:szCs w:val="28"/>
        </w:rPr>
        <w:t>HFR</w:t>
      </w:r>
      <w:r>
        <w:rPr>
          <w:rFonts w:hint="eastAsia" w:ascii="宋体" w:hAnsi="宋体" w:cs="宋体"/>
          <w:sz w:val="28"/>
          <w:szCs w:val="28"/>
        </w:rPr>
        <w:t>，“高地资源”）。</w:t>
      </w:r>
    </w:p>
    <w:p>
      <w:pPr>
        <w:pStyle w:val="14"/>
        <w:numPr>
          <w:ilvl w:val="0"/>
          <w:numId w:val="1"/>
        </w:numPr>
        <w:spacing w:line="520" w:lineRule="exact"/>
        <w:ind w:left="980" w:leftChars="200" w:hanging="560" w:hangingChars="200"/>
        <w:rPr>
          <w:rFonts w:ascii="宋体" w:hAnsi="宋体" w:cs="宋体"/>
          <w:b/>
          <w:sz w:val="28"/>
          <w:szCs w:val="28"/>
        </w:rPr>
      </w:pPr>
      <w:r>
        <w:rPr>
          <w:rFonts w:hint="eastAsia" w:ascii="宋体" w:hAnsi="宋体" w:cs="宋体"/>
          <w:sz w:val="28"/>
          <w:szCs w:val="28"/>
        </w:rPr>
        <w:t>交易对价：兖矿能源集团股份有限公司（“兖矿能源”、“公司”）拟以持有的Yancoal Canada Resources Co., Ltd.（“兖煤加拿大”）100%股权及其全资子公司——兖煤国际（控股）有限公司（“兖煤国际”）对兖煤加拿大的股东借款之本息作价出资，同时现金出资不超过9,000万美元认购高地资源定向增发的股份。</w:t>
      </w:r>
    </w:p>
    <w:p>
      <w:pPr>
        <w:pStyle w:val="14"/>
        <w:numPr>
          <w:ilvl w:val="0"/>
          <w:numId w:val="1"/>
        </w:numPr>
        <w:spacing w:line="520" w:lineRule="exact"/>
        <w:ind w:left="980" w:leftChars="200" w:hanging="560" w:hangingChars="200"/>
        <w:rPr>
          <w:rFonts w:ascii="宋体" w:hAnsi="宋体" w:cs="宋体"/>
          <w:b/>
          <w:sz w:val="28"/>
          <w:szCs w:val="28"/>
        </w:rPr>
      </w:pPr>
      <w:r>
        <w:rPr>
          <w:rFonts w:hint="eastAsia" w:ascii="宋体" w:hAnsi="宋体" w:cs="宋体"/>
          <w:bCs/>
          <w:sz w:val="28"/>
          <w:szCs w:val="28"/>
        </w:rPr>
        <w:t>本次交易需经境内外相关主管部门审批、备案并经高地资源股东大会审议同意，能否获得相关批准存在不确定性；本次交易设有交割条件，能否实现存在不确定性；本次交易完成后，公司将成为</w:t>
      </w:r>
      <w:r>
        <w:rPr>
          <w:rFonts w:hint="eastAsia" w:ascii="宋体" w:hAnsi="宋体" w:cs="宋体"/>
          <w:sz w:val="28"/>
          <w:szCs w:val="28"/>
        </w:rPr>
        <w:t>高地资源的第一大股东并有权主导Muga项目（高地资源所持钾盐矿项目）的开发，存在一定的业务整合与项目效益风险，</w:t>
      </w:r>
      <w:r>
        <w:rPr>
          <w:rFonts w:hint="eastAsia" w:ascii="宋体" w:hAnsi="宋体" w:cs="宋体"/>
          <w:bCs/>
          <w:sz w:val="28"/>
          <w:szCs w:val="28"/>
        </w:rPr>
        <w:t>敬请广大投资者注意投资风险。</w:t>
      </w:r>
    </w:p>
    <w:p>
      <w:pPr>
        <w:spacing w:line="360" w:lineRule="auto"/>
        <w:rPr>
          <w:rFonts w:ascii="Times New Roman" w:hAnsi="Times New Roman"/>
          <w:b/>
          <w:sz w:val="24"/>
          <w:szCs w:val="24"/>
        </w:rPr>
      </w:pPr>
    </w:p>
    <w:p>
      <w:pPr>
        <w:spacing w:line="52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一、交易概述</w:t>
      </w:r>
    </w:p>
    <w:p>
      <w:pPr>
        <w:spacing w:line="520" w:lineRule="exact"/>
        <w:ind w:firstLine="560" w:firstLineChars="200"/>
        <w:rPr>
          <w:rFonts w:ascii="宋体" w:hAnsi="宋体" w:cs="宋体"/>
          <w:sz w:val="28"/>
          <w:szCs w:val="28"/>
        </w:rPr>
      </w:pPr>
      <w:r>
        <w:rPr>
          <w:rFonts w:ascii="宋体" w:hAnsi="宋体" w:cs="宋体"/>
          <w:sz w:val="28"/>
          <w:szCs w:val="28"/>
        </w:rPr>
        <w:t>2024</w:t>
      </w:r>
      <w:r>
        <w:rPr>
          <w:rFonts w:hint="eastAsia" w:ascii="宋体" w:hAnsi="宋体" w:cs="宋体"/>
          <w:sz w:val="28"/>
          <w:szCs w:val="28"/>
        </w:rPr>
        <w:t>年9月23日，兖矿能源与高地资源签署</w:t>
      </w:r>
      <w:bookmarkStart w:id="0" w:name="_Hlk175006267"/>
      <w:r>
        <w:rPr>
          <w:rFonts w:hint="eastAsia" w:ascii="宋体" w:hAnsi="宋体" w:cs="宋体"/>
          <w:sz w:val="28"/>
          <w:szCs w:val="28"/>
        </w:rPr>
        <w:t>“</w:t>
      </w:r>
      <w:r>
        <w:rPr>
          <w:rFonts w:ascii="宋体" w:hAnsi="宋体" w:cs="宋体"/>
          <w:sz w:val="28"/>
          <w:szCs w:val="28"/>
        </w:rPr>
        <w:t xml:space="preserve">Implementation </w:t>
      </w:r>
      <w:r>
        <w:rPr>
          <w:rFonts w:hint="eastAsia" w:ascii="宋体" w:hAnsi="宋体" w:cs="宋体"/>
          <w:sz w:val="28"/>
          <w:szCs w:val="28"/>
        </w:rPr>
        <w:t>A</w:t>
      </w:r>
      <w:r>
        <w:rPr>
          <w:rFonts w:ascii="宋体" w:hAnsi="宋体" w:cs="宋体"/>
          <w:sz w:val="28"/>
          <w:szCs w:val="28"/>
        </w:rPr>
        <w:t>greement</w:t>
      </w:r>
      <w:r>
        <w:rPr>
          <w:rFonts w:hint="eastAsia" w:ascii="宋体" w:hAnsi="宋体" w:cs="宋体"/>
          <w:sz w:val="28"/>
          <w:szCs w:val="28"/>
        </w:rPr>
        <w:t>”（“《实施协议》”）</w:t>
      </w:r>
      <w:bookmarkEnd w:id="0"/>
      <w:r>
        <w:rPr>
          <w:rFonts w:hint="eastAsia" w:ascii="宋体" w:hAnsi="宋体" w:cs="宋体"/>
          <w:sz w:val="28"/>
          <w:szCs w:val="28"/>
        </w:rPr>
        <w:t>及</w:t>
      </w:r>
      <w:bookmarkStart w:id="1" w:name="_Hlk175006283"/>
      <w:r>
        <w:rPr>
          <w:rFonts w:hint="eastAsia" w:ascii="宋体" w:hAnsi="宋体" w:cs="宋体"/>
          <w:sz w:val="28"/>
          <w:szCs w:val="28"/>
        </w:rPr>
        <w:t>“</w:t>
      </w:r>
      <w:r>
        <w:rPr>
          <w:rFonts w:ascii="宋体" w:hAnsi="宋体" w:cs="宋体"/>
          <w:sz w:val="28"/>
          <w:szCs w:val="28"/>
        </w:rPr>
        <w:t>Equity Subscription Agreement</w:t>
      </w:r>
      <w:r>
        <w:rPr>
          <w:rFonts w:hint="eastAsia" w:ascii="宋体" w:hAnsi="宋体" w:cs="宋体"/>
          <w:sz w:val="28"/>
          <w:szCs w:val="28"/>
        </w:rPr>
        <w:t>”（“《股份认购协议》”）</w:t>
      </w:r>
      <w:bookmarkEnd w:id="1"/>
      <w:r>
        <w:rPr>
          <w:rFonts w:hint="eastAsia" w:ascii="宋体" w:hAnsi="宋体" w:cs="宋体"/>
          <w:sz w:val="28"/>
          <w:szCs w:val="28"/>
        </w:rPr>
        <w:t>。兖矿能源将通过资产注入和现金认购方式获得高地资源新增发股份，成为交易后高地资源的第一大股东并控制董事会（“本次交易”）。本次交易包括两项交易且互为先决条件，具体如下：</w:t>
      </w:r>
    </w:p>
    <w:p>
      <w:pPr>
        <w:spacing w:line="520" w:lineRule="exact"/>
        <w:ind w:firstLine="480"/>
        <w:rPr>
          <w:rFonts w:ascii="楷体_GB2312" w:hAnsi="宋体" w:eastAsia="楷体_GB2312" w:cs="楷体_GB2312"/>
          <w:b/>
          <w:bCs/>
          <w:sz w:val="28"/>
          <w:szCs w:val="28"/>
        </w:rPr>
      </w:pPr>
      <w:r>
        <w:rPr>
          <w:rFonts w:hint="eastAsia" w:ascii="楷体_GB2312" w:hAnsi="宋体" w:eastAsia="楷体_GB2312" w:cs="楷体_GB2312"/>
          <w:b/>
          <w:bCs/>
          <w:sz w:val="28"/>
          <w:szCs w:val="28"/>
        </w:rPr>
        <w:t>（一）换股交易</w:t>
      </w:r>
    </w:p>
    <w:p>
      <w:pPr>
        <w:spacing w:line="520" w:lineRule="exact"/>
        <w:ind w:firstLine="480"/>
        <w:rPr>
          <w:rFonts w:ascii="宋体" w:hAnsi="宋体" w:cs="宋体"/>
          <w:sz w:val="28"/>
          <w:szCs w:val="28"/>
        </w:rPr>
      </w:pPr>
      <w:r>
        <w:rPr>
          <w:rFonts w:hint="eastAsia" w:ascii="宋体" w:hAnsi="宋体" w:cs="宋体"/>
          <w:sz w:val="28"/>
          <w:szCs w:val="28"/>
        </w:rPr>
        <w:t>根据《实施协议》，公司向高地资源转让所持有的兖煤加拿大100%股权，高地资源以0.50澳元/股的发行价格，发行普通股股份作为交易对价。截至2024年4月30日，兖煤国际向兖煤加拿大提供股东借款本金共计8,325万美元，上述借款本金及相应利息拟在本次交易交割之前转为兖煤加拿大股权，或在交割时以0.50澳元/股的发行价格直接认购高地资源股份（“换股交易”）。</w:t>
      </w:r>
    </w:p>
    <w:p>
      <w:pPr>
        <w:spacing w:line="520" w:lineRule="exact"/>
        <w:ind w:firstLine="480"/>
        <w:rPr>
          <w:rFonts w:ascii="楷体_GB2312" w:hAnsi="宋体" w:eastAsia="楷体_GB2312" w:cs="楷体_GB2312"/>
          <w:b/>
          <w:bCs/>
          <w:sz w:val="28"/>
          <w:szCs w:val="28"/>
        </w:rPr>
      </w:pPr>
      <w:r>
        <w:rPr>
          <w:rFonts w:hint="eastAsia" w:ascii="楷体_GB2312" w:hAnsi="宋体" w:eastAsia="楷体_GB2312" w:cs="楷体_GB2312"/>
          <w:b/>
          <w:bCs/>
          <w:sz w:val="28"/>
          <w:szCs w:val="28"/>
        </w:rPr>
        <w:t>（二）</w:t>
      </w:r>
      <w:bookmarkStart w:id="2" w:name="OLE_LINK8"/>
      <w:r>
        <w:rPr>
          <w:rFonts w:hint="eastAsia" w:ascii="楷体_GB2312" w:hAnsi="宋体" w:eastAsia="楷体_GB2312" w:cs="楷体_GB2312"/>
          <w:b/>
          <w:bCs/>
          <w:sz w:val="28"/>
          <w:szCs w:val="28"/>
        </w:rPr>
        <w:t>现金认股交易</w:t>
      </w:r>
      <w:bookmarkEnd w:id="2"/>
    </w:p>
    <w:p>
      <w:pPr>
        <w:widowControl/>
        <w:spacing w:line="520" w:lineRule="exact"/>
        <w:ind w:firstLine="560" w:firstLineChars="200"/>
        <w:rPr>
          <w:rFonts w:ascii="宋体" w:hAnsi="宋体" w:cs="宋体"/>
          <w:sz w:val="28"/>
          <w:szCs w:val="28"/>
        </w:rPr>
      </w:pPr>
      <w:r>
        <w:rPr>
          <w:rFonts w:hint="eastAsia" w:ascii="宋体" w:hAnsi="宋体" w:cs="宋体"/>
          <w:sz w:val="28"/>
          <w:szCs w:val="28"/>
        </w:rPr>
        <w:t>根据《股份认购协议》，高地资源按0.50澳元/股向包括兖矿能源在内的若干战略投资人定向增发高地资源股份，募资</w:t>
      </w:r>
      <w:r>
        <w:rPr>
          <w:rFonts w:ascii="宋体" w:hAnsi="宋体" w:cs="宋体"/>
          <w:sz w:val="28"/>
          <w:szCs w:val="28"/>
        </w:rPr>
        <w:t>2.20</w:t>
      </w:r>
      <w:r>
        <w:rPr>
          <w:rFonts w:hint="eastAsia" w:ascii="宋体" w:hAnsi="宋体" w:cs="宋体"/>
          <w:sz w:val="28"/>
          <w:szCs w:val="28"/>
        </w:rPr>
        <w:t>亿美元，兖矿能源有意向出资不超过</w:t>
      </w:r>
      <w:r>
        <w:rPr>
          <w:rFonts w:ascii="宋体" w:hAnsi="宋体" w:cs="宋体"/>
          <w:sz w:val="28"/>
          <w:szCs w:val="28"/>
        </w:rPr>
        <w:t>0.90</w:t>
      </w:r>
      <w:r>
        <w:rPr>
          <w:rFonts w:hint="eastAsia" w:ascii="宋体" w:hAnsi="宋体" w:cs="宋体"/>
          <w:sz w:val="28"/>
          <w:szCs w:val="28"/>
        </w:rPr>
        <w:t>亿美元参与认购，如果其他战略投资人认购金额超过</w:t>
      </w:r>
      <w:r>
        <w:rPr>
          <w:rFonts w:ascii="宋体" w:hAnsi="宋体" w:cs="宋体"/>
          <w:sz w:val="28"/>
          <w:szCs w:val="28"/>
        </w:rPr>
        <w:t>1.30</w:t>
      </w:r>
      <w:r>
        <w:rPr>
          <w:rFonts w:hint="eastAsia" w:ascii="宋体" w:hAnsi="宋体" w:cs="宋体"/>
          <w:sz w:val="28"/>
          <w:szCs w:val="28"/>
        </w:rPr>
        <w:t>亿美元，兖矿能源认购金额可以相应降低（“现金认股交易”）。募集资金主要用于Muga项目建设所需要的资本开支及一般性流动资金需求。</w:t>
      </w:r>
    </w:p>
    <w:p>
      <w:pPr>
        <w:widowControl/>
        <w:spacing w:line="520" w:lineRule="exact"/>
        <w:ind w:firstLine="560" w:firstLineChars="200"/>
        <w:rPr>
          <w:rFonts w:ascii="宋体" w:hAnsi="宋体" w:cs="宋体"/>
          <w:sz w:val="28"/>
          <w:szCs w:val="28"/>
        </w:rPr>
      </w:pPr>
      <w:r>
        <w:rPr>
          <w:rFonts w:hint="eastAsia" w:ascii="宋体" w:hAnsi="宋体" w:cs="宋体"/>
          <w:sz w:val="28"/>
          <w:szCs w:val="28"/>
        </w:rPr>
        <w:t>截至本公告披露日，北京能源国际控股有限公司、</w:t>
      </w:r>
      <w:r>
        <w:rPr>
          <w:rFonts w:ascii="宋体" w:hAnsi="宋体" w:cs="宋体"/>
          <w:sz w:val="28"/>
          <w:szCs w:val="28"/>
        </w:rPr>
        <w:t>Singapore</w:t>
      </w:r>
      <w:r>
        <w:rPr>
          <w:rFonts w:hint="eastAsia" w:ascii="宋体" w:hAnsi="宋体" w:cs="宋体"/>
          <w:sz w:val="28"/>
          <w:szCs w:val="28"/>
        </w:rPr>
        <w:t xml:space="preserve"> </w:t>
      </w:r>
      <w:r>
        <w:rPr>
          <w:rFonts w:ascii="宋体" w:hAnsi="宋体" w:cs="宋体"/>
          <w:sz w:val="28"/>
          <w:szCs w:val="28"/>
        </w:rPr>
        <w:t>Taizhong</w:t>
      </w:r>
      <w:r>
        <w:rPr>
          <w:rFonts w:hint="eastAsia" w:ascii="宋体" w:hAnsi="宋体" w:cs="宋体"/>
          <w:sz w:val="28"/>
          <w:szCs w:val="28"/>
        </w:rPr>
        <w:t xml:space="preserve"> </w:t>
      </w:r>
      <w:r>
        <w:rPr>
          <w:rFonts w:ascii="宋体" w:hAnsi="宋体" w:cs="宋体"/>
          <w:sz w:val="28"/>
          <w:szCs w:val="28"/>
        </w:rPr>
        <w:t>Global</w:t>
      </w:r>
      <w:r>
        <w:rPr>
          <w:rFonts w:hint="eastAsia" w:ascii="宋体" w:hAnsi="宋体" w:cs="宋体"/>
          <w:sz w:val="28"/>
          <w:szCs w:val="28"/>
        </w:rPr>
        <w:t xml:space="preserve"> </w:t>
      </w:r>
      <w:r>
        <w:rPr>
          <w:rFonts w:ascii="宋体" w:hAnsi="宋体" w:cs="宋体"/>
          <w:sz w:val="28"/>
          <w:szCs w:val="28"/>
        </w:rPr>
        <w:t>Development</w:t>
      </w:r>
      <w:r>
        <w:rPr>
          <w:rFonts w:hint="eastAsia" w:ascii="宋体" w:hAnsi="宋体" w:cs="宋体"/>
          <w:sz w:val="28"/>
          <w:szCs w:val="28"/>
        </w:rPr>
        <w:t xml:space="preserve"> </w:t>
      </w:r>
      <w:r>
        <w:rPr>
          <w:rFonts w:ascii="宋体" w:hAnsi="宋体" w:cs="宋体"/>
          <w:sz w:val="28"/>
          <w:szCs w:val="28"/>
        </w:rPr>
        <w:t>Pte. Ltd</w:t>
      </w:r>
      <w:r>
        <w:rPr>
          <w:rFonts w:hint="eastAsia" w:ascii="宋体" w:hAnsi="宋体" w:cs="宋体"/>
          <w:sz w:val="28"/>
          <w:szCs w:val="28"/>
        </w:rPr>
        <w:t>.分别与高地资源正式签署股份认购协议，认购金额为5,000万美元、3,000万美元。同日，部分投资人与高地资源签署非约束性意向认购协议。</w:t>
      </w:r>
    </w:p>
    <w:p>
      <w:pPr>
        <w:widowControl/>
        <w:spacing w:line="520" w:lineRule="exact"/>
        <w:ind w:firstLine="560" w:firstLineChars="200"/>
        <w:rPr>
          <w:rFonts w:ascii="宋体" w:hAnsi="宋体" w:cs="宋体"/>
          <w:sz w:val="28"/>
          <w:szCs w:val="28"/>
        </w:rPr>
      </w:pPr>
      <w:r>
        <w:rPr>
          <w:rFonts w:hint="eastAsia" w:ascii="宋体" w:hAnsi="宋体" w:cs="宋体"/>
          <w:sz w:val="28"/>
          <w:szCs w:val="28"/>
        </w:rPr>
        <w:t>本次交易不构成关联交易，不构成重大资产重组，根据公司上市地监管规则和《公司章程》规定，</w:t>
      </w:r>
      <w:bookmarkStart w:id="3" w:name="_Hlk175502503"/>
      <w:r>
        <w:rPr>
          <w:rFonts w:hint="eastAsia" w:ascii="宋体" w:hAnsi="宋体" w:cs="宋体"/>
          <w:sz w:val="28"/>
          <w:szCs w:val="28"/>
        </w:rPr>
        <w:t>本次交易属公司总经理办公会决策范围，</w:t>
      </w:r>
      <w:bookmarkEnd w:id="3"/>
      <w:r>
        <w:rPr>
          <w:rFonts w:hint="eastAsia" w:ascii="宋体" w:hAnsi="宋体" w:cs="宋体"/>
          <w:sz w:val="28"/>
          <w:szCs w:val="28"/>
        </w:rPr>
        <w:t>无需提交董事会、股东大会审议。</w:t>
      </w:r>
    </w:p>
    <w:p>
      <w:pPr>
        <w:spacing w:line="520" w:lineRule="exact"/>
        <w:ind w:firstLine="480"/>
        <w:rPr>
          <w:rFonts w:ascii="黑体" w:hAnsi="黑体" w:eastAsia="黑体" w:cs="黑体"/>
          <w:bCs/>
          <w:sz w:val="28"/>
          <w:szCs w:val="28"/>
        </w:rPr>
      </w:pPr>
      <w:r>
        <w:rPr>
          <w:rFonts w:hint="eastAsia" w:ascii="黑体" w:hAnsi="黑体" w:eastAsia="黑体" w:cs="黑体"/>
          <w:bCs/>
          <w:sz w:val="28"/>
          <w:szCs w:val="28"/>
        </w:rPr>
        <w:t>二、标的公司基本情况</w:t>
      </w:r>
    </w:p>
    <w:p>
      <w:pPr>
        <w:spacing w:line="520" w:lineRule="exact"/>
        <w:ind w:firstLine="562" w:firstLineChars="200"/>
        <w:rPr>
          <w:rFonts w:ascii="楷体_GB2312" w:hAnsi="宋体" w:eastAsia="楷体_GB2312" w:cs="楷体_GB2312"/>
          <w:b/>
          <w:bCs/>
          <w:sz w:val="28"/>
          <w:szCs w:val="28"/>
        </w:rPr>
      </w:pPr>
      <w:r>
        <w:rPr>
          <w:rFonts w:hint="eastAsia" w:ascii="楷体_GB2312" w:hAnsi="宋体" w:eastAsia="楷体_GB2312" w:cs="楷体_GB2312"/>
          <w:b/>
          <w:bCs/>
          <w:sz w:val="28"/>
          <w:szCs w:val="28"/>
        </w:rPr>
        <w:t>（一）高地资源</w:t>
      </w:r>
    </w:p>
    <w:p>
      <w:pPr>
        <w:spacing w:line="520" w:lineRule="exact"/>
        <w:ind w:firstLine="562" w:firstLineChars="200"/>
        <w:rPr>
          <w:rFonts w:ascii="宋体" w:hAnsi="宋体"/>
          <w:b/>
          <w:bCs/>
          <w:sz w:val="28"/>
          <w:szCs w:val="28"/>
        </w:rPr>
      </w:pPr>
      <w:bookmarkStart w:id="4" w:name="_Hlk174007848"/>
      <w:r>
        <w:rPr>
          <w:rFonts w:ascii="宋体" w:hAnsi="宋体"/>
          <w:b/>
          <w:bCs/>
          <w:sz w:val="28"/>
          <w:szCs w:val="28"/>
        </w:rPr>
        <w:t>1.</w:t>
      </w:r>
      <w:r>
        <w:rPr>
          <w:rFonts w:hint="eastAsia" w:ascii="宋体" w:hAnsi="宋体"/>
          <w:b/>
          <w:bCs/>
          <w:sz w:val="28"/>
          <w:szCs w:val="28"/>
        </w:rPr>
        <w:t>公司基本信息</w:t>
      </w:r>
    </w:p>
    <w:p>
      <w:pPr>
        <w:widowControl/>
        <w:spacing w:line="520" w:lineRule="exact"/>
        <w:ind w:firstLine="560" w:firstLineChars="200"/>
        <w:rPr>
          <w:rFonts w:ascii="宋体" w:hAnsi="宋体" w:cs="宋体"/>
          <w:sz w:val="28"/>
          <w:szCs w:val="28"/>
        </w:rPr>
      </w:pPr>
      <w:r>
        <w:rPr>
          <w:rFonts w:hint="eastAsia" w:ascii="宋体" w:hAnsi="宋体" w:cs="宋体"/>
          <w:sz w:val="28"/>
          <w:szCs w:val="28"/>
        </w:rPr>
        <w:t>高地资源在澳大利亚注册成立，并于</w:t>
      </w:r>
      <w:r>
        <w:rPr>
          <w:rFonts w:ascii="宋体" w:hAnsi="宋体" w:cs="宋体"/>
          <w:sz w:val="28"/>
          <w:szCs w:val="28"/>
        </w:rPr>
        <w:t>2012</w:t>
      </w:r>
      <w:r>
        <w:rPr>
          <w:rFonts w:hint="eastAsia" w:ascii="宋体" w:hAnsi="宋体" w:cs="宋体"/>
          <w:sz w:val="28"/>
          <w:szCs w:val="28"/>
        </w:rPr>
        <w:t>年</w:t>
      </w:r>
      <w:r>
        <w:rPr>
          <w:rFonts w:ascii="宋体" w:hAnsi="宋体" w:cs="宋体"/>
          <w:sz w:val="28"/>
          <w:szCs w:val="28"/>
        </w:rPr>
        <w:t>2</w:t>
      </w:r>
      <w:r>
        <w:rPr>
          <w:rFonts w:hint="eastAsia" w:ascii="宋体" w:hAnsi="宋体" w:cs="宋体"/>
          <w:sz w:val="28"/>
          <w:szCs w:val="28"/>
        </w:rPr>
        <w:t>月在澳大利亚证券交易所上市，其主要业务为钾肥项目的开发，核心项目为西班牙北部的</w:t>
      </w:r>
      <w:r>
        <w:rPr>
          <w:rFonts w:ascii="宋体" w:hAnsi="宋体" w:cs="宋体"/>
          <w:sz w:val="28"/>
          <w:szCs w:val="28"/>
        </w:rPr>
        <w:t>Muga</w:t>
      </w:r>
      <w:r>
        <w:rPr>
          <w:rFonts w:hint="eastAsia" w:ascii="宋体" w:hAnsi="宋体" w:cs="宋体"/>
          <w:sz w:val="28"/>
          <w:szCs w:val="28"/>
        </w:rPr>
        <w:t>项目。按照</w:t>
      </w:r>
      <w:r>
        <w:rPr>
          <w:rFonts w:ascii="宋体" w:hAnsi="宋体" w:cs="宋体"/>
          <w:sz w:val="28"/>
          <w:szCs w:val="28"/>
        </w:rPr>
        <w:t>JORC</w:t>
      </w:r>
      <w:r>
        <w:rPr>
          <w:rFonts w:hint="eastAsia" w:ascii="宋体" w:hAnsi="宋体" w:cs="宋体"/>
          <w:sz w:val="28"/>
          <w:szCs w:val="28"/>
        </w:rPr>
        <w:t>规范，其探明及控制的原位矿石储量为1.04亿吨，氯化钾品位为16.1%；一期和二期设计产能均为</w:t>
      </w:r>
      <w:r>
        <w:rPr>
          <w:rFonts w:ascii="宋体" w:hAnsi="宋体" w:cs="宋体"/>
          <w:sz w:val="28"/>
          <w:szCs w:val="28"/>
        </w:rPr>
        <w:t>5</w:t>
      </w:r>
      <w:r>
        <w:rPr>
          <w:rFonts w:hint="eastAsia" w:ascii="宋体" w:hAnsi="宋体" w:cs="宋体"/>
          <w:sz w:val="28"/>
          <w:szCs w:val="28"/>
        </w:rPr>
        <w:t>0万吨</w:t>
      </w:r>
      <w:r>
        <w:rPr>
          <w:rFonts w:ascii="宋体" w:hAnsi="宋体" w:cs="宋体"/>
          <w:sz w:val="28"/>
          <w:szCs w:val="28"/>
        </w:rPr>
        <w:t>/</w:t>
      </w:r>
      <w:r>
        <w:rPr>
          <w:rFonts w:hint="eastAsia" w:ascii="宋体" w:hAnsi="宋体" w:cs="宋体"/>
          <w:sz w:val="28"/>
          <w:szCs w:val="28"/>
        </w:rPr>
        <w:t>年，合计产能为</w:t>
      </w:r>
      <w:r>
        <w:rPr>
          <w:rFonts w:ascii="宋体" w:hAnsi="宋体" w:cs="宋体"/>
          <w:sz w:val="28"/>
          <w:szCs w:val="28"/>
        </w:rPr>
        <w:t>10</w:t>
      </w:r>
      <w:r>
        <w:rPr>
          <w:rFonts w:hint="eastAsia" w:ascii="宋体" w:hAnsi="宋体" w:cs="宋体"/>
          <w:sz w:val="28"/>
          <w:szCs w:val="28"/>
        </w:rPr>
        <w:t>0万吨</w:t>
      </w:r>
      <w:r>
        <w:rPr>
          <w:rFonts w:ascii="宋体" w:hAnsi="宋体" w:cs="宋体"/>
          <w:sz w:val="28"/>
          <w:szCs w:val="28"/>
        </w:rPr>
        <w:t>/</w:t>
      </w:r>
      <w:r>
        <w:rPr>
          <w:rFonts w:hint="eastAsia" w:ascii="宋体" w:hAnsi="宋体" w:cs="宋体"/>
          <w:sz w:val="28"/>
          <w:szCs w:val="28"/>
        </w:rPr>
        <w:t>年。</w:t>
      </w:r>
    </w:p>
    <w:p>
      <w:pPr>
        <w:widowControl/>
        <w:spacing w:line="520" w:lineRule="exact"/>
        <w:ind w:firstLine="562" w:firstLineChars="200"/>
        <w:rPr>
          <w:rFonts w:ascii="宋体" w:hAnsi="宋体" w:cs="宋体"/>
          <w:b/>
          <w:bCs/>
          <w:sz w:val="28"/>
          <w:szCs w:val="28"/>
        </w:rPr>
      </w:pPr>
      <w:r>
        <w:rPr>
          <w:rFonts w:ascii="宋体" w:hAnsi="宋体" w:cs="宋体"/>
          <w:b/>
          <w:bCs/>
          <w:sz w:val="28"/>
          <w:szCs w:val="28"/>
        </w:rPr>
        <w:t>2.</w:t>
      </w:r>
      <w:r>
        <w:rPr>
          <w:rFonts w:hint="eastAsia" w:ascii="宋体" w:hAnsi="宋体" w:cs="宋体"/>
          <w:b/>
          <w:bCs/>
          <w:sz w:val="28"/>
          <w:szCs w:val="28"/>
        </w:rPr>
        <w:t>主要财务数据</w:t>
      </w:r>
    </w:p>
    <w:p>
      <w:pPr>
        <w:spacing w:line="520" w:lineRule="exact"/>
        <w:ind w:firstLine="560" w:firstLineChars="200"/>
        <w:rPr>
          <w:rFonts w:ascii="宋体" w:hAnsi="宋体" w:cs="宋体"/>
          <w:sz w:val="28"/>
          <w:szCs w:val="28"/>
        </w:rPr>
      </w:pPr>
      <w:r>
        <w:rPr>
          <w:rFonts w:hint="eastAsia" w:ascii="宋体" w:hAnsi="宋体" w:cs="宋体"/>
          <w:sz w:val="28"/>
          <w:szCs w:val="28"/>
        </w:rPr>
        <w:t>高地资源近两年又一期的主要财务情况如下：</w:t>
      </w:r>
    </w:p>
    <w:p>
      <w:pPr>
        <w:spacing w:line="360" w:lineRule="auto"/>
        <w:ind w:firstLine="480"/>
        <w:jc w:val="right"/>
        <w:rPr>
          <w:rFonts w:ascii="Times New Roman" w:hAnsi="Times New Roman"/>
          <w:sz w:val="24"/>
          <w:szCs w:val="24"/>
        </w:rPr>
      </w:pPr>
      <w:r>
        <w:rPr>
          <w:rFonts w:ascii="Times New Roman" w:hAnsi="Times New Roman"/>
          <w:sz w:val="24"/>
          <w:szCs w:val="24"/>
        </w:rPr>
        <w:t>单位：人民币</w:t>
      </w:r>
      <w:r>
        <w:rPr>
          <w:rFonts w:hint="eastAsia" w:ascii="Times New Roman" w:hAnsi="Times New Roman"/>
          <w:sz w:val="24"/>
          <w:szCs w:val="24"/>
        </w:rPr>
        <w:t>万</w:t>
      </w:r>
      <w:r>
        <w:rPr>
          <w:rFonts w:ascii="Times New Roman" w:hAnsi="Times New Roman"/>
          <w:sz w:val="24"/>
          <w:szCs w:val="24"/>
        </w:rPr>
        <w:t>元</w:t>
      </w:r>
    </w:p>
    <w:tbl>
      <w:tblPr>
        <w:tblStyle w:val="9"/>
        <w:tblW w:w="50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40"/>
        <w:gridCol w:w="2244"/>
        <w:gridCol w:w="2244"/>
        <w:gridCol w:w="2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027" w:type="pct"/>
            <w:shd w:val="clear" w:color="auto" w:fill="DADADA" w:themeFill="accent3" w:themeFillTint="66"/>
            <w:noWrap/>
            <w:tcMar>
              <w:top w:w="0" w:type="dxa"/>
              <w:left w:w="108" w:type="dxa"/>
              <w:bottom w:w="0" w:type="dxa"/>
              <w:right w:w="108" w:type="dxa"/>
            </w:tcMar>
            <w:vAlign w:val="center"/>
          </w:tcPr>
          <w:p>
            <w:pPr>
              <w:widowControl/>
              <w:adjustRightInd w:val="0"/>
              <w:snapToGrid w:val="0"/>
              <w:jc w:val="center"/>
              <w:rPr>
                <w:rFonts w:ascii="宋体" w:hAnsi="宋体" w:cs="宋体"/>
                <w:b/>
                <w:bCs/>
                <w:sz w:val="24"/>
              </w:rPr>
            </w:pPr>
            <w:r>
              <w:rPr>
                <w:rFonts w:hint="eastAsia" w:ascii="宋体" w:hAnsi="宋体" w:cs="宋体"/>
                <w:b/>
                <w:bCs/>
                <w:sz w:val="24"/>
              </w:rPr>
              <w:t>项目</w:t>
            </w:r>
          </w:p>
        </w:tc>
        <w:tc>
          <w:tcPr>
            <w:tcW w:w="1324" w:type="pct"/>
            <w:shd w:val="clear" w:color="auto" w:fill="DADADA" w:themeFill="accent3" w:themeFillTint="66"/>
            <w:vAlign w:val="center"/>
          </w:tcPr>
          <w:p>
            <w:pPr>
              <w:widowControl/>
              <w:adjustRightInd w:val="0"/>
              <w:snapToGrid w:val="0"/>
              <w:jc w:val="center"/>
              <w:rPr>
                <w:rFonts w:ascii="宋体" w:hAnsi="宋体" w:cs="宋体"/>
                <w:b/>
                <w:bCs/>
                <w:sz w:val="24"/>
              </w:rPr>
            </w:pPr>
            <w:r>
              <w:rPr>
                <w:rFonts w:ascii="宋体" w:hAnsi="宋体" w:cs="宋体"/>
                <w:b/>
                <w:bCs/>
                <w:sz w:val="24"/>
              </w:rPr>
              <w:t>2024</w:t>
            </w:r>
            <w:r>
              <w:rPr>
                <w:rFonts w:hint="eastAsia" w:ascii="宋体" w:hAnsi="宋体" w:cs="宋体"/>
                <w:b/>
                <w:bCs/>
                <w:sz w:val="24"/>
              </w:rPr>
              <w:t>年</w:t>
            </w:r>
            <w:r>
              <w:rPr>
                <w:rFonts w:ascii="宋体" w:hAnsi="宋体" w:cs="宋体"/>
                <w:b/>
                <w:bCs/>
                <w:sz w:val="24"/>
              </w:rPr>
              <w:t>4</w:t>
            </w:r>
            <w:r>
              <w:rPr>
                <w:rFonts w:hint="eastAsia" w:ascii="宋体" w:hAnsi="宋体" w:cs="宋体"/>
                <w:b/>
                <w:bCs/>
                <w:sz w:val="24"/>
              </w:rPr>
              <w:t>月</w:t>
            </w:r>
            <w:r>
              <w:rPr>
                <w:rFonts w:ascii="宋体" w:hAnsi="宋体" w:cs="宋体"/>
                <w:b/>
                <w:bCs/>
                <w:sz w:val="24"/>
              </w:rPr>
              <w:t>30</w:t>
            </w:r>
            <w:r>
              <w:rPr>
                <w:rFonts w:hint="eastAsia" w:ascii="宋体" w:hAnsi="宋体" w:cs="宋体"/>
                <w:b/>
                <w:bCs/>
                <w:sz w:val="24"/>
              </w:rPr>
              <w:t>日</w:t>
            </w:r>
          </w:p>
        </w:tc>
        <w:tc>
          <w:tcPr>
            <w:tcW w:w="1324" w:type="pct"/>
            <w:shd w:val="clear" w:color="auto" w:fill="DADADA" w:themeFill="accent3" w:themeFillTint="66"/>
            <w:noWrap/>
            <w:tcMar>
              <w:top w:w="0" w:type="dxa"/>
              <w:left w:w="108" w:type="dxa"/>
              <w:bottom w:w="0" w:type="dxa"/>
              <w:right w:w="108" w:type="dxa"/>
            </w:tcMar>
            <w:vAlign w:val="center"/>
          </w:tcPr>
          <w:p>
            <w:pPr>
              <w:widowControl/>
              <w:adjustRightInd w:val="0"/>
              <w:snapToGrid w:val="0"/>
              <w:jc w:val="center"/>
              <w:rPr>
                <w:rFonts w:ascii="宋体" w:hAnsi="宋体" w:cs="宋体"/>
                <w:b/>
                <w:bCs/>
                <w:sz w:val="24"/>
              </w:rPr>
            </w:pPr>
            <w:r>
              <w:rPr>
                <w:rFonts w:ascii="宋体" w:hAnsi="宋体" w:cs="宋体"/>
                <w:b/>
                <w:bCs/>
                <w:sz w:val="24"/>
              </w:rPr>
              <w:t>2023</w:t>
            </w:r>
            <w:r>
              <w:rPr>
                <w:rFonts w:hint="eastAsia" w:ascii="宋体" w:hAnsi="宋体" w:cs="宋体"/>
                <w:b/>
                <w:bCs/>
                <w:sz w:val="24"/>
              </w:rPr>
              <w:t>年</w:t>
            </w:r>
            <w:r>
              <w:rPr>
                <w:rFonts w:ascii="宋体" w:hAnsi="宋体" w:cs="宋体"/>
                <w:b/>
                <w:bCs/>
                <w:sz w:val="24"/>
              </w:rPr>
              <w:t>12</w:t>
            </w:r>
            <w:r>
              <w:rPr>
                <w:rFonts w:hint="eastAsia" w:ascii="宋体" w:hAnsi="宋体" w:cs="宋体"/>
                <w:b/>
                <w:bCs/>
                <w:sz w:val="24"/>
              </w:rPr>
              <w:t>月</w:t>
            </w:r>
            <w:r>
              <w:rPr>
                <w:rFonts w:ascii="宋体" w:hAnsi="宋体" w:cs="宋体"/>
                <w:b/>
                <w:bCs/>
                <w:sz w:val="24"/>
              </w:rPr>
              <w:t>31</w:t>
            </w:r>
            <w:r>
              <w:rPr>
                <w:rFonts w:hint="eastAsia" w:ascii="宋体" w:hAnsi="宋体" w:cs="宋体"/>
                <w:b/>
                <w:bCs/>
                <w:sz w:val="24"/>
              </w:rPr>
              <w:t>日</w:t>
            </w:r>
          </w:p>
        </w:tc>
        <w:tc>
          <w:tcPr>
            <w:tcW w:w="1324" w:type="pct"/>
            <w:shd w:val="clear" w:color="auto" w:fill="DADADA" w:themeFill="accent3" w:themeFillTint="66"/>
            <w:vAlign w:val="center"/>
          </w:tcPr>
          <w:p>
            <w:pPr>
              <w:widowControl/>
              <w:adjustRightInd w:val="0"/>
              <w:snapToGrid w:val="0"/>
              <w:jc w:val="center"/>
              <w:rPr>
                <w:rFonts w:ascii="宋体" w:hAnsi="宋体" w:cs="宋体"/>
                <w:b/>
                <w:bCs/>
                <w:sz w:val="24"/>
              </w:rPr>
            </w:pPr>
            <w:r>
              <w:rPr>
                <w:rFonts w:ascii="宋体" w:hAnsi="宋体" w:cs="宋体"/>
                <w:b/>
                <w:bCs/>
                <w:sz w:val="24"/>
              </w:rPr>
              <w:t>2022</w:t>
            </w:r>
            <w:r>
              <w:rPr>
                <w:rFonts w:hint="eastAsia" w:ascii="宋体" w:hAnsi="宋体" w:cs="宋体"/>
                <w:b/>
                <w:bCs/>
                <w:sz w:val="24"/>
              </w:rPr>
              <w:t>年</w:t>
            </w:r>
            <w:r>
              <w:rPr>
                <w:rFonts w:ascii="宋体" w:hAnsi="宋体" w:cs="宋体"/>
                <w:b/>
                <w:bCs/>
                <w:sz w:val="24"/>
              </w:rPr>
              <w:t>12</w:t>
            </w:r>
            <w:r>
              <w:rPr>
                <w:rFonts w:hint="eastAsia" w:ascii="宋体" w:hAnsi="宋体" w:cs="宋体"/>
                <w:b/>
                <w:bCs/>
                <w:sz w:val="24"/>
              </w:rPr>
              <w:t>月</w:t>
            </w:r>
            <w:r>
              <w:rPr>
                <w:rFonts w:ascii="宋体" w:hAnsi="宋体" w:cs="宋体"/>
                <w:b/>
                <w:bCs/>
                <w:sz w:val="24"/>
              </w:rPr>
              <w:t>31</w:t>
            </w:r>
            <w:r>
              <w:rPr>
                <w:rFonts w:hint="eastAsia" w:ascii="宋体" w:hAnsi="宋体" w:cs="宋体"/>
                <w:b/>
                <w:bCs/>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027" w:type="pct"/>
            <w:shd w:val="clear" w:color="auto" w:fill="FFFFFF"/>
            <w:noWrap/>
            <w:tcMar>
              <w:top w:w="0" w:type="dxa"/>
              <w:left w:w="108" w:type="dxa"/>
              <w:bottom w:w="0" w:type="dxa"/>
              <w:right w:w="108" w:type="dxa"/>
            </w:tcMar>
            <w:vAlign w:val="center"/>
          </w:tcPr>
          <w:p>
            <w:pPr>
              <w:widowControl/>
              <w:adjustRightInd w:val="0"/>
              <w:snapToGrid w:val="0"/>
              <w:jc w:val="center"/>
              <w:rPr>
                <w:rFonts w:ascii="宋体" w:hAnsi="宋体" w:cs="宋体"/>
                <w:sz w:val="24"/>
              </w:rPr>
            </w:pPr>
            <w:r>
              <w:rPr>
                <w:rFonts w:hint="eastAsia" w:ascii="宋体" w:hAnsi="宋体" w:cs="宋体"/>
                <w:sz w:val="24"/>
              </w:rPr>
              <w:t>资产总额</w:t>
            </w:r>
          </w:p>
        </w:tc>
        <w:tc>
          <w:tcPr>
            <w:tcW w:w="1324" w:type="pct"/>
            <w:vAlign w:val="center"/>
          </w:tcPr>
          <w:p>
            <w:pPr>
              <w:widowControl/>
              <w:adjustRightInd w:val="0"/>
              <w:snapToGrid w:val="0"/>
              <w:ind w:firstLine="480"/>
              <w:jc w:val="right"/>
              <w:rPr>
                <w:rFonts w:ascii="宋体" w:hAnsi="宋体"/>
                <w:bCs/>
                <w:sz w:val="24"/>
              </w:rPr>
            </w:pPr>
            <w:r>
              <w:rPr>
                <w:rFonts w:ascii="宋体" w:hAnsi="宋体"/>
                <w:bCs/>
                <w:color w:val="000000"/>
                <w:kern w:val="0"/>
                <w:sz w:val="24"/>
              </w:rPr>
              <w:t>97,726.50</w:t>
            </w:r>
          </w:p>
        </w:tc>
        <w:tc>
          <w:tcPr>
            <w:tcW w:w="1324" w:type="pct"/>
            <w:noWrap/>
            <w:tcMar>
              <w:top w:w="0" w:type="dxa"/>
              <w:left w:w="108" w:type="dxa"/>
              <w:bottom w:w="0" w:type="dxa"/>
              <w:right w:w="108" w:type="dxa"/>
            </w:tcMar>
            <w:vAlign w:val="center"/>
          </w:tcPr>
          <w:p>
            <w:pPr>
              <w:widowControl/>
              <w:adjustRightInd w:val="0"/>
              <w:snapToGrid w:val="0"/>
              <w:ind w:firstLine="480"/>
              <w:jc w:val="right"/>
              <w:rPr>
                <w:rFonts w:ascii="宋体" w:hAnsi="宋体"/>
                <w:bCs/>
                <w:sz w:val="24"/>
              </w:rPr>
            </w:pPr>
            <w:r>
              <w:rPr>
                <w:rFonts w:ascii="宋体" w:hAnsi="宋体"/>
                <w:bCs/>
                <w:color w:val="000000"/>
                <w:kern w:val="0"/>
                <w:sz w:val="24"/>
              </w:rPr>
              <w:t>98,866.44</w:t>
            </w:r>
          </w:p>
        </w:tc>
        <w:tc>
          <w:tcPr>
            <w:tcW w:w="1324" w:type="pct"/>
            <w:vAlign w:val="center"/>
          </w:tcPr>
          <w:p>
            <w:pPr>
              <w:widowControl/>
              <w:adjustRightInd w:val="0"/>
              <w:snapToGrid w:val="0"/>
              <w:ind w:firstLine="480"/>
              <w:jc w:val="right"/>
              <w:rPr>
                <w:rFonts w:ascii="宋体" w:hAnsi="宋体"/>
                <w:bCs/>
                <w:color w:val="000000"/>
                <w:kern w:val="0"/>
                <w:sz w:val="24"/>
              </w:rPr>
            </w:pPr>
            <w:r>
              <w:rPr>
                <w:rFonts w:ascii="宋体" w:hAnsi="宋体"/>
                <w:bCs/>
                <w:color w:val="000000"/>
                <w:kern w:val="0"/>
                <w:sz w:val="24"/>
              </w:rPr>
              <w:t>79,173.39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027" w:type="pct"/>
            <w:shd w:val="clear" w:color="auto" w:fill="FFFFFF"/>
            <w:noWrap/>
            <w:tcMar>
              <w:top w:w="0" w:type="dxa"/>
              <w:left w:w="108" w:type="dxa"/>
              <w:bottom w:w="0" w:type="dxa"/>
              <w:right w:w="108" w:type="dxa"/>
            </w:tcMar>
            <w:vAlign w:val="center"/>
          </w:tcPr>
          <w:p>
            <w:pPr>
              <w:widowControl/>
              <w:adjustRightInd w:val="0"/>
              <w:snapToGrid w:val="0"/>
              <w:jc w:val="center"/>
              <w:rPr>
                <w:rFonts w:ascii="宋体" w:hAnsi="宋体" w:cs="宋体"/>
                <w:sz w:val="24"/>
              </w:rPr>
            </w:pPr>
            <w:r>
              <w:rPr>
                <w:rFonts w:hint="eastAsia" w:ascii="宋体" w:hAnsi="宋体" w:cs="宋体"/>
                <w:sz w:val="24"/>
              </w:rPr>
              <w:t>负债总额</w:t>
            </w:r>
          </w:p>
        </w:tc>
        <w:tc>
          <w:tcPr>
            <w:tcW w:w="1324" w:type="pct"/>
            <w:vAlign w:val="center"/>
          </w:tcPr>
          <w:p>
            <w:pPr>
              <w:widowControl/>
              <w:adjustRightInd w:val="0"/>
              <w:snapToGrid w:val="0"/>
              <w:ind w:firstLine="480"/>
              <w:jc w:val="right"/>
              <w:rPr>
                <w:rFonts w:ascii="宋体" w:hAnsi="宋体"/>
                <w:bCs/>
                <w:sz w:val="24"/>
              </w:rPr>
            </w:pPr>
            <w:r>
              <w:rPr>
                <w:rFonts w:ascii="宋体" w:hAnsi="宋体"/>
                <w:bCs/>
                <w:color w:val="000000"/>
                <w:kern w:val="0"/>
                <w:sz w:val="24"/>
              </w:rPr>
              <w:t>31,596.54</w:t>
            </w:r>
          </w:p>
        </w:tc>
        <w:tc>
          <w:tcPr>
            <w:tcW w:w="1324" w:type="pct"/>
            <w:noWrap/>
            <w:tcMar>
              <w:top w:w="0" w:type="dxa"/>
              <w:left w:w="108" w:type="dxa"/>
              <w:bottom w:w="0" w:type="dxa"/>
              <w:right w:w="108" w:type="dxa"/>
            </w:tcMar>
            <w:vAlign w:val="center"/>
          </w:tcPr>
          <w:p>
            <w:pPr>
              <w:widowControl/>
              <w:adjustRightInd w:val="0"/>
              <w:snapToGrid w:val="0"/>
              <w:ind w:firstLine="480"/>
              <w:jc w:val="right"/>
              <w:rPr>
                <w:rFonts w:ascii="宋体" w:hAnsi="宋体"/>
                <w:bCs/>
                <w:sz w:val="24"/>
              </w:rPr>
            </w:pPr>
            <w:r>
              <w:rPr>
                <w:rFonts w:ascii="宋体" w:hAnsi="宋体"/>
                <w:bCs/>
                <w:color w:val="000000"/>
                <w:kern w:val="0"/>
                <w:sz w:val="24"/>
              </w:rPr>
              <w:t>30,195.21</w:t>
            </w:r>
          </w:p>
        </w:tc>
        <w:tc>
          <w:tcPr>
            <w:tcW w:w="1324" w:type="pct"/>
            <w:vAlign w:val="center"/>
          </w:tcPr>
          <w:p>
            <w:pPr>
              <w:widowControl/>
              <w:adjustRightInd w:val="0"/>
              <w:snapToGrid w:val="0"/>
              <w:ind w:firstLine="480"/>
              <w:jc w:val="right"/>
              <w:rPr>
                <w:rFonts w:ascii="宋体" w:hAnsi="宋体"/>
                <w:bCs/>
                <w:color w:val="000000"/>
                <w:kern w:val="0"/>
                <w:sz w:val="24"/>
              </w:rPr>
            </w:pPr>
            <w:r>
              <w:rPr>
                <w:rFonts w:ascii="宋体" w:hAnsi="宋体"/>
                <w:bCs/>
                <w:color w:val="000000"/>
                <w:kern w:val="0"/>
                <w:sz w:val="24"/>
              </w:rPr>
              <w:t>9,539.85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027" w:type="pct"/>
            <w:shd w:val="clear" w:color="auto" w:fill="FFFFFF"/>
            <w:noWrap/>
            <w:tcMar>
              <w:top w:w="0" w:type="dxa"/>
              <w:left w:w="108" w:type="dxa"/>
              <w:bottom w:w="0" w:type="dxa"/>
              <w:right w:w="108" w:type="dxa"/>
            </w:tcMar>
            <w:vAlign w:val="center"/>
          </w:tcPr>
          <w:p>
            <w:pPr>
              <w:widowControl/>
              <w:adjustRightInd w:val="0"/>
              <w:snapToGrid w:val="0"/>
              <w:jc w:val="center"/>
              <w:rPr>
                <w:rFonts w:ascii="宋体" w:hAnsi="宋体" w:cs="宋体"/>
                <w:sz w:val="24"/>
              </w:rPr>
            </w:pPr>
            <w:r>
              <w:rPr>
                <w:rFonts w:hint="eastAsia" w:ascii="宋体" w:hAnsi="宋体" w:cs="宋体"/>
                <w:sz w:val="24"/>
              </w:rPr>
              <w:t>所有者权益</w:t>
            </w:r>
          </w:p>
        </w:tc>
        <w:tc>
          <w:tcPr>
            <w:tcW w:w="1324" w:type="pct"/>
            <w:vAlign w:val="center"/>
          </w:tcPr>
          <w:p>
            <w:pPr>
              <w:widowControl/>
              <w:adjustRightInd w:val="0"/>
              <w:snapToGrid w:val="0"/>
              <w:ind w:firstLine="480"/>
              <w:jc w:val="right"/>
              <w:rPr>
                <w:rFonts w:ascii="宋体" w:hAnsi="宋体"/>
                <w:bCs/>
                <w:sz w:val="24"/>
              </w:rPr>
            </w:pPr>
            <w:r>
              <w:rPr>
                <w:rFonts w:ascii="宋体" w:hAnsi="宋体"/>
                <w:bCs/>
                <w:color w:val="000000"/>
                <w:kern w:val="0"/>
                <w:sz w:val="24"/>
              </w:rPr>
              <w:t>66,129.97</w:t>
            </w:r>
          </w:p>
        </w:tc>
        <w:tc>
          <w:tcPr>
            <w:tcW w:w="1324" w:type="pct"/>
            <w:noWrap/>
            <w:tcMar>
              <w:top w:w="0" w:type="dxa"/>
              <w:left w:w="108" w:type="dxa"/>
              <w:bottom w:w="0" w:type="dxa"/>
              <w:right w:w="108" w:type="dxa"/>
            </w:tcMar>
            <w:vAlign w:val="center"/>
          </w:tcPr>
          <w:p>
            <w:pPr>
              <w:widowControl/>
              <w:adjustRightInd w:val="0"/>
              <w:snapToGrid w:val="0"/>
              <w:ind w:firstLine="480"/>
              <w:jc w:val="right"/>
              <w:rPr>
                <w:rFonts w:ascii="宋体" w:hAnsi="宋体"/>
                <w:bCs/>
                <w:sz w:val="24"/>
              </w:rPr>
            </w:pPr>
            <w:r>
              <w:rPr>
                <w:rFonts w:ascii="宋体" w:hAnsi="宋体"/>
                <w:bCs/>
                <w:color w:val="000000"/>
                <w:kern w:val="0"/>
                <w:sz w:val="24"/>
              </w:rPr>
              <w:t>68,671.23</w:t>
            </w:r>
          </w:p>
        </w:tc>
        <w:tc>
          <w:tcPr>
            <w:tcW w:w="1324" w:type="pct"/>
            <w:vAlign w:val="center"/>
          </w:tcPr>
          <w:p>
            <w:pPr>
              <w:widowControl/>
              <w:adjustRightInd w:val="0"/>
              <w:snapToGrid w:val="0"/>
              <w:ind w:firstLine="480"/>
              <w:jc w:val="right"/>
              <w:rPr>
                <w:rFonts w:ascii="宋体" w:hAnsi="宋体"/>
                <w:bCs/>
                <w:color w:val="000000"/>
                <w:kern w:val="0"/>
                <w:sz w:val="24"/>
              </w:rPr>
            </w:pPr>
            <w:r>
              <w:rPr>
                <w:rFonts w:ascii="宋体" w:hAnsi="宋体"/>
                <w:bCs/>
                <w:color w:val="000000"/>
                <w:kern w:val="0"/>
                <w:sz w:val="24"/>
              </w:rPr>
              <w:t>69,633.54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027" w:type="pct"/>
            <w:shd w:val="clear" w:color="auto" w:fill="DADADA" w:themeFill="accent3" w:themeFillTint="66"/>
            <w:noWrap/>
            <w:tcMar>
              <w:top w:w="0" w:type="dxa"/>
              <w:left w:w="108" w:type="dxa"/>
              <w:bottom w:w="0" w:type="dxa"/>
              <w:right w:w="108" w:type="dxa"/>
            </w:tcMar>
            <w:vAlign w:val="center"/>
          </w:tcPr>
          <w:p>
            <w:pPr>
              <w:widowControl/>
              <w:adjustRightInd w:val="0"/>
              <w:snapToGrid w:val="0"/>
              <w:jc w:val="center"/>
              <w:rPr>
                <w:rFonts w:ascii="宋体" w:hAnsi="宋体" w:cs="宋体"/>
                <w:b/>
                <w:bCs/>
                <w:sz w:val="24"/>
              </w:rPr>
            </w:pPr>
            <w:r>
              <w:rPr>
                <w:rFonts w:hint="eastAsia" w:ascii="宋体" w:hAnsi="宋体" w:cs="宋体"/>
                <w:b/>
                <w:bCs/>
                <w:sz w:val="24"/>
              </w:rPr>
              <w:t>项目</w:t>
            </w:r>
          </w:p>
        </w:tc>
        <w:tc>
          <w:tcPr>
            <w:tcW w:w="1324" w:type="pct"/>
            <w:shd w:val="clear" w:color="auto" w:fill="DADADA" w:themeFill="accent3" w:themeFillTint="66"/>
            <w:vAlign w:val="center"/>
          </w:tcPr>
          <w:p>
            <w:pPr>
              <w:widowControl/>
              <w:adjustRightInd w:val="0"/>
              <w:snapToGrid w:val="0"/>
              <w:jc w:val="center"/>
              <w:rPr>
                <w:rFonts w:ascii="宋体" w:hAnsi="宋体" w:cs="宋体"/>
                <w:b/>
                <w:bCs/>
                <w:sz w:val="24"/>
              </w:rPr>
            </w:pPr>
            <w:r>
              <w:rPr>
                <w:rFonts w:ascii="宋体" w:hAnsi="宋体" w:cs="宋体"/>
                <w:b/>
                <w:bCs/>
                <w:sz w:val="24"/>
              </w:rPr>
              <w:t>2024</w:t>
            </w:r>
            <w:r>
              <w:rPr>
                <w:rFonts w:hint="eastAsia" w:ascii="宋体" w:hAnsi="宋体" w:cs="宋体"/>
                <w:b/>
                <w:bCs/>
                <w:sz w:val="24"/>
              </w:rPr>
              <w:t>年</w:t>
            </w:r>
            <w:r>
              <w:rPr>
                <w:rFonts w:ascii="宋体" w:hAnsi="宋体" w:cs="宋体"/>
                <w:b/>
                <w:bCs/>
                <w:sz w:val="24"/>
              </w:rPr>
              <w:t>1-4</w:t>
            </w:r>
            <w:r>
              <w:rPr>
                <w:rFonts w:hint="eastAsia" w:ascii="宋体" w:hAnsi="宋体" w:cs="宋体"/>
                <w:b/>
                <w:bCs/>
                <w:sz w:val="24"/>
              </w:rPr>
              <w:t>月</w:t>
            </w:r>
          </w:p>
        </w:tc>
        <w:tc>
          <w:tcPr>
            <w:tcW w:w="1324" w:type="pct"/>
            <w:shd w:val="clear" w:color="auto" w:fill="DADADA" w:themeFill="accent3" w:themeFillTint="66"/>
            <w:noWrap/>
            <w:tcMar>
              <w:top w:w="0" w:type="dxa"/>
              <w:left w:w="108" w:type="dxa"/>
              <w:bottom w:w="0" w:type="dxa"/>
              <w:right w:w="108" w:type="dxa"/>
            </w:tcMar>
            <w:vAlign w:val="center"/>
          </w:tcPr>
          <w:p>
            <w:pPr>
              <w:widowControl/>
              <w:adjustRightInd w:val="0"/>
              <w:snapToGrid w:val="0"/>
              <w:jc w:val="center"/>
              <w:rPr>
                <w:rFonts w:ascii="宋体" w:hAnsi="宋体" w:cs="宋体"/>
                <w:b/>
                <w:bCs/>
                <w:sz w:val="24"/>
              </w:rPr>
            </w:pPr>
            <w:r>
              <w:rPr>
                <w:rFonts w:ascii="宋体" w:hAnsi="宋体" w:cs="宋体"/>
                <w:b/>
                <w:bCs/>
                <w:sz w:val="24"/>
              </w:rPr>
              <w:t>2023</w:t>
            </w:r>
            <w:r>
              <w:rPr>
                <w:rFonts w:hint="eastAsia" w:ascii="宋体" w:hAnsi="宋体" w:cs="宋体"/>
                <w:b/>
                <w:bCs/>
                <w:sz w:val="24"/>
              </w:rPr>
              <w:t>年度</w:t>
            </w:r>
          </w:p>
        </w:tc>
        <w:tc>
          <w:tcPr>
            <w:tcW w:w="1324" w:type="pct"/>
            <w:shd w:val="clear" w:color="auto" w:fill="DADADA" w:themeFill="accent3" w:themeFillTint="66"/>
            <w:vAlign w:val="center"/>
          </w:tcPr>
          <w:p>
            <w:pPr>
              <w:widowControl/>
              <w:adjustRightInd w:val="0"/>
              <w:snapToGrid w:val="0"/>
              <w:jc w:val="center"/>
              <w:rPr>
                <w:rFonts w:ascii="宋体" w:hAnsi="宋体" w:cs="宋体"/>
                <w:b/>
                <w:bCs/>
                <w:sz w:val="24"/>
              </w:rPr>
            </w:pPr>
            <w:r>
              <w:rPr>
                <w:rFonts w:ascii="宋体" w:hAnsi="宋体" w:cs="宋体"/>
                <w:b/>
                <w:bCs/>
                <w:sz w:val="24"/>
              </w:rPr>
              <w:t>2022</w:t>
            </w:r>
            <w:r>
              <w:rPr>
                <w:rFonts w:hint="eastAsia" w:ascii="宋体" w:hAnsi="宋体" w:cs="宋体"/>
                <w:b/>
                <w:bCs/>
                <w:sz w:val="24"/>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027" w:type="pct"/>
            <w:shd w:val="clear" w:color="auto" w:fill="FFFFFF"/>
            <w:noWrap/>
            <w:tcMar>
              <w:top w:w="0" w:type="dxa"/>
              <w:left w:w="108" w:type="dxa"/>
              <w:bottom w:w="0" w:type="dxa"/>
              <w:right w:w="108" w:type="dxa"/>
            </w:tcMar>
            <w:vAlign w:val="center"/>
          </w:tcPr>
          <w:p>
            <w:pPr>
              <w:widowControl/>
              <w:adjustRightInd w:val="0"/>
              <w:snapToGrid w:val="0"/>
              <w:jc w:val="center"/>
              <w:rPr>
                <w:rFonts w:ascii="宋体" w:hAnsi="宋体" w:cs="宋体"/>
                <w:sz w:val="24"/>
              </w:rPr>
            </w:pPr>
            <w:r>
              <w:rPr>
                <w:rFonts w:hint="eastAsia" w:ascii="宋体" w:hAnsi="宋体" w:cs="宋体"/>
                <w:sz w:val="24"/>
              </w:rPr>
              <w:t>营业收入</w:t>
            </w:r>
          </w:p>
        </w:tc>
        <w:tc>
          <w:tcPr>
            <w:tcW w:w="1324" w:type="pct"/>
            <w:vAlign w:val="center"/>
          </w:tcPr>
          <w:p>
            <w:pPr>
              <w:widowControl/>
              <w:adjustRightInd w:val="0"/>
              <w:snapToGrid w:val="0"/>
              <w:ind w:firstLine="480"/>
              <w:jc w:val="right"/>
              <w:rPr>
                <w:rFonts w:ascii="宋体" w:hAnsi="宋体"/>
                <w:bCs/>
                <w:color w:val="000000"/>
                <w:kern w:val="0"/>
                <w:sz w:val="24"/>
              </w:rPr>
            </w:pPr>
            <w:r>
              <w:rPr>
                <w:rFonts w:ascii="宋体" w:hAnsi="宋体"/>
                <w:bCs/>
                <w:color w:val="000000"/>
                <w:kern w:val="0"/>
                <w:sz w:val="24"/>
              </w:rPr>
              <w:t>-</w:t>
            </w:r>
          </w:p>
        </w:tc>
        <w:tc>
          <w:tcPr>
            <w:tcW w:w="1324" w:type="pct"/>
            <w:noWrap/>
            <w:tcMar>
              <w:top w:w="0" w:type="dxa"/>
              <w:left w:w="108" w:type="dxa"/>
              <w:bottom w:w="0" w:type="dxa"/>
              <w:right w:w="108" w:type="dxa"/>
            </w:tcMar>
            <w:vAlign w:val="center"/>
          </w:tcPr>
          <w:p>
            <w:pPr>
              <w:widowControl/>
              <w:adjustRightInd w:val="0"/>
              <w:snapToGrid w:val="0"/>
              <w:ind w:firstLine="480"/>
              <w:jc w:val="right"/>
              <w:rPr>
                <w:rFonts w:ascii="宋体" w:hAnsi="宋体"/>
                <w:bCs/>
                <w:color w:val="000000"/>
                <w:kern w:val="0"/>
                <w:sz w:val="24"/>
              </w:rPr>
            </w:pPr>
            <w:r>
              <w:rPr>
                <w:rFonts w:ascii="宋体" w:hAnsi="宋体"/>
                <w:bCs/>
                <w:color w:val="000000"/>
                <w:kern w:val="0"/>
                <w:sz w:val="24"/>
              </w:rPr>
              <w:t>-</w:t>
            </w:r>
          </w:p>
        </w:tc>
        <w:tc>
          <w:tcPr>
            <w:tcW w:w="1324" w:type="pct"/>
            <w:vAlign w:val="center"/>
          </w:tcPr>
          <w:p>
            <w:pPr>
              <w:widowControl/>
              <w:adjustRightInd w:val="0"/>
              <w:snapToGrid w:val="0"/>
              <w:ind w:firstLine="480"/>
              <w:jc w:val="right"/>
              <w:rPr>
                <w:rFonts w:ascii="宋体" w:hAnsi="宋体"/>
                <w:bCs/>
                <w:color w:val="000000"/>
                <w:kern w:val="0"/>
                <w:sz w:val="24"/>
              </w:rPr>
            </w:pPr>
            <w:r>
              <w:rPr>
                <w:rFonts w:ascii="宋体" w:hAnsi="宋体"/>
                <w:bCs/>
                <w:color w:val="000000"/>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027" w:type="pct"/>
            <w:shd w:val="clear" w:color="auto" w:fill="FFFFFF"/>
            <w:noWrap/>
            <w:tcMar>
              <w:top w:w="0" w:type="dxa"/>
              <w:left w:w="108" w:type="dxa"/>
              <w:bottom w:w="0" w:type="dxa"/>
              <w:right w:w="108" w:type="dxa"/>
            </w:tcMar>
            <w:vAlign w:val="center"/>
          </w:tcPr>
          <w:p>
            <w:pPr>
              <w:widowControl/>
              <w:adjustRightInd w:val="0"/>
              <w:snapToGrid w:val="0"/>
              <w:jc w:val="center"/>
              <w:rPr>
                <w:rFonts w:ascii="宋体" w:hAnsi="宋体" w:cs="宋体"/>
                <w:sz w:val="24"/>
              </w:rPr>
            </w:pPr>
            <w:r>
              <w:rPr>
                <w:rFonts w:hint="eastAsia" w:ascii="宋体" w:hAnsi="宋体" w:cs="宋体"/>
                <w:sz w:val="24"/>
              </w:rPr>
              <w:t>营业利润</w:t>
            </w:r>
          </w:p>
        </w:tc>
        <w:tc>
          <w:tcPr>
            <w:tcW w:w="1324" w:type="pct"/>
            <w:vAlign w:val="center"/>
          </w:tcPr>
          <w:p>
            <w:pPr>
              <w:widowControl/>
              <w:adjustRightInd w:val="0"/>
              <w:snapToGrid w:val="0"/>
              <w:ind w:firstLine="480"/>
              <w:jc w:val="right"/>
              <w:rPr>
                <w:rFonts w:ascii="宋体" w:hAnsi="宋体"/>
                <w:bCs/>
                <w:color w:val="000000"/>
                <w:kern w:val="0"/>
                <w:sz w:val="24"/>
              </w:rPr>
            </w:pPr>
            <w:r>
              <w:rPr>
                <w:rFonts w:ascii="宋体" w:hAnsi="宋体"/>
                <w:bCs/>
                <w:color w:val="000000"/>
                <w:kern w:val="0"/>
                <w:sz w:val="24"/>
              </w:rPr>
              <w:t>-962.13</w:t>
            </w:r>
          </w:p>
        </w:tc>
        <w:tc>
          <w:tcPr>
            <w:tcW w:w="1324" w:type="pct"/>
            <w:noWrap/>
            <w:tcMar>
              <w:top w:w="0" w:type="dxa"/>
              <w:left w:w="108" w:type="dxa"/>
              <w:bottom w:w="0" w:type="dxa"/>
              <w:right w:w="108" w:type="dxa"/>
            </w:tcMar>
            <w:vAlign w:val="center"/>
          </w:tcPr>
          <w:p>
            <w:pPr>
              <w:widowControl/>
              <w:adjustRightInd w:val="0"/>
              <w:snapToGrid w:val="0"/>
              <w:ind w:firstLine="480"/>
              <w:jc w:val="right"/>
              <w:rPr>
                <w:rFonts w:ascii="宋体" w:hAnsi="宋体"/>
                <w:bCs/>
                <w:color w:val="000000"/>
                <w:kern w:val="0"/>
                <w:sz w:val="24"/>
              </w:rPr>
            </w:pPr>
            <w:r>
              <w:rPr>
                <w:rFonts w:ascii="宋体" w:hAnsi="宋体"/>
                <w:bCs/>
                <w:color w:val="000000"/>
                <w:kern w:val="0"/>
                <w:sz w:val="24"/>
              </w:rPr>
              <w:t>-6,545.92</w:t>
            </w:r>
          </w:p>
        </w:tc>
        <w:tc>
          <w:tcPr>
            <w:tcW w:w="1324" w:type="pct"/>
            <w:vAlign w:val="center"/>
          </w:tcPr>
          <w:p>
            <w:pPr>
              <w:widowControl/>
              <w:adjustRightInd w:val="0"/>
              <w:snapToGrid w:val="0"/>
              <w:ind w:firstLine="480"/>
              <w:jc w:val="right"/>
              <w:rPr>
                <w:rFonts w:ascii="宋体" w:hAnsi="宋体"/>
                <w:bCs/>
                <w:color w:val="000000"/>
                <w:kern w:val="0"/>
                <w:sz w:val="24"/>
              </w:rPr>
            </w:pPr>
            <w:r>
              <w:rPr>
                <w:rFonts w:ascii="宋体" w:hAnsi="宋体"/>
                <w:bCs/>
                <w:color w:val="000000"/>
                <w:kern w:val="0"/>
                <w:sz w:val="24"/>
              </w:rPr>
              <w:t>-2,728.99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027" w:type="pct"/>
            <w:shd w:val="clear" w:color="auto" w:fill="FFFFFF"/>
            <w:noWrap/>
            <w:tcMar>
              <w:top w:w="0" w:type="dxa"/>
              <w:left w:w="108" w:type="dxa"/>
              <w:bottom w:w="0" w:type="dxa"/>
              <w:right w:w="108" w:type="dxa"/>
            </w:tcMar>
            <w:vAlign w:val="center"/>
          </w:tcPr>
          <w:p>
            <w:pPr>
              <w:widowControl/>
              <w:adjustRightInd w:val="0"/>
              <w:snapToGrid w:val="0"/>
              <w:jc w:val="center"/>
              <w:rPr>
                <w:rFonts w:ascii="宋体" w:hAnsi="宋体" w:cs="宋体"/>
                <w:sz w:val="24"/>
              </w:rPr>
            </w:pPr>
            <w:r>
              <w:rPr>
                <w:rFonts w:hint="eastAsia" w:ascii="宋体" w:hAnsi="宋体" w:cs="宋体"/>
                <w:sz w:val="24"/>
              </w:rPr>
              <w:t>净利润</w:t>
            </w:r>
          </w:p>
        </w:tc>
        <w:tc>
          <w:tcPr>
            <w:tcW w:w="1324" w:type="pct"/>
            <w:vAlign w:val="center"/>
          </w:tcPr>
          <w:p>
            <w:pPr>
              <w:widowControl/>
              <w:adjustRightInd w:val="0"/>
              <w:snapToGrid w:val="0"/>
              <w:ind w:firstLine="480"/>
              <w:jc w:val="right"/>
              <w:rPr>
                <w:rFonts w:ascii="宋体" w:hAnsi="宋体"/>
                <w:bCs/>
                <w:sz w:val="24"/>
              </w:rPr>
            </w:pPr>
            <w:r>
              <w:rPr>
                <w:rFonts w:ascii="宋体" w:hAnsi="宋体"/>
                <w:bCs/>
                <w:color w:val="000000"/>
                <w:kern w:val="0"/>
                <w:sz w:val="24"/>
              </w:rPr>
              <w:t>-968.35</w:t>
            </w:r>
          </w:p>
        </w:tc>
        <w:tc>
          <w:tcPr>
            <w:tcW w:w="1324" w:type="pct"/>
            <w:noWrap/>
            <w:tcMar>
              <w:top w:w="0" w:type="dxa"/>
              <w:left w:w="108" w:type="dxa"/>
              <w:bottom w:w="0" w:type="dxa"/>
              <w:right w:w="108" w:type="dxa"/>
            </w:tcMar>
            <w:vAlign w:val="center"/>
          </w:tcPr>
          <w:p>
            <w:pPr>
              <w:widowControl/>
              <w:adjustRightInd w:val="0"/>
              <w:snapToGrid w:val="0"/>
              <w:ind w:firstLine="480"/>
              <w:jc w:val="right"/>
              <w:rPr>
                <w:rFonts w:ascii="宋体" w:hAnsi="宋体"/>
                <w:bCs/>
                <w:sz w:val="24"/>
              </w:rPr>
            </w:pPr>
            <w:r>
              <w:rPr>
                <w:rFonts w:ascii="宋体" w:hAnsi="宋体"/>
                <w:bCs/>
                <w:color w:val="000000"/>
                <w:kern w:val="0"/>
                <w:sz w:val="24"/>
              </w:rPr>
              <w:t>-6,585.06</w:t>
            </w:r>
          </w:p>
        </w:tc>
        <w:tc>
          <w:tcPr>
            <w:tcW w:w="1324" w:type="pct"/>
            <w:vAlign w:val="center"/>
          </w:tcPr>
          <w:p>
            <w:pPr>
              <w:widowControl/>
              <w:adjustRightInd w:val="0"/>
              <w:snapToGrid w:val="0"/>
              <w:ind w:firstLine="480"/>
              <w:jc w:val="right"/>
              <w:rPr>
                <w:rFonts w:ascii="宋体" w:hAnsi="宋体"/>
                <w:bCs/>
                <w:color w:val="000000"/>
                <w:kern w:val="0"/>
                <w:sz w:val="24"/>
              </w:rPr>
            </w:pPr>
            <w:r>
              <w:rPr>
                <w:rFonts w:ascii="宋体" w:hAnsi="宋体"/>
                <w:bCs/>
                <w:color w:val="000000"/>
                <w:kern w:val="0"/>
                <w:sz w:val="24"/>
              </w:rPr>
              <w:t>-2,728.99</w:t>
            </w:r>
          </w:p>
        </w:tc>
      </w:tr>
    </w:tbl>
    <w:p>
      <w:pPr>
        <w:rPr>
          <w:rFonts w:ascii="楷体" w:hAnsi="楷体" w:eastAsia="楷体"/>
          <w:sz w:val="24"/>
          <w:szCs w:val="24"/>
        </w:rPr>
      </w:pPr>
      <w:r>
        <w:rPr>
          <w:rFonts w:hint="eastAsia" w:ascii="楷体" w:hAnsi="楷体" w:eastAsia="楷体"/>
          <w:sz w:val="24"/>
          <w:szCs w:val="24"/>
        </w:rPr>
        <w:t>注：</w:t>
      </w:r>
    </w:p>
    <w:p>
      <w:pPr>
        <w:spacing w:line="440" w:lineRule="exact"/>
        <w:rPr>
          <w:rFonts w:ascii="楷体" w:hAnsi="楷体" w:eastAsia="楷体" w:cs="楷体_GB2312"/>
          <w:sz w:val="24"/>
          <w:szCs w:val="24"/>
        </w:rPr>
      </w:pPr>
      <w:r>
        <w:rPr>
          <w:rFonts w:ascii="楷体" w:hAnsi="楷体" w:eastAsia="楷体" w:cs="楷体_GB2312"/>
          <w:sz w:val="24"/>
          <w:szCs w:val="24"/>
        </w:rPr>
        <w:t>1.</w:t>
      </w:r>
      <w:r>
        <w:rPr>
          <w:rFonts w:hint="eastAsia" w:ascii="楷体" w:hAnsi="楷体" w:eastAsia="楷体" w:cs="楷体_GB2312"/>
          <w:sz w:val="24"/>
          <w:szCs w:val="24"/>
        </w:rPr>
        <w:t>高地资源拥有的矿权处于绿地开发阶段，尚未产生收入；</w:t>
      </w:r>
    </w:p>
    <w:p>
      <w:pPr>
        <w:spacing w:line="440" w:lineRule="exact"/>
        <w:rPr>
          <w:rFonts w:ascii="楷体" w:hAnsi="楷体" w:eastAsia="楷体" w:cs="楷体_GB2312"/>
          <w:sz w:val="24"/>
          <w:szCs w:val="24"/>
        </w:rPr>
      </w:pPr>
      <w:r>
        <w:rPr>
          <w:rFonts w:ascii="楷体" w:hAnsi="楷体" w:eastAsia="楷体" w:cs="楷体_GB2312"/>
          <w:sz w:val="24"/>
          <w:szCs w:val="24"/>
        </w:rPr>
        <w:t>2.</w:t>
      </w:r>
      <w:r>
        <w:rPr>
          <w:rFonts w:hint="eastAsia" w:ascii="楷体" w:hAnsi="楷体" w:eastAsia="楷体" w:cs="楷体_GB2312"/>
          <w:sz w:val="24"/>
          <w:szCs w:val="24"/>
        </w:rPr>
        <w:t>高地资源</w:t>
      </w:r>
      <w:r>
        <w:rPr>
          <w:rFonts w:ascii="楷体" w:hAnsi="楷体" w:eastAsia="楷体" w:cs="楷体_GB2312"/>
          <w:sz w:val="24"/>
          <w:szCs w:val="24"/>
        </w:rPr>
        <w:t>2023年度亏损增加，主要系利息费用及融资活动专业顾问费用增加所致；</w:t>
      </w:r>
    </w:p>
    <w:p>
      <w:pPr>
        <w:spacing w:line="440" w:lineRule="exact"/>
        <w:rPr>
          <w:rFonts w:ascii="楷体_GB2312" w:hAnsi="楷体_GB2312" w:eastAsia="楷体_GB2312" w:cs="楷体_GB2312"/>
          <w:sz w:val="24"/>
          <w:szCs w:val="24"/>
        </w:rPr>
      </w:pPr>
      <w:r>
        <w:rPr>
          <w:rFonts w:ascii="楷体" w:hAnsi="楷体" w:eastAsia="楷体" w:cs="楷体_GB2312"/>
          <w:sz w:val="24"/>
          <w:szCs w:val="24"/>
        </w:rPr>
        <w:t>3.</w:t>
      </w:r>
      <w:r>
        <w:rPr>
          <w:rFonts w:hint="eastAsia" w:ascii="楷体" w:hAnsi="楷体" w:eastAsia="楷体" w:cs="楷体_GB2312"/>
          <w:sz w:val="24"/>
          <w:szCs w:val="24"/>
        </w:rPr>
        <w:t>高地资源</w:t>
      </w:r>
      <w:r>
        <w:rPr>
          <w:rFonts w:ascii="楷体" w:hAnsi="楷体" w:eastAsia="楷体" w:cs="楷体_GB2312"/>
          <w:sz w:val="24"/>
          <w:szCs w:val="24"/>
        </w:rPr>
        <w:t>2023年度、2024年1-4月财务数据已经</w:t>
      </w:r>
      <w:r>
        <w:rPr>
          <w:rFonts w:hint="eastAsia" w:ascii="楷体" w:hAnsi="楷体" w:eastAsia="楷体" w:cs="楷体_GB2312"/>
          <w:sz w:val="24"/>
          <w:szCs w:val="24"/>
        </w:rPr>
        <w:t>信永中和会计师事务所(特殊普通合伙)(“信永中和”)</w:t>
      </w:r>
      <w:r>
        <w:rPr>
          <w:rFonts w:ascii="楷体" w:hAnsi="楷体" w:eastAsia="楷体" w:cs="楷体_GB2312"/>
          <w:sz w:val="24"/>
          <w:szCs w:val="24"/>
        </w:rPr>
        <w:t>审计；2022年度数据为高地资源年报披露数据，按2022年12月31日汇率（人民币/澳元：4.7138）换算所得，高地资源2022年度财务数据已经高地资源年审会计师PricewaterhouseCoopers Australia International Pty. Ltd.审计。</w:t>
      </w:r>
    </w:p>
    <w:bookmarkEnd w:id="4"/>
    <w:p>
      <w:pPr>
        <w:spacing w:line="520" w:lineRule="exact"/>
        <w:ind w:firstLine="562" w:firstLineChars="200"/>
        <w:rPr>
          <w:rFonts w:ascii="楷体_GB2312" w:hAnsi="宋体" w:eastAsia="楷体_GB2312" w:cs="楷体_GB2312"/>
          <w:b/>
          <w:bCs/>
          <w:sz w:val="28"/>
          <w:szCs w:val="28"/>
        </w:rPr>
      </w:pPr>
      <w:r>
        <w:rPr>
          <w:rFonts w:hint="eastAsia" w:ascii="楷体_GB2312" w:hAnsi="宋体" w:eastAsia="楷体_GB2312" w:cs="楷体_GB2312"/>
          <w:b/>
          <w:bCs/>
          <w:sz w:val="28"/>
          <w:szCs w:val="28"/>
        </w:rPr>
        <w:t>（二）兖煤加拿大</w:t>
      </w:r>
    </w:p>
    <w:p>
      <w:pPr>
        <w:spacing w:line="520" w:lineRule="exact"/>
        <w:ind w:firstLine="562" w:firstLineChars="200"/>
        <w:rPr>
          <w:rFonts w:ascii="宋体" w:hAnsi="宋体" w:cs="宋体"/>
          <w:b/>
          <w:bCs/>
          <w:sz w:val="28"/>
          <w:szCs w:val="28"/>
        </w:rPr>
      </w:pPr>
      <w:r>
        <w:rPr>
          <w:rFonts w:ascii="宋体" w:hAnsi="宋体" w:cs="宋体"/>
          <w:b/>
          <w:bCs/>
          <w:sz w:val="28"/>
          <w:szCs w:val="28"/>
        </w:rPr>
        <w:t>1.</w:t>
      </w:r>
      <w:r>
        <w:rPr>
          <w:rFonts w:hint="eastAsia" w:ascii="宋体" w:hAnsi="宋体" w:cs="宋体"/>
          <w:b/>
          <w:bCs/>
          <w:sz w:val="28"/>
          <w:szCs w:val="28"/>
        </w:rPr>
        <w:t>公司基本信息</w:t>
      </w:r>
    </w:p>
    <w:p>
      <w:pPr>
        <w:widowControl/>
        <w:spacing w:line="520" w:lineRule="exact"/>
        <w:ind w:firstLine="560" w:firstLineChars="200"/>
        <w:rPr>
          <w:rFonts w:ascii="宋体" w:hAnsi="宋体" w:cs="宋体"/>
          <w:sz w:val="28"/>
          <w:szCs w:val="28"/>
        </w:rPr>
      </w:pPr>
      <w:r>
        <w:rPr>
          <w:rFonts w:hint="eastAsia" w:ascii="宋体" w:hAnsi="宋体" w:cs="宋体"/>
          <w:sz w:val="28"/>
          <w:szCs w:val="28"/>
        </w:rPr>
        <w:t>兖煤加拿大为兖矿能源于</w:t>
      </w:r>
      <w:r>
        <w:rPr>
          <w:rFonts w:ascii="宋体" w:hAnsi="宋体" w:cs="宋体"/>
          <w:sz w:val="28"/>
          <w:szCs w:val="28"/>
        </w:rPr>
        <w:t>2011</w:t>
      </w:r>
      <w:r>
        <w:rPr>
          <w:rFonts w:hint="eastAsia" w:ascii="宋体" w:hAnsi="宋体" w:cs="宋体"/>
          <w:sz w:val="28"/>
          <w:szCs w:val="28"/>
        </w:rPr>
        <w:t>年成立的境外全资子公司，位于加拿大萨斯喀彻温省，是一家从事钾盐勘探开发的公司，持有一项钾盐矿项目（“索西项目”）及其他四项钾盐矿权。索西项目主要产品为氯化钾钾肥，按照</w:t>
      </w:r>
      <w:r>
        <w:rPr>
          <w:rFonts w:ascii="宋体" w:hAnsi="宋体" w:cs="宋体"/>
          <w:sz w:val="28"/>
          <w:szCs w:val="28"/>
        </w:rPr>
        <w:t>NI43-101</w:t>
      </w:r>
      <w:r>
        <w:rPr>
          <w:rFonts w:hint="eastAsia" w:ascii="宋体" w:hAnsi="宋体" w:cs="宋体"/>
          <w:sz w:val="28"/>
          <w:szCs w:val="28"/>
        </w:rPr>
        <w:t>规范，其探明及控制的氯化钾储量为1.73亿吨，一期和二期设计产能分别为</w:t>
      </w:r>
      <w:r>
        <w:rPr>
          <w:rFonts w:ascii="宋体" w:hAnsi="宋体" w:cs="宋体"/>
          <w:sz w:val="28"/>
          <w:szCs w:val="28"/>
        </w:rPr>
        <w:t>200</w:t>
      </w:r>
      <w:r>
        <w:rPr>
          <w:rFonts w:hint="eastAsia" w:ascii="宋体" w:hAnsi="宋体" w:cs="宋体"/>
          <w:sz w:val="28"/>
          <w:szCs w:val="28"/>
        </w:rPr>
        <w:t>万吨</w:t>
      </w:r>
      <w:r>
        <w:rPr>
          <w:rFonts w:ascii="宋体" w:hAnsi="宋体" w:cs="宋体"/>
          <w:sz w:val="28"/>
          <w:szCs w:val="28"/>
        </w:rPr>
        <w:t>/</w:t>
      </w:r>
      <w:r>
        <w:rPr>
          <w:rFonts w:hint="eastAsia" w:ascii="宋体" w:hAnsi="宋体" w:cs="宋体"/>
          <w:sz w:val="28"/>
          <w:szCs w:val="28"/>
        </w:rPr>
        <w:t>年和</w:t>
      </w:r>
      <w:r>
        <w:rPr>
          <w:rFonts w:ascii="宋体" w:hAnsi="宋体" w:cs="宋体"/>
          <w:sz w:val="28"/>
          <w:szCs w:val="28"/>
        </w:rPr>
        <w:t>80</w:t>
      </w:r>
      <w:r>
        <w:rPr>
          <w:rFonts w:hint="eastAsia" w:ascii="宋体" w:hAnsi="宋体" w:cs="宋体"/>
          <w:sz w:val="28"/>
          <w:szCs w:val="28"/>
        </w:rPr>
        <w:t>万吨</w:t>
      </w:r>
      <w:r>
        <w:rPr>
          <w:rFonts w:ascii="宋体" w:hAnsi="宋体" w:cs="宋体"/>
          <w:sz w:val="28"/>
          <w:szCs w:val="28"/>
        </w:rPr>
        <w:t>/</w:t>
      </w:r>
      <w:r>
        <w:rPr>
          <w:rFonts w:hint="eastAsia" w:ascii="宋体" w:hAnsi="宋体" w:cs="宋体"/>
          <w:sz w:val="28"/>
          <w:szCs w:val="28"/>
        </w:rPr>
        <w:t>年，合计产能为</w:t>
      </w:r>
      <w:r>
        <w:rPr>
          <w:rFonts w:ascii="宋体" w:hAnsi="宋体" w:cs="宋体"/>
          <w:sz w:val="28"/>
          <w:szCs w:val="28"/>
        </w:rPr>
        <w:t>280</w:t>
      </w:r>
      <w:r>
        <w:rPr>
          <w:rFonts w:hint="eastAsia" w:ascii="宋体" w:hAnsi="宋体" w:cs="宋体"/>
          <w:sz w:val="28"/>
          <w:szCs w:val="28"/>
        </w:rPr>
        <w:t>万吨</w:t>
      </w:r>
      <w:r>
        <w:rPr>
          <w:rFonts w:ascii="宋体" w:hAnsi="宋体" w:cs="宋体"/>
          <w:sz w:val="28"/>
          <w:szCs w:val="28"/>
        </w:rPr>
        <w:t>/</w:t>
      </w:r>
      <w:r>
        <w:rPr>
          <w:rFonts w:hint="eastAsia" w:ascii="宋体" w:hAnsi="宋体" w:cs="宋体"/>
          <w:sz w:val="28"/>
          <w:szCs w:val="28"/>
        </w:rPr>
        <w:t>年。</w:t>
      </w:r>
    </w:p>
    <w:p>
      <w:pPr>
        <w:spacing w:line="520" w:lineRule="exact"/>
        <w:ind w:firstLine="562" w:firstLineChars="200"/>
        <w:rPr>
          <w:rFonts w:ascii="宋体" w:hAnsi="宋体" w:cs="宋体"/>
          <w:b/>
          <w:bCs/>
          <w:sz w:val="28"/>
          <w:szCs w:val="28"/>
        </w:rPr>
      </w:pPr>
      <w:r>
        <w:rPr>
          <w:rFonts w:ascii="宋体" w:hAnsi="宋体" w:cs="宋体"/>
          <w:b/>
          <w:bCs/>
          <w:sz w:val="28"/>
          <w:szCs w:val="28"/>
        </w:rPr>
        <w:t>2.</w:t>
      </w:r>
      <w:r>
        <w:rPr>
          <w:rFonts w:hint="eastAsia" w:ascii="宋体" w:hAnsi="宋体" w:cs="宋体"/>
          <w:b/>
          <w:bCs/>
          <w:sz w:val="28"/>
          <w:szCs w:val="28"/>
        </w:rPr>
        <w:t>主要财务数据</w:t>
      </w:r>
    </w:p>
    <w:p>
      <w:pPr>
        <w:widowControl/>
        <w:spacing w:line="520" w:lineRule="exact"/>
        <w:ind w:firstLine="560" w:firstLineChars="200"/>
        <w:rPr>
          <w:rFonts w:ascii="宋体" w:hAnsi="宋体" w:cs="宋体"/>
          <w:sz w:val="28"/>
          <w:szCs w:val="28"/>
        </w:rPr>
      </w:pPr>
      <w:r>
        <w:rPr>
          <w:rFonts w:hint="eastAsia" w:ascii="宋体" w:hAnsi="宋体" w:cs="宋体"/>
          <w:sz w:val="28"/>
          <w:szCs w:val="28"/>
        </w:rPr>
        <w:t>兖煤加拿大近两年又一期的主要财务情况如下：</w:t>
      </w:r>
    </w:p>
    <w:p>
      <w:pPr>
        <w:spacing w:line="360" w:lineRule="auto"/>
        <w:ind w:firstLine="480"/>
        <w:jc w:val="right"/>
        <w:rPr>
          <w:rFonts w:ascii="Times New Roman" w:hAnsi="Times New Roman"/>
          <w:sz w:val="24"/>
          <w:szCs w:val="24"/>
        </w:rPr>
      </w:pPr>
      <w:r>
        <w:rPr>
          <w:rFonts w:ascii="Times New Roman" w:hAnsi="Times New Roman"/>
          <w:sz w:val="24"/>
          <w:szCs w:val="24"/>
        </w:rPr>
        <w:t>单位：人民币</w:t>
      </w:r>
      <w:r>
        <w:rPr>
          <w:rFonts w:hint="eastAsia" w:ascii="Times New Roman" w:hAnsi="Times New Roman"/>
          <w:sz w:val="24"/>
          <w:szCs w:val="24"/>
        </w:rPr>
        <w:t>万</w:t>
      </w:r>
      <w:r>
        <w:rPr>
          <w:rFonts w:ascii="Times New Roman" w:hAnsi="Times New Roman"/>
          <w:sz w:val="24"/>
          <w:szCs w:val="24"/>
        </w:rPr>
        <w:t>元</w:t>
      </w:r>
    </w:p>
    <w:tbl>
      <w:tblPr>
        <w:tblStyle w:val="9"/>
        <w:tblW w:w="50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40"/>
        <w:gridCol w:w="2244"/>
        <w:gridCol w:w="2244"/>
        <w:gridCol w:w="2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027" w:type="pct"/>
            <w:shd w:val="clear" w:color="auto" w:fill="DADADA" w:themeFill="accent3" w:themeFillTint="66"/>
            <w:noWrap/>
            <w:tcMar>
              <w:top w:w="0" w:type="dxa"/>
              <w:left w:w="108" w:type="dxa"/>
              <w:bottom w:w="0" w:type="dxa"/>
              <w:right w:w="108" w:type="dxa"/>
            </w:tcMar>
            <w:vAlign w:val="center"/>
          </w:tcPr>
          <w:p>
            <w:pPr>
              <w:widowControl/>
              <w:adjustRightInd w:val="0"/>
              <w:snapToGrid w:val="0"/>
              <w:jc w:val="center"/>
              <w:rPr>
                <w:rFonts w:ascii="宋体" w:hAnsi="宋体" w:cs="宋体"/>
                <w:b/>
                <w:bCs/>
                <w:sz w:val="24"/>
              </w:rPr>
            </w:pPr>
            <w:r>
              <w:rPr>
                <w:rFonts w:hint="eastAsia" w:ascii="宋体" w:hAnsi="宋体" w:cs="宋体"/>
                <w:b/>
                <w:bCs/>
                <w:sz w:val="24"/>
              </w:rPr>
              <w:t>项目</w:t>
            </w:r>
          </w:p>
        </w:tc>
        <w:tc>
          <w:tcPr>
            <w:tcW w:w="1324" w:type="pct"/>
            <w:shd w:val="clear" w:color="auto" w:fill="DADADA" w:themeFill="accent3" w:themeFillTint="66"/>
            <w:vAlign w:val="center"/>
          </w:tcPr>
          <w:p>
            <w:pPr>
              <w:widowControl/>
              <w:adjustRightInd w:val="0"/>
              <w:snapToGrid w:val="0"/>
              <w:jc w:val="center"/>
              <w:rPr>
                <w:rFonts w:ascii="宋体" w:hAnsi="宋体" w:cs="宋体"/>
                <w:b/>
                <w:bCs/>
                <w:sz w:val="24"/>
              </w:rPr>
            </w:pPr>
            <w:r>
              <w:rPr>
                <w:rFonts w:ascii="宋体" w:hAnsi="宋体" w:cs="宋体"/>
                <w:b/>
                <w:bCs/>
                <w:sz w:val="24"/>
              </w:rPr>
              <w:t>2024</w:t>
            </w:r>
            <w:r>
              <w:rPr>
                <w:rFonts w:hint="eastAsia" w:ascii="宋体" w:hAnsi="宋体" w:cs="宋体"/>
                <w:b/>
                <w:bCs/>
                <w:sz w:val="24"/>
              </w:rPr>
              <w:t>年</w:t>
            </w:r>
            <w:r>
              <w:rPr>
                <w:rFonts w:ascii="宋体" w:hAnsi="宋体" w:cs="宋体"/>
                <w:b/>
                <w:bCs/>
                <w:sz w:val="24"/>
              </w:rPr>
              <w:t>4</w:t>
            </w:r>
            <w:r>
              <w:rPr>
                <w:rFonts w:hint="eastAsia" w:ascii="宋体" w:hAnsi="宋体" w:cs="宋体"/>
                <w:b/>
                <w:bCs/>
                <w:sz w:val="24"/>
              </w:rPr>
              <w:t>月</w:t>
            </w:r>
            <w:r>
              <w:rPr>
                <w:rFonts w:ascii="宋体" w:hAnsi="宋体" w:cs="宋体"/>
                <w:b/>
                <w:bCs/>
                <w:sz w:val="24"/>
              </w:rPr>
              <w:t>30</w:t>
            </w:r>
            <w:r>
              <w:rPr>
                <w:rFonts w:hint="eastAsia" w:ascii="宋体" w:hAnsi="宋体" w:cs="宋体"/>
                <w:b/>
                <w:bCs/>
                <w:sz w:val="24"/>
              </w:rPr>
              <w:t>日</w:t>
            </w:r>
          </w:p>
        </w:tc>
        <w:tc>
          <w:tcPr>
            <w:tcW w:w="1324" w:type="pct"/>
            <w:shd w:val="clear" w:color="auto" w:fill="DADADA" w:themeFill="accent3" w:themeFillTint="66"/>
            <w:noWrap/>
            <w:tcMar>
              <w:top w:w="0" w:type="dxa"/>
              <w:left w:w="108" w:type="dxa"/>
              <w:bottom w:w="0" w:type="dxa"/>
              <w:right w:w="108" w:type="dxa"/>
            </w:tcMar>
            <w:vAlign w:val="center"/>
          </w:tcPr>
          <w:p>
            <w:pPr>
              <w:widowControl/>
              <w:adjustRightInd w:val="0"/>
              <w:snapToGrid w:val="0"/>
              <w:jc w:val="center"/>
              <w:rPr>
                <w:rFonts w:ascii="宋体" w:hAnsi="宋体" w:cs="宋体"/>
                <w:b/>
                <w:bCs/>
                <w:sz w:val="24"/>
              </w:rPr>
            </w:pPr>
            <w:r>
              <w:rPr>
                <w:rFonts w:ascii="宋体" w:hAnsi="宋体" w:cs="宋体"/>
                <w:b/>
                <w:bCs/>
                <w:sz w:val="24"/>
              </w:rPr>
              <w:t>2023</w:t>
            </w:r>
            <w:r>
              <w:rPr>
                <w:rFonts w:hint="eastAsia" w:ascii="宋体" w:hAnsi="宋体" w:cs="宋体"/>
                <w:b/>
                <w:bCs/>
                <w:sz w:val="24"/>
              </w:rPr>
              <w:t>年</w:t>
            </w:r>
            <w:r>
              <w:rPr>
                <w:rFonts w:ascii="宋体" w:hAnsi="宋体" w:cs="宋体"/>
                <w:b/>
                <w:bCs/>
                <w:sz w:val="24"/>
              </w:rPr>
              <w:t>12</w:t>
            </w:r>
            <w:r>
              <w:rPr>
                <w:rFonts w:hint="eastAsia" w:ascii="宋体" w:hAnsi="宋体" w:cs="宋体"/>
                <w:b/>
                <w:bCs/>
                <w:sz w:val="24"/>
              </w:rPr>
              <w:t>月</w:t>
            </w:r>
            <w:r>
              <w:rPr>
                <w:rFonts w:ascii="宋体" w:hAnsi="宋体" w:cs="宋体"/>
                <w:b/>
                <w:bCs/>
                <w:sz w:val="24"/>
              </w:rPr>
              <w:t>31</w:t>
            </w:r>
            <w:r>
              <w:rPr>
                <w:rFonts w:hint="eastAsia" w:ascii="宋体" w:hAnsi="宋体" w:cs="宋体"/>
                <w:b/>
                <w:bCs/>
                <w:sz w:val="24"/>
              </w:rPr>
              <w:t>日</w:t>
            </w:r>
          </w:p>
        </w:tc>
        <w:tc>
          <w:tcPr>
            <w:tcW w:w="1324" w:type="pct"/>
            <w:shd w:val="clear" w:color="auto" w:fill="DADADA" w:themeFill="accent3" w:themeFillTint="66"/>
            <w:vAlign w:val="center"/>
          </w:tcPr>
          <w:p>
            <w:pPr>
              <w:widowControl/>
              <w:adjustRightInd w:val="0"/>
              <w:snapToGrid w:val="0"/>
              <w:jc w:val="center"/>
              <w:rPr>
                <w:rFonts w:ascii="宋体" w:hAnsi="宋体" w:cs="宋体"/>
                <w:b/>
                <w:bCs/>
                <w:sz w:val="24"/>
              </w:rPr>
            </w:pPr>
            <w:r>
              <w:rPr>
                <w:rFonts w:ascii="宋体" w:hAnsi="宋体" w:cs="宋体"/>
                <w:b/>
                <w:bCs/>
                <w:sz w:val="24"/>
              </w:rPr>
              <w:t>2022</w:t>
            </w:r>
            <w:r>
              <w:rPr>
                <w:rFonts w:hint="eastAsia" w:ascii="宋体" w:hAnsi="宋体" w:cs="宋体"/>
                <w:b/>
                <w:bCs/>
                <w:sz w:val="24"/>
              </w:rPr>
              <w:t>年</w:t>
            </w:r>
            <w:r>
              <w:rPr>
                <w:rFonts w:ascii="宋体" w:hAnsi="宋体" w:cs="宋体"/>
                <w:b/>
                <w:bCs/>
                <w:sz w:val="24"/>
              </w:rPr>
              <w:t>12</w:t>
            </w:r>
            <w:r>
              <w:rPr>
                <w:rFonts w:hint="eastAsia" w:ascii="宋体" w:hAnsi="宋体" w:cs="宋体"/>
                <w:b/>
                <w:bCs/>
                <w:sz w:val="24"/>
              </w:rPr>
              <w:t>月</w:t>
            </w:r>
            <w:r>
              <w:rPr>
                <w:rFonts w:ascii="宋体" w:hAnsi="宋体" w:cs="宋体"/>
                <w:b/>
                <w:bCs/>
                <w:sz w:val="24"/>
              </w:rPr>
              <w:t>31</w:t>
            </w:r>
            <w:r>
              <w:rPr>
                <w:rFonts w:hint="eastAsia" w:ascii="宋体" w:hAnsi="宋体" w:cs="宋体"/>
                <w:b/>
                <w:bCs/>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027" w:type="pct"/>
            <w:shd w:val="clear" w:color="auto" w:fill="FFFFFF"/>
            <w:noWrap/>
            <w:tcMar>
              <w:top w:w="0" w:type="dxa"/>
              <w:left w:w="108" w:type="dxa"/>
              <w:bottom w:w="0" w:type="dxa"/>
              <w:right w:w="108" w:type="dxa"/>
            </w:tcMar>
            <w:vAlign w:val="center"/>
          </w:tcPr>
          <w:p>
            <w:pPr>
              <w:widowControl/>
              <w:adjustRightInd w:val="0"/>
              <w:snapToGrid w:val="0"/>
              <w:jc w:val="center"/>
              <w:rPr>
                <w:rFonts w:ascii="宋体" w:hAnsi="宋体" w:cs="宋体"/>
                <w:sz w:val="24"/>
              </w:rPr>
            </w:pPr>
            <w:r>
              <w:rPr>
                <w:rFonts w:hint="eastAsia" w:ascii="宋体" w:hAnsi="宋体" w:cs="宋体"/>
                <w:sz w:val="24"/>
              </w:rPr>
              <w:t>资产总额</w:t>
            </w:r>
          </w:p>
        </w:tc>
        <w:tc>
          <w:tcPr>
            <w:tcW w:w="1324" w:type="pct"/>
            <w:vAlign w:val="center"/>
          </w:tcPr>
          <w:p>
            <w:pPr>
              <w:widowControl/>
              <w:adjustRightInd w:val="0"/>
              <w:snapToGrid w:val="0"/>
              <w:ind w:firstLine="480"/>
              <w:jc w:val="right"/>
              <w:rPr>
                <w:rFonts w:ascii="宋体" w:hAnsi="宋体" w:cs="宋体"/>
                <w:bCs/>
                <w:sz w:val="24"/>
              </w:rPr>
            </w:pPr>
            <w:r>
              <w:rPr>
                <w:rFonts w:ascii="宋体" w:hAnsi="宋体" w:cs="宋体"/>
                <w:color w:val="000000"/>
                <w:sz w:val="24"/>
              </w:rPr>
              <w:t>203,211.79</w:t>
            </w:r>
          </w:p>
        </w:tc>
        <w:tc>
          <w:tcPr>
            <w:tcW w:w="1324" w:type="pct"/>
            <w:noWrap/>
            <w:tcMar>
              <w:top w:w="0" w:type="dxa"/>
              <w:left w:w="108" w:type="dxa"/>
              <w:bottom w:w="0" w:type="dxa"/>
              <w:right w:w="108" w:type="dxa"/>
            </w:tcMar>
            <w:vAlign w:val="center"/>
          </w:tcPr>
          <w:p>
            <w:pPr>
              <w:widowControl/>
              <w:adjustRightInd w:val="0"/>
              <w:snapToGrid w:val="0"/>
              <w:ind w:firstLine="480"/>
              <w:jc w:val="right"/>
              <w:rPr>
                <w:rFonts w:ascii="宋体" w:hAnsi="宋体" w:cs="宋体"/>
                <w:bCs/>
                <w:sz w:val="24"/>
              </w:rPr>
            </w:pPr>
            <w:r>
              <w:rPr>
                <w:rFonts w:ascii="宋体" w:hAnsi="宋体" w:cs="宋体"/>
                <w:color w:val="000000"/>
                <w:sz w:val="24"/>
              </w:rPr>
              <w:t>208,678.88</w:t>
            </w:r>
          </w:p>
        </w:tc>
        <w:tc>
          <w:tcPr>
            <w:tcW w:w="1324" w:type="pct"/>
            <w:vAlign w:val="center"/>
          </w:tcPr>
          <w:p>
            <w:pPr>
              <w:widowControl/>
              <w:adjustRightInd w:val="0"/>
              <w:snapToGrid w:val="0"/>
              <w:ind w:firstLine="480"/>
              <w:jc w:val="right"/>
              <w:rPr>
                <w:rFonts w:ascii="宋体" w:hAnsi="宋体" w:cs="宋体"/>
                <w:bCs/>
                <w:color w:val="000000"/>
                <w:kern w:val="0"/>
                <w:sz w:val="24"/>
              </w:rPr>
            </w:pPr>
            <w:r>
              <w:rPr>
                <w:rFonts w:ascii="宋体" w:hAnsi="宋体" w:cs="宋体"/>
                <w:color w:val="000000"/>
                <w:sz w:val="24"/>
              </w:rPr>
              <w:t>200,128.66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027" w:type="pct"/>
            <w:shd w:val="clear" w:color="auto" w:fill="FFFFFF"/>
            <w:noWrap/>
            <w:tcMar>
              <w:top w:w="0" w:type="dxa"/>
              <w:left w:w="108" w:type="dxa"/>
              <w:bottom w:w="0" w:type="dxa"/>
              <w:right w:w="108" w:type="dxa"/>
            </w:tcMar>
            <w:vAlign w:val="center"/>
          </w:tcPr>
          <w:p>
            <w:pPr>
              <w:widowControl/>
              <w:adjustRightInd w:val="0"/>
              <w:snapToGrid w:val="0"/>
              <w:jc w:val="center"/>
              <w:rPr>
                <w:rFonts w:ascii="宋体" w:hAnsi="宋体" w:cs="宋体"/>
                <w:sz w:val="24"/>
              </w:rPr>
            </w:pPr>
            <w:r>
              <w:rPr>
                <w:rFonts w:hint="eastAsia" w:ascii="宋体" w:hAnsi="宋体" w:cs="宋体"/>
                <w:sz w:val="24"/>
              </w:rPr>
              <w:t>负债总额</w:t>
            </w:r>
          </w:p>
        </w:tc>
        <w:tc>
          <w:tcPr>
            <w:tcW w:w="1324" w:type="pct"/>
            <w:vAlign w:val="center"/>
          </w:tcPr>
          <w:p>
            <w:pPr>
              <w:widowControl/>
              <w:adjustRightInd w:val="0"/>
              <w:snapToGrid w:val="0"/>
              <w:ind w:firstLine="480"/>
              <w:jc w:val="right"/>
              <w:rPr>
                <w:rFonts w:ascii="宋体" w:hAnsi="宋体" w:cs="宋体"/>
                <w:bCs/>
                <w:sz w:val="24"/>
              </w:rPr>
            </w:pPr>
            <w:r>
              <w:rPr>
                <w:rFonts w:ascii="宋体" w:hAnsi="宋体" w:cs="宋体"/>
                <w:color w:val="000000"/>
                <w:sz w:val="24"/>
              </w:rPr>
              <w:t>76,051.98</w:t>
            </w:r>
          </w:p>
        </w:tc>
        <w:tc>
          <w:tcPr>
            <w:tcW w:w="1324" w:type="pct"/>
            <w:noWrap/>
            <w:tcMar>
              <w:top w:w="0" w:type="dxa"/>
              <w:left w:w="108" w:type="dxa"/>
              <w:bottom w:w="0" w:type="dxa"/>
              <w:right w:w="108" w:type="dxa"/>
            </w:tcMar>
            <w:vAlign w:val="center"/>
          </w:tcPr>
          <w:p>
            <w:pPr>
              <w:widowControl/>
              <w:adjustRightInd w:val="0"/>
              <w:snapToGrid w:val="0"/>
              <w:ind w:firstLine="480"/>
              <w:jc w:val="right"/>
              <w:rPr>
                <w:rFonts w:ascii="宋体" w:hAnsi="宋体" w:cs="宋体"/>
                <w:bCs/>
                <w:sz w:val="24"/>
              </w:rPr>
            </w:pPr>
            <w:r>
              <w:rPr>
                <w:rFonts w:ascii="宋体" w:hAnsi="宋体" w:cs="宋体"/>
                <w:color w:val="000000"/>
                <w:sz w:val="24"/>
              </w:rPr>
              <w:t>74,879.96</w:t>
            </w:r>
          </w:p>
        </w:tc>
        <w:tc>
          <w:tcPr>
            <w:tcW w:w="1324" w:type="pct"/>
            <w:vAlign w:val="center"/>
          </w:tcPr>
          <w:p>
            <w:pPr>
              <w:widowControl/>
              <w:adjustRightInd w:val="0"/>
              <w:snapToGrid w:val="0"/>
              <w:ind w:firstLine="480"/>
              <w:jc w:val="right"/>
              <w:rPr>
                <w:rFonts w:ascii="宋体" w:hAnsi="宋体" w:cs="宋体"/>
                <w:bCs/>
                <w:color w:val="000000"/>
                <w:kern w:val="0"/>
                <w:sz w:val="24"/>
              </w:rPr>
            </w:pPr>
            <w:r>
              <w:rPr>
                <w:rFonts w:ascii="宋体" w:hAnsi="宋体" w:cs="宋体"/>
                <w:color w:val="000000"/>
                <w:sz w:val="24"/>
              </w:rPr>
              <w:t>70,443.66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027" w:type="pct"/>
            <w:shd w:val="clear" w:color="auto" w:fill="FFFFFF"/>
            <w:noWrap/>
            <w:tcMar>
              <w:top w:w="0" w:type="dxa"/>
              <w:left w:w="108" w:type="dxa"/>
              <w:bottom w:w="0" w:type="dxa"/>
              <w:right w:w="108" w:type="dxa"/>
            </w:tcMar>
            <w:vAlign w:val="center"/>
          </w:tcPr>
          <w:p>
            <w:pPr>
              <w:widowControl/>
              <w:adjustRightInd w:val="0"/>
              <w:snapToGrid w:val="0"/>
              <w:jc w:val="center"/>
              <w:rPr>
                <w:rFonts w:ascii="宋体" w:hAnsi="宋体" w:cs="宋体"/>
                <w:sz w:val="24"/>
              </w:rPr>
            </w:pPr>
            <w:r>
              <w:rPr>
                <w:rFonts w:hint="eastAsia" w:ascii="宋体" w:hAnsi="宋体" w:cs="宋体"/>
                <w:sz w:val="24"/>
              </w:rPr>
              <w:t>所有者权益</w:t>
            </w:r>
          </w:p>
        </w:tc>
        <w:tc>
          <w:tcPr>
            <w:tcW w:w="1324" w:type="pct"/>
            <w:vAlign w:val="center"/>
          </w:tcPr>
          <w:p>
            <w:pPr>
              <w:widowControl/>
              <w:adjustRightInd w:val="0"/>
              <w:snapToGrid w:val="0"/>
              <w:ind w:firstLine="480"/>
              <w:jc w:val="right"/>
              <w:rPr>
                <w:rFonts w:ascii="宋体" w:hAnsi="宋体" w:cs="宋体"/>
                <w:bCs/>
                <w:sz w:val="24"/>
              </w:rPr>
            </w:pPr>
            <w:r>
              <w:rPr>
                <w:rFonts w:ascii="宋体" w:hAnsi="宋体" w:cs="宋体"/>
                <w:color w:val="000000"/>
                <w:sz w:val="24"/>
              </w:rPr>
              <w:t>127,159.81</w:t>
            </w:r>
          </w:p>
        </w:tc>
        <w:tc>
          <w:tcPr>
            <w:tcW w:w="1324" w:type="pct"/>
            <w:noWrap/>
            <w:tcMar>
              <w:top w:w="0" w:type="dxa"/>
              <w:left w:w="108" w:type="dxa"/>
              <w:bottom w:w="0" w:type="dxa"/>
              <w:right w:w="108" w:type="dxa"/>
            </w:tcMar>
            <w:vAlign w:val="center"/>
          </w:tcPr>
          <w:p>
            <w:pPr>
              <w:widowControl/>
              <w:adjustRightInd w:val="0"/>
              <w:snapToGrid w:val="0"/>
              <w:ind w:firstLine="480"/>
              <w:jc w:val="right"/>
              <w:rPr>
                <w:rFonts w:ascii="宋体" w:hAnsi="宋体" w:cs="宋体"/>
                <w:bCs/>
                <w:sz w:val="24"/>
              </w:rPr>
            </w:pPr>
            <w:r>
              <w:rPr>
                <w:rFonts w:ascii="宋体" w:hAnsi="宋体" w:cs="宋体"/>
                <w:color w:val="000000"/>
                <w:sz w:val="24"/>
              </w:rPr>
              <w:t>133,798.92</w:t>
            </w:r>
          </w:p>
        </w:tc>
        <w:tc>
          <w:tcPr>
            <w:tcW w:w="1324" w:type="pct"/>
            <w:vAlign w:val="center"/>
          </w:tcPr>
          <w:p>
            <w:pPr>
              <w:widowControl/>
              <w:adjustRightInd w:val="0"/>
              <w:snapToGrid w:val="0"/>
              <w:ind w:firstLine="480"/>
              <w:jc w:val="right"/>
              <w:rPr>
                <w:rFonts w:ascii="宋体" w:hAnsi="宋体" w:cs="宋体"/>
                <w:bCs/>
                <w:color w:val="000000"/>
                <w:kern w:val="0"/>
                <w:sz w:val="24"/>
              </w:rPr>
            </w:pPr>
            <w:r>
              <w:rPr>
                <w:rFonts w:ascii="宋体" w:hAnsi="宋体" w:cs="宋体"/>
                <w:color w:val="000000"/>
                <w:sz w:val="24"/>
              </w:rPr>
              <w:t>129,684.99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027" w:type="pct"/>
            <w:shd w:val="clear" w:color="auto" w:fill="DADADA" w:themeFill="accent3" w:themeFillTint="66"/>
            <w:noWrap/>
            <w:tcMar>
              <w:top w:w="0" w:type="dxa"/>
              <w:left w:w="108" w:type="dxa"/>
              <w:bottom w:w="0" w:type="dxa"/>
              <w:right w:w="108" w:type="dxa"/>
            </w:tcMar>
            <w:vAlign w:val="center"/>
          </w:tcPr>
          <w:p>
            <w:pPr>
              <w:widowControl/>
              <w:adjustRightInd w:val="0"/>
              <w:snapToGrid w:val="0"/>
              <w:jc w:val="center"/>
              <w:rPr>
                <w:rFonts w:ascii="宋体" w:hAnsi="宋体" w:cs="宋体"/>
                <w:b/>
                <w:bCs/>
                <w:sz w:val="24"/>
              </w:rPr>
            </w:pPr>
            <w:r>
              <w:rPr>
                <w:rFonts w:hint="eastAsia" w:ascii="宋体" w:hAnsi="宋体" w:cs="宋体"/>
                <w:b/>
                <w:bCs/>
                <w:sz w:val="24"/>
              </w:rPr>
              <w:t>项目</w:t>
            </w:r>
          </w:p>
        </w:tc>
        <w:tc>
          <w:tcPr>
            <w:tcW w:w="1324" w:type="pct"/>
            <w:shd w:val="clear" w:color="auto" w:fill="DADADA" w:themeFill="accent3" w:themeFillTint="66"/>
            <w:vAlign w:val="center"/>
          </w:tcPr>
          <w:p>
            <w:pPr>
              <w:widowControl/>
              <w:adjustRightInd w:val="0"/>
              <w:snapToGrid w:val="0"/>
              <w:ind w:firstLine="482"/>
              <w:rPr>
                <w:rFonts w:ascii="宋体" w:hAnsi="宋体" w:cs="宋体"/>
                <w:b/>
                <w:bCs/>
                <w:sz w:val="24"/>
              </w:rPr>
            </w:pPr>
            <w:r>
              <w:rPr>
                <w:rFonts w:ascii="宋体" w:hAnsi="宋体" w:cs="宋体"/>
                <w:b/>
                <w:bCs/>
                <w:sz w:val="24"/>
              </w:rPr>
              <w:t>2024</w:t>
            </w:r>
            <w:r>
              <w:rPr>
                <w:rFonts w:hint="eastAsia" w:ascii="宋体" w:hAnsi="宋体" w:cs="宋体"/>
                <w:b/>
                <w:bCs/>
                <w:sz w:val="24"/>
              </w:rPr>
              <w:t>年</w:t>
            </w:r>
            <w:r>
              <w:rPr>
                <w:rFonts w:ascii="宋体" w:hAnsi="宋体" w:cs="宋体"/>
                <w:b/>
                <w:bCs/>
                <w:sz w:val="24"/>
              </w:rPr>
              <w:t>1-4</w:t>
            </w:r>
            <w:r>
              <w:rPr>
                <w:rFonts w:hint="eastAsia" w:ascii="宋体" w:hAnsi="宋体" w:cs="宋体"/>
                <w:b/>
                <w:bCs/>
                <w:sz w:val="24"/>
              </w:rPr>
              <w:t>月</w:t>
            </w:r>
          </w:p>
        </w:tc>
        <w:tc>
          <w:tcPr>
            <w:tcW w:w="1324" w:type="pct"/>
            <w:shd w:val="clear" w:color="auto" w:fill="DADADA" w:themeFill="accent3" w:themeFillTint="66"/>
            <w:noWrap/>
            <w:tcMar>
              <w:top w:w="0" w:type="dxa"/>
              <w:left w:w="108" w:type="dxa"/>
              <w:bottom w:w="0" w:type="dxa"/>
              <w:right w:w="108" w:type="dxa"/>
            </w:tcMar>
            <w:vAlign w:val="center"/>
          </w:tcPr>
          <w:p>
            <w:pPr>
              <w:widowControl/>
              <w:adjustRightInd w:val="0"/>
              <w:snapToGrid w:val="0"/>
              <w:ind w:firstLine="482"/>
              <w:rPr>
                <w:rFonts w:ascii="宋体" w:hAnsi="宋体" w:cs="宋体"/>
                <w:b/>
                <w:bCs/>
                <w:sz w:val="24"/>
              </w:rPr>
            </w:pPr>
            <w:r>
              <w:rPr>
                <w:rFonts w:ascii="宋体" w:hAnsi="宋体" w:cs="宋体"/>
                <w:b/>
                <w:bCs/>
                <w:sz w:val="24"/>
              </w:rPr>
              <w:t>2023</w:t>
            </w:r>
            <w:r>
              <w:rPr>
                <w:rFonts w:hint="eastAsia" w:ascii="宋体" w:hAnsi="宋体" w:cs="宋体"/>
                <w:b/>
                <w:bCs/>
                <w:sz w:val="24"/>
              </w:rPr>
              <w:t>年度</w:t>
            </w:r>
          </w:p>
        </w:tc>
        <w:tc>
          <w:tcPr>
            <w:tcW w:w="1324" w:type="pct"/>
            <w:shd w:val="clear" w:color="auto" w:fill="DADADA" w:themeFill="accent3" w:themeFillTint="66"/>
            <w:vAlign w:val="center"/>
          </w:tcPr>
          <w:p>
            <w:pPr>
              <w:widowControl/>
              <w:adjustRightInd w:val="0"/>
              <w:snapToGrid w:val="0"/>
              <w:ind w:firstLine="482"/>
              <w:rPr>
                <w:rFonts w:ascii="宋体" w:hAnsi="宋体" w:cs="宋体"/>
                <w:b/>
                <w:bCs/>
                <w:sz w:val="24"/>
              </w:rPr>
            </w:pPr>
            <w:r>
              <w:rPr>
                <w:rFonts w:ascii="宋体" w:hAnsi="宋体" w:cs="宋体"/>
                <w:b/>
                <w:bCs/>
                <w:sz w:val="24"/>
              </w:rPr>
              <w:t>2022</w:t>
            </w:r>
            <w:r>
              <w:rPr>
                <w:rFonts w:hint="eastAsia" w:ascii="宋体" w:hAnsi="宋体" w:cs="宋体"/>
                <w:b/>
                <w:bCs/>
                <w:sz w:val="24"/>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027" w:type="pct"/>
            <w:shd w:val="clear" w:color="auto" w:fill="FFFFFF"/>
            <w:noWrap/>
            <w:tcMar>
              <w:top w:w="0" w:type="dxa"/>
              <w:left w:w="108" w:type="dxa"/>
              <w:bottom w:w="0" w:type="dxa"/>
              <w:right w:w="108" w:type="dxa"/>
            </w:tcMar>
            <w:vAlign w:val="center"/>
          </w:tcPr>
          <w:p>
            <w:pPr>
              <w:widowControl/>
              <w:adjustRightInd w:val="0"/>
              <w:snapToGrid w:val="0"/>
              <w:jc w:val="center"/>
              <w:rPr>
                <w:rFonts w:ascii="宋体" w:hAnsi="宋体" w:cs="宋体"/>
                <w:sz w:val="24"/>
              </w:rPr>
            </w:pPr>
            <w:r>
              <w:rPr>
                <w:rFonts w:hint="eastAsia" w:ascii="宋体" w:hAnsi="宋体" w:cs="宋体"/>
                <w:sz w:val="24"/>
              </w:rPr>
              <w:t>营业收入</w:t>
            </w:r>
          </w:p>
        </w:tc>
        <w:tc>
          <w:tcPr>
            <w:tcW w:w="1324" w:type="pct"/>
            <w:vAlign w:val="center"/>
          </w:tcPr>
          <w:p>
            <w:pPr>
              <w:widowControl/>
              <w:adjustRightInd w:val="0"/>
              <w:snapToGrid w:val="0"/>
              <w:ind w:firstLine="480"/>
              <w:jc w:val="right"/>
              <w:rPr>
                <w:rFonts w:ascii="宋体" w:hAnsi="宋体" w:cs="宋体"/>
                <w:bCs/>
                <w:color w:val="000000"/>
                <w:kern w:val="0"/>
                <w:sz w:val="24"/>
              </w:rPr>
            </w:pPr>
            <w:r>
              <w:rPr>
                <w:rFonts w:ascii="宋体" w:hAnsi="宋体" w:cs="宋体"/>
                <w:bCs/>
                <w:color w:val="000000"/>
                <w:sz w:val="24"/>
              </w:rPr>
              <w:t>24.60</w:t>
            </w:r>
          </w:p>
        </w:tc>
        <w:tc>
          <w:tcPr>
            <w:tcW w:w="1324" w:type="pct"/>
            <w:noWrap/>
            <w:tcMar>
              <w:top w:w="0" w:type="dxa"/>
              <w:left w:w="108" w:type="dxa"/>
              <w:bottom w:w="0" w:type="dxa"/>
              <w:right w:w="108" w:type="dxa"/>
            </w:tcMar>
            <w:vAlign w:val="center"/>
          </w:tcPr>
          <w:p>
            <w:pPr>
              <w:widowControl/>
              <w:adjustRightInd w:val="0"/>
              <w:snapToGrid w:val="0"/>
              <w:ind w:firstLine="480"/>
              <w:jc w:val="right"/>
              <w:rPr>
                <w:rFonts w:ascii="宋体" w:hAnsi="宋体" w:cs="宋体"/>
                <w:bCs/>
                <w:color w:val="000000"/>
                <w:kern w:val="0"/>
                <w:sz w:val="24"/>
              </w:rPr>
            </w:pPr>
            <w:r>
              <w:rPr>
                <w:rFonts w:ascii="宋体" w:hAnsi="宋体" w:cs="宋体"/>
                <w:bCs/>
                <w:color w:val="000000"/>
                <w:sz w:val="24"/>
              </w:rPr>
              <w:t>45.56</w:t>
            </w:r>
          </w:p>
        </w:tc>
        <w:tc>
          <w:tcPr>
            <w:tcW w:w="1324" w:type="pct"/>
            <w:vAlign w:val="center"/>
          </w:tcPr>
          <w:p>
            <w:pPr>
              <w:widowControl/>
              <w:adjustRightInd w:val="0"/>
              <w:snapToGrid w:val="0"/>
              <w:ind w:firstLine="480"/>
              <w:jc w:val="right"/>
              <w:rPr>
                <w:rFonts w:ascii="宋体" w:hAnsi="宋体" w:cs="宋体"/>
                <w:bCs/>
                <w:color w:val="000000"/>
                <w:kern w:val="0"/>
                <w:sz w:val="24"/>
              </w:rPr>
            </w:pPr>
            <w:r>
              <w:rPr>
                <w:rFonts w:ascii="宋体" w:hAnsi="宋体" w:cs="宋体"/>
                <w:bCs/>
                <w:color w:val="00000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027" w:type="pct"/>
            <w:shd w:val="clear" w:color="auto" w:fill="FFFFFF"/>
            <w:noWrap/>
            <w:tcMar>
              <w:top w:w="0" w:type="dxa"/>
              <w:left w:w="108" w:type="dxa"/>
              <w:bottom w:w="0" w:type="dxa"/>
              <w:right w:w="108" w:type="dxa"/>
            </w:tcMar>
            <w:vAlign w:val="center"/>
          </w:tcPr>
          <w:p>
            <w:pPr>
              <w:widowControl/>
              <w:adjustRightInd w:val="0"/>
              <w:snapToGrid w:val="0"/>
              <w:jc w:val="center"/>
              <w:rPr>
                <w:rFonts w:ascii="宋体" w:hAnsi="宋体" w:cs="宋体"/>
                <w:sz w:val="24"/>
              </w:rPr>
            </w:pPr>
            <w:r>
              <w:rPr>
                <w:rFonts w:hint="eastAsia" w:ascii="宋体" w:hAnsi="宋体" w:cs="宋体"/>
                <w:sz w:val="24"/>
              </w:rPr>
              <w:t>营业利润</w:t>
            </w:r>
          </w:p>
        </w:tc>
        <w:tc>
          <w:tcPr>
            <w:tcW w:w="1324" w:type="pct"/>
            <w:vAlign w:val="center"/>
          </w:tcPr>
          <w:p>
            <w:pPr>
              <w:widowControl/>
              <w:adjustRightInd w:val="0"/>
              <w:snapToGrid w:val="0"/>
              <w:ind w:firstLine="480"/>
              <w:jc w:val="right"/>
              <w:rPr>
                <w:rFonts w:ascii="宋体" w:hAnsi="宋体" w:cs="宋体"/>
                <w:bCs/>
                <w:color w:val="000000"/>
                <w:kern w:val="0"/>
                <w:sz w:val="24"/>
              </w:rPr>
            </w:pPr>
            <w:r>
              <w:rPr>
                <w:rFonts w:ascii="宋体" w:hAnsi="宋体" w:cs="宋体"/>
                <w:bCs/>
                <w:color w:val="000000"/>
                <w:sz w:val="24"/>
              </w:rPr>
              <w:t>-3,146.36</w:t>
            </w:r>
          </w:p>
        </w:tc>
        <w:tc>
          <w:tcPr>
            <w:tcW w:w="1324" w:type="pct"/>
            <w:noWrap/>
            <w:tcMar>
              <w:top w:w="0" w:type="dxa"/>
              <w:left w:w="108" w:type="dxa"/>
              <w:bottom w:w="0" w:type="dxa"/>
              <w:right w:w="108" w:type="dxa"/>
            </w:tcMar>
            <w:vAlign w:val="center"/>
          </w:tcPr>
          <w:p>
            <w:pPr>
              <w:widowControl/>
              <w:adjustRightInd w:val="0"/>
              <w:snapToGrid w:val="0"/>
              <w:ind w:firstLine="480"/>
              <w:jc w:val="right"/>
              <w:rPr>
                <w:rFonts w:ascii="宋体" w:hAnsi="宋体" w:cs="宋体"/>
                <w:bCs/>
                <w:color w:val="000000"/>
                <w:kern w:val="0"/>
                <w:sz w:val="24"/>
              </w:rPr>
            </w:pPr>
            <w:r>
              <w:rPr>
                <w:rFonts w:ascii="宋体" w:hAnsi="宋体" w:cs="宋体"/>
                <w:bCs/>
                <w:color w:val="000000"/>
                <w:sz w:val="24"/>
              </w:rPr>
              <w:t>-1,900.32</w:t>
            </w:r>
          </w:p>
        </w:tc>
        <w:tc>
          <w:tcPr>
            <w:tcW w:w="1324" w:type="pct"/>
            <w:vAlign w:val="center"/>
          </w:tcPr>
          <w:p>
            <w:pPr>
              <w:widowControl/>
              <w:adjustRightInd w:val="0"/>
              <w:snapToGrid w:val="0"/>
              <w:ind w:firstLine="480"/>
              <w:jc w:val="right"/>
              <w:rPr>
                <w:rFonts w:ascii="宋体" w:hAnsi="宋体" w:cs="宋体"/>
                <w:bCs/>
                <w:color w:val="000000"/>
                <w:kern w:val="0"/>
                <w:sz w:val="24"/>
              </w:rPr>
            </w:pPr>
            <w:r>
              <w:rPr>
                <w:rFonts w:ascii="宋体" w:hAnsi="宋体" w:cs="宋体"/>
                <w:bCs/>
                <w:color w:val="000000"/>
                <w:sz w:val="24"/>
              </w:rPr>
              <w:t>-6,868.50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027" w:type="pct"/>
            <w:shd w:val="clear" w:color="auto" w:fill="FFFFFF"/>
            <w:noWrap/>
            <w:tcMar>
              <w:top w:w="0" w:type="dxa"/>
              <w:left w:w="108" w:type="dxa"/>
              <w:bottom w:w="0" w:type="dxa"/>
              <w:right w:w="108" w:type="dxa"/>
            </w:tcMar>
            <w:vAlign w:val="center"/>
          </w:tcPr>
          <w:p>
            <w:pPr>
              <w:widowControl/>
              <w:adjustRightInd w:val="0"/>
              <w:snapToGrid w:val="0"/>
              <w:jc w:val="center"/>
              <w:rPr>
                <w:rFonts w:ascii="宋体" w:hAnsi="宋体" w:cs="宋体"/>
                <w:sz w:val="24"/>
              </w:rPr>
            </w:pPr>
            <w:r>
              <w:rPr>
                <w:rFonts w:hint="eastAsia" w:ascii="宋体" w:hAnsi="宋体" w:cs="宋体"/>
                <w:sz w:val="24"/>
              </w:rPr>
              <w:t>净利润</w:t>
            </w:r>
          </w:p>
        </w:tc>
        <w:tc>
          <w:tcPr>
            <w:tcW w:w="1324" w:type="pct"/>
            <w:vAlign w:val="center"/>
          </w:tcPr>
          <w:p>
            <w:pPr>
              <w:widowControl/>
              <w:adjustRightInd w:val="0"/>
              <w:snapToGrid w:val="0"/>
              <w:ind w:firstLine="480"/>
              <w:jc w:val="right"/>
              <w:rPr>
                <w:rFonts w:ascii="宋体" w:hAnsi="宋体" w:cs="宋体"/>
                <w:bCs/>
                <w:sz w:val="24"/>
              </w:rPr>
            </w:pPr>
            <w:r>
              <w:rPr>
                <w:rFonts w:ascii="宋体" w:hAnsi="宋体" w:cs="宋体"/>
                <w:bCs/>
                <w:color w:val="000000"/>
                <w:sz w:val="24"/>
              </w:rPr>
              <w:t>-3,146.36</w:t>
            </w:r>
          </w:p>
        </w:tc>
        <w:tc>
          <w:tcPr>
            <w:tcW w:w="1324" w:type="pct"/>
            <w:noWrap/>
            <w:tcMar>
              <w:top w:w="0" w:type="dxa"/>
              <w:left w:w="108" w:type="dxa"/>
              <w:bottom w:w="0" w:type="dxa"/>
              <w:right w:w="108" w:type="dxa"/>
            </w:tcMar>
            <w:vAlign w:val="center"/>
          </w:tcPr>
          <w:p>
            <w:pPr>
              <w:widowControl/>
              <w:adjustRightInd w:val="0"/>
              <w:snapToGrid w:val="0"/>
              <w:ind w:firstLine="480"/>
              <w:jc w:val="right"/>
              <w:rPr>
                <w:rFonts w:ascii="宋体" w:hAnsi="宋体" w:cs="宋体"/>
                <w:bCs/>
                <w:sz w:val="24"/>
              </w:rPr>
            </w:pPr>
            <w:r>
              <w:rPr>
                <w:rFonts w:ascii="宋体" w:hAnsi="宋体" w:cs="宋体"/>
                <w:bCs/>
                <w:color w:val="000000"/>
                <w:sz w:val="24"/>
              </w:rPr>
              <w:t>-1,900.32</w:t>
            </w:r>
          </w:p>
        </w:tc>
        <w:tc>
          <w:tcPr>
            <w:tcW w:w="1324" w:type="pct"/>
            <w:vAlign w:val="center"/>
          </w:tcPr>
          <w:p>
            <w:pPr>
              <w:widowControl/>
              <w:adjustRightInd w:val="0"/>
              <w:snapToGrid w:val="0"/>
              <w:ind w:firstLine="480"/>
              <w:jc w:val="right"/>
              <w:rPr>
                <w:rFonts w:ascii="宋体" w:hAnsi="宋体" w:cs="宋体"/>
                <w:bCs/>
                <w:color w:val="000000"/>
                <w:kern w:val="0"/>
                <w:sz w:val="24"/>
              </w:rPr>
            </w:pPr>
            <w:r>
              <w:rPr>
                <w:rFonts w:ascii="宋体" w:hAnsi="宋体" w:cs="宋体"/>
                <w:bCs/>
                <w:color w:val="000000"/>
                <w:sz w:val="24"/>
              </w:rPr>
              <w:t>-6,868.50</w:t>
            </w:r>
          </w:p>
        </w:tc>
      </w:tr>
    </w:tbl>
    <w:p>
      <w:pPr>
        <w:spacing w:line="440" w:lineRule="exact"/>
        <w:rPr>
          <w:rFonts w:ascii="楷体" w:hAnsi="楷体" w:eastAsia="楷体" w:cs="楷体"/>
          <w:sz w:val="24"/>
          <w:szCs w:val="24"/>
        </w:rPr>
      </w:pPr>
      <w:r>
        <w:rPr>
          <w:rFonts w:hint="eastAsia" w:ascii="楷体" w:hAnsi="楷体" w:eastAsia="楷体" w:cs="楷体"/>
          <w:sz w:val="24"/>
          <w:szCs w:val="24"/>
        </w:rPr>
        <w:t>注：</w:t>
      </w:r>
    </w:p>
    <w:p>
      <w:pPr>
        <w:spacing w:line="440" w:lineRule="exact"/>
        <w:rPr>
          <w:rFonts w:ascii="楷体" w:hAnsi="楷体" w:eastAsia="楷体" w:cs="楷体"/>
          <w:sz w:val="24"/>
          <w:szCs w:val="24"/>
        </w:rPr>
      </w:pPr>
      <w:r>
        <w:rPr>
          <w:rFonts w:hint="eastAsia" w:ascii="楷体" w:hAnsi="楷体" w:eastAsia="楷体" w:cs="楷体"/>
          <w:sz w:val="24"/>
          <w:szCs w:val="24"/>
        </w:rPr>
        <w:t>1.兖煤加拿大</w:t>
      </w:r>
      <w:r>
        <w:rPr>
          <w:rFonts w:hint="eastAsia" w:ascii="楷体" w:hAnsi="楷体" w:eastAsia="楷体" w:cs="楷体_GB2312"/>
          <w:sz w:val="24"/>
          <w:szCs w:val="24"/>
        </w:rPr>
        <w:t>拥有的矿权处于绿地开发阶段，近两年</w:t>
      </w:r>
      <w:r>
        <w:rPr>
          <w:rFonts w:hint="eastAsia" w:ascii="楷体" w:hAnsi="楷体" w:eastAsia="楷体" w:cs="楷体"/>
          <w:sz w:val="24"/>
          <w:szCs w:val="24"/>
        </w:rPr>
        <w:t>收入来源主要为土地租赁收入；</w:t>
      </w:r>
    </w:p>
    <w:p>
      <w:pPr>
        <w:spacing w:line="440" w:lineRule="exact"/>
        <w:rPr>
          <w:rFonts w:ascii="楷体" w:hAnsi="楷体" w:eastAsia="楷体" w:cs="楷体"/>
          <w:sz w:val="24"/>
          <w:szCs w:val="24"/>
        </w:rPr>
      </w:pPr>
      <w:r>
        <w:rPr>
          <w:rFonts w:ascii="楷体" w:hAnsi="楷体" w:eastAsia="楷体" w:cs="楷体_GB2312"/>
          <w:sz w:val="24"/>
          <w:szCs w:val="24"/>
        </w:rPr>
        <w:t>2.</w:t>
      </w:r>
      <w:r>
        <w:rPr>
          <w:rFonts w:hint="eastAsia" w:ascii="楷体" w:hAnsi="楷体" w:eastAsia="楷体" w:cs="楷体"/>
          <w:sz w:val="24"/>
          <w:szCs w:val="24"/>
        </w:rPr>
        <w:t>兖煤加拿大</w:t>
      </w:r>
      <w:r>
        <w:rPr>
          <w:rFonts w:hint="eastAsia" w:ascii="楷体" w:hAnsi="楷体" w:eastAsia="楷体" w:cs="楷体_GB2312"/>
          <w:sz w:val="24"/>
          <w:szCs w:val="24"/>
        </w:rPr>
        <w:t>近两年又一期</w:t>
      </w:r>
      <w:r>
        <w:rPr>
          <w:rFonts w:hint="eastAsia" w:ascii="楷体" w:hAnsi="楷体" w:eastAsia="楷体" w:cs="楷体"/>
          <w:sz w:val="24"/>
          <w:szCs w:val="24"/>
        </w:rPr>
        <w:t>净利润波动主要系</w:t>
      </w:r>
      <w:r>
        <w:rPr>
          <w:rFonts w:hint="eastAsia" w:ascii="楷体" w:hAnsi="楷体" w:eastAsia="楷体" w:cs="楷体"/>
          <w:sz w:val="24"/>
          <w:szCs w:val="24"/>
          <w:lang w:val="en-US" w:eastAsia="zh-CN"/>
        </w:rPr>
        <w:t>兖</w:t>
      </w:r>
      <w:r>
        <w:rPr>
          <w:rFonts w:hint="eastAsia" w:ascii="楷体" w:hAnsi="楷体" w:eastAsia="楷体" w:cs="楷体"/>
          <w:sz w:val="24"/>
          <w:szCs w:val="24"/>
        </w:rPr>
        <w:t>煤加拿大存在应付</w:t>
      </w:r>
      <w:r>
        <w:rPr>
          <w:rFonts w:hint="eastAsia" w:ascii="楷体" w:hAnsi="楷体" w:eastAsia="楷体" w:cs="楷体"/>
          <w:sz w:val="24"/>
          <w:szCs w:val="24"/>
          <w:lang w:val="en-US" w:eastAsia="zh-CN"/>
        </w:rPr>
        <w:t>兖</w:t>
      </w:r>
      <w:r>
        <w:rPr>
          <w:rFonts w:hint="eastAsia" w:ascii="楷体" w:hAnsi="楷体" w:eastAsia="楷体" w:cs="楷体"/>
          <w:sz w:val="24"/>
          <w:szCs w:val="24"/>
        </w:rPr>
        <w:t>煤国际(控股)有限公司的美元贷款，因人民币、美元汇率波</w:t>
      </w:r>
      <w:bookmarkStart w:id="8" w:name="_GoBack"/>
      <w:bookmarkEnd w:id="8"/>
      <w:r>
        <w:rPr>
          <w:rFonts w:hint="eastAsia" w:ascii="楷体" w:hAnsi="楷体" w:eastAsia="楷体" w:cs="楷体"/>
          <w:sz w:val="24"/>
          <w:szCs w:val="24"/>
        </w:rPr>
        <w:t>动导致的贷款重估并产生了汇兑损益，进而影响财务费用所致；</w:t>
      </w:r>
    </w:p>
    <w:p>
      <w:pPr>
        <w:spacing w:line="440" w:lineRule="exact"/>
        <w:rPr>
          <w:rFonts w:ascii="楷体" w:hAnsi="楷体" w:eastAsia="楷体" w:cs="楷体"/>
          <w:sz w:val="24"/>
          <w:szCs w:val="24"/>
        </w:rPr>
      </w:pPr>
      <w:r>
        <w:rPr>
          <w:rFonts w:hint="eastAsia" w:ascii="楷体" w:hAnsi="楷体" w:eastAsia="楷体" w:cs="楷体_GB2312"/>
          <w:sz w:val="24"/>
          <w:szCs w:val="24"/>
        </w:rPr>
        <w:t>3</w:t>
      </w:r>
      <w:r>
        <w:rPr>
          <w:rFonts w:ascii="楷体" w:hAnsi="楷体" w:eastAsia="楷体" w:cs="楷体_GB2312"/>
          <w:sz w:val="24"/>
          <w:szCs w:val="24"/>
        </w:rPr>
        <w:t>.</w:t>
      </w:r>
      <w:r>
        <w:rPr>
          <w:rFonts w:hint="eastAsia" w:ascii="楷体" w:hAnsi="楷体" w:eastAsia="楷体" w:cs="楷体"/>
          <w:sz w:val="24"/>
          <w:szCs w:val="24"/>
        </w:rPr>
        <w:t>兖煤加拿大2023年、2024年1-4月财务数据已经信永中和审计；2022年财务数据已在兖矿能源2022年度合并报表范围内经信永中和审计。</w:t>
      </w:r>
    </w:p>
    <w:p>
      <w:pPr>
        <w:spacing w:line="520" w:lineRule="exact"/>
        <w:ind w:firstLine="562" w:firstLineChars="200"/>
        <w:rPr>
          <w:rFonts w:ascii="宋体" w:hAnsi="宋体" w:cs="宋体"/>
          <w:b/>
          <w:bCs/>
          <w:sz w:val="28"/>
          <w:szCs w:val="28"/>
        </w:rPr>
      </w:pPr>
      <w:r>
        <w:rPr>
          <w:rFonts w:ascii="宋体" w:hAnsi="宋体" w:cs="宋体"/>
          <w:b/>
          <w:bCs/>
          <w:sz w:val="28"/>
          <w:szCs w:val="28"/>
        </w:rPr>
        <w:t>3.</w:t>
      </w:r>
      <w:r>
        <w:rPr>
          <w:rFonts w:hint="eastAsia" w:ascii="宋体" w:hAnsi="宋体" w:cs="宋体"/>
          <w:b/>
          <w:bCs/>
          <w:sz w:val="28"/>
          <w:szCs w:val="28"/>
        </w:rPr>
        <w:t>评估情况</w:t>
      </w:r>
    </w:p>
    <w:p>
      <w:pPr>
        <w:widowControl/>
        <w:spacing w:line="520" w:lineRule="exact"/>
        <w:ind w:firstLine="560" w:firstLineChars="200"/>
        <w:rPr>
          <w:rFonts w:ascii="宋体" w:hAnsi="宋体" w:cs="宋体"/>
          <w:sz w:val="28"/>
          <w:szCs w:val="28"/>
        </w:rPr>
      </w:pPr>
      <w:r>
        <w:rPr>
          <w:rFonts w:hint="eastAsia" w:ascii="宋体" w:hAnsi="宋体" w:cs="宋体"/>
          <w:sz w:val="28"/>
          <w:szCs w:val="28"/>
        </w:rPr>
        <w:t>公司聘请北京华亚正信资产评估有限公司（“华亚正信”）以2024年4月30日为基准日出具《兖矿能源集团股份有限公司拟对高地资源上市公司增资所涉及兖煤加拿大资源有限公司股东全部权益项目资产评估报告》（华亚正信评字报（2024）第</w:t>
      </w:r>
      <w:r>
        <w:rPr>
          <w:rFonts w:ascii="Times New Roman" w:hAnsi="Times New Roman"/>
          <w:sz w:val="28"/>
          <w:szCs w:val="28"/>
        </w:rPr>
        <w:t>A</w:t>
      </w:r>
      <w:r>
        <w:rPr>
          <w:rFonts w:hint="eastAsia" w:ascii="宋体" w:hAnsi="宋体" w:cs="宋体"/>
          <w:sz w:val="28"/>
          <w:szCs w:val="28"/>
        </w:rPr>
        <w:t>11-0006号）。根据华亚正信出具的评估报告，截至评估基准日，兖煤加拿大采用资产基础法评估后的股东全部权益价值为131,349.03万元。该评估价值未包含兖煤国际对兖煤加拿大的股东借款及相应利息。</w:t>
      </w:r>
    </w:p>
    <w:p>
      <w:pPr>
        <w:spacing w:line="520" w:lineRule="exact"/>
        <w:ind w:firstLine="480"/>
        <w:rPr>
          <w:rFonts w:ascii="黑体" w:hAnsi="黑体" w:eastAsia="黑体" w:cs="黑体"/>
          <w:bCs/>
          <w:sz w:val="28"/>
          <w:szCs w:val="28"/>
        </w:rPr>
      </w:pPr>
      <w:r>
        <w:rPr>
          <w:rFonts w:hint="eastAsia" w:ascii="黑体" w:hAnsi="黑体" w:eastAsia="黑体" w:cs="黑体"/>
          <w:bCs/>
          <w:sz w:val="28"/>
          <w:szCs w:val="28"/>
        </w:rPr>
        <w:t>三、本次交易协议的主要内容</w:t>
      </w:r>
    </w:p>
    <w:p>
      <w:pPr>
        <w:spacing w:line="520" w:lineRule="exact"/>
        <w:ind w:firstLine="480"/>
        <w:rPr>
          <w:rFonts w:ascii="宋体" w:hAnsi="宋体" w:cs="宋体"/>
          <w:sz w:val="28"/>
          <w:szCs w:val="28"/>
        </w:rPr>
      </w:pPr>
      <w:bookmarkStart w:id="5" w:name="_Hlk174008462"/>
      <w:r>
        <w:rPr>
          <w:rFonts w:hint="eastAsia" w:ascii="宋体" w:hAnsi="宋体" w:cs="宋体"/>
          <w:sz w:val="28"/>
          <w:szCs w:val="28"/>
        </w:rPr>
        <w:t>2024年9月23日，公司与高地资源签署《实施协议》和《股份认购协议》。该等协议主要内容如下：</w:t>
      </w:r>
    </w:p>
    <w:p>
      <w:pPr>
        <w:spacing w:line="520" w:lineRule="exact"/>
        <w:ind w:firstLine="480"/>
        <w:rPr>
          <w:rFonts w:ascii="楷体_GB2312" w:hAnsi="宋体" w:eastAsia="楷体_GB2312" w:cs="楷体_GB2312"/>
          <w:b/>
          <w:bCs/>
          <w:sz w:val="28"/>
          <w:szCs w:val="28"/>
        </w:rPr>
      </w:pPr>
      <w:r>
        <w:rPr>
          <w:rFonts w:hint="eastAsia" w:ascii="楷体_GB2312" w:hAnsi="宋体" w:eastAsia="楷体_GB2312" w:cs="楷体_GB2312"/>
          <w:b/>
          <w:bCs/>
          <w:sz w:val="28"/>
          <w:szCs w:val="28"/>
        </w:rPr>
        <w:t>（一）《实施协议》</w:t>
      </w:r>
    </w:p>
    <w:p>
      <w:pPr>
        <w:spacing w:line="520" w:lineRule="exact"/>
        <w:ind w:firstLine="480"/>
        <w:rPr>
          <w:rFonts w:ascii="宋体" w:hAnsi="宋体" w:cs="楷体_GB2312"/>
          <w:b/>
          <w:bCs/>
          <w:sz w:val="28"/>
          <w:szCs w:val="28"/>
        </w:rPr>
      </w:pPr>
      <w:r>
        <w:rPr>
          <w:rFonts w:hint="eastAsia" w:ascii="宋体" w:hAnsi="宋体" w:cs="楷体_GB2312"/>
          <w:b/>
          <w:bCs/>
          <w:sz w:val="28"/>
          <w:szCs w:val="28"/>
        </w:rPr>
        <w:t>1. 协议主要条款</w:t>
      </w:r>
    </w:p>
    <w:p>
      <w:pPr>
        <w:spacing w:line="520" w:lineRule="exact"/>
        <w:ind w:firstLine="480"/>
        <w:rPr>
          <w:rFonts w:ascii="宋体" w:hAnsi="宋体" w:cs="楷体_GB2312"/>
          <w:sz w:val="28"/>
          <w:szCs w:val="28"/>
        </w:rPr>
      </w:pPr>
      <w:r>
        <w:rPr>
          <w:rFonts w:hint="eastAsia" w:ascii="宋体" w:hAnsi="宋体" w:cs="楷体_GB2312"/>
          <w:sz w:val="28"/>
          <w:szCs w:val="28"/>
        </w:rPr>
        <w:t>（1）对价股份</w:t>
      </w:r>
    </w:p>
    <w:p>
      <w:pPr>
        <w:spacing w:line="520" w:lineRule="exact"/>
        <w:ind w:firstLine="480"/>
        <w:rPr>
          <w:rFonts w:ascii="宋体" w:hAnsi="宋体" w:cs="楷体_GB2312"/>
          <w:sz w:val="28"/>
          <w:szCs w:val="28"/>
        </w:rPr>
      </w:pPr>
      <w:r>
        <w:rPr>
          <w:rFonts w:hint="eastAsia" w:ascii="宋体" w:hAnsi="宋体" w:cs="宋体"/>
          <w:sz w:val="28"/>
          <w:szCs w:val="28"/>
        </w:rPr>
        <w:t>兖矿能源通过换股交易所得高地资源股票数量</w:t>
      </w:r>
      <w:r>
        <w:rPr>
          <w:rFonts w:ascii="宋体" w:hAnsi="宋体" w:cs="宋体"/>
          <w:sz w:val="28"/>
          <w:szCs w:val="28"/>
        </w:rPr>
        <w:t>=</w:t>
      </w:r>
      <w:r>
        <w:rPr>
          <w:rFonts w:hint="eastAsia" w:ascii="宋体" w:hAnsi="宋体" w:cs="宋体"/>
          <w:sz w:val="28"/>
          <w:szCs w:val="28"/>
        </w:rPr>
        <w:t>兖煤加拿大总价值÷</w:t>
      </w:r>
      <w:r>
        <w:rPr>
          <w:rFonts w:ascii="宋体" w:hAnsi="宋体" w:cs="宋体"/>
          <w:sz w:val="28"/>
          <w:szCs w:val="28"/>
        </w:rPr>
        <w:t>高地资源每股单价。</w:t>
      </w:r>
      <w:r>
        <w:rPr>
          <w:rFonts w:hint="eastAsia" w:ascii="宋体" w:hAnsi="宋体" w:cs="宋体"/>
          <w:sz w:val="28"/>
          <w:szCs w:val="28"/>
        </w:rPr>
        <w:t>其中，兖煤加拿大总价值=兖煤加拿大评估价值+股东借款本金及至交割日利息净额（即扣减锁箱日账面现金）+锁箱日账面现金。截止锁箱日（2024年4月30日），兖煤加拿大总价值为2.86亿美元，最终总价值视具体交割日而定。</w:t>
      </w:r>
    </w:p>
    <w:p>
      <w:pPr>
        <w:spacing w:line="520" w:lineRule="exact"/>
        <w:ind w:firstLine="480"/>
        <w:rPr>
          <w:rFonts w:ascii="宋体" w:hAnsi="宋体" w:cs="楷体_GB2312"/>
          <w:sz w:val="28"/>
          <w:szCs w:val="28"/>
        </w:rPr>
      </w:pPr>
      <w:r>
        <w:rPr>
          <w:rFonts w:hint="eastAsia" w:ascii="宋体" w:hAnsi="宋体" w:cs="楷体_GB2312"/>
          <w:sz w:val="28"/>
          <w:szCs w:val="28"/>
        </w:rPr>
        <w:t>（2）价格</w:t>
      </w:r>
    </w:p>
    <w:p>
      <w:pPr>
        <w:spacing w:line="520" w:lineRule="exact"/>
        <w:ind w:firstLine="480"/>
        <w:rPr>
          <w:rFonts w:ascii="宋体" w:hAnsi="宋体" w:cs="楷体_GB2312"/>
          <w:sz w:val="28"/>
          <w:szCs w:val="28"/>
        </w:rPr>
      </w:pPr>
      <w:r>
        <w:rPr>
          <w:rFonts w:ascii="宋体" w:hAnsi="宋体" w:cs="宋体"/>
          <w:sz w:val="28"/>
          <w:szCs w:val="28"/>
        </w:rPr>
        <w:t>高地资源每股</w:t>
      </w:r>
      <w:r>
        <w:rPr>
          <w:rFonts w:hint="eastAsia" w:ascii="宋体" w:hAnsi="宋体" w:cs="宋体"/>
          <w:sz w:val="28"/>
          <w:szCs w:val="28"/>
        </w:rPr>
        <w:t>作价</w:t>
      </w:r>
      <w:r>
        <w:rPr>
          <w:rFonts w:ascii="宋体" w:hAnsi="宋体" w:cs="宋体"/>
          <w:sz w:val="28"/>
          <w:szCs w:val="28"/>
        </w:rPr>
        <w:t>0.50澳元。</w:t>
      </w:r>
    </w:p>
    <w:p>
      <w:pPr>
        <w:spacing w:line="520" w:lineRule="exact"/>
        <w:ind w:firstLine="480"/>
        <w:rPr>
          <w:rFonts w:ascii="宋体" w:hAnsi="宋体" w:cs="楷体_GB2312"/>
          <w:sz w:val="28"/>
          <w:szCs w:val="28"/>
        </w:rPr>
      </w:pPr>
      <w:r>
        <w:rPr>
          <w:rFonts w:hint="eastAsia" w:ascii="宋体" w:hAnsi="宋体" w:cs="楷体_GB2312"/>
          <w:sz w:val="28"/>
          <w:szCs w:val="28"/>
        </w:rPr>
        <w:t>（3）价格调整机制</w:t>
      </w:r>
    </w:p>
    <w:p>
      <w:pPr>
        <w:spacing w:line="520" w:lineRule="exact"/>
        <w:ind w:firstLine="480"/>
        <w:rPr>
          <w:rFonts w:ascii="宋体" w:hAnsi="宋体" w:cs="楷体_GB2312"/>
          <w:sz w:val="28"/>
          <w:szCs w:val="28"/>
        </w:rPr>
      </w:pPr>
      <w:r>
        <w:rPr>
          <w:rFonts w:hint="eastAsia" w:ascii="宋体" w:hAnsi="宋体" w:cs="宋体"/>
          <w:sz w:val="28"/>
          <w:szCs w:val="28"/>
        </w:rPr>
        <w:t>本次交易采用相互锁箱机制，即双方均承诺在锁箱日（</w:t>
      </w:r>
      <w:r>
        <w:rPr>
          <w:rFonts w:ascii="宋体" w:hAnsi="宋体" w:cs="宋体"/>
          <w:sz w:val="28"/>
          <w:szCs w:val="28"/>
        </w:rPr>
        <w:t>2024</w:t>
      </w:r>
      <w:r>
        <w:rPr>
          <w:rFonts w:hint="eastAsia" w:ascii="宋体" w:hAnsi="宋体" w:cs="宋体"/>
          <w:sz w:val="28"/>
          <w:szCs w:val="28"/>
        </w:rPr>
        <w:t>年</w:t>
      </w:r>
      <w:r>
        <w:rPr>
          <w:rFonts w:ascii="宋体" w:hAnsi="宋体" w:cs="宋体"/>
          <w:sz w:val="28"/>
          <w:szCs w:val="28"/>
        </w:rPr>
        <w:t>4</w:t>
      </w:r>
      <w:r>
        <w:rPr>
          <w:rFonts w:hint="eastAsia" w:ascii="宋体" w:hAnsi="宋体" w:cs="宋体"/>
          <w:sz w:val="28"/>
          <w:szCs w:val="28"/>
        </w:rPr>
        <w:t>月</w:t>
      </w:r>
      <w:r>
        <w:rPr>
          <w:rFonts w:ascii="宋体" w:hAnsi="宋体" w:cs="宋体"/>
          <w:sz w:val="28"/>
          <w:szCs w:val="28"/>
        </w:rPr>
        <w:t>30</w:t>
      </w:r>
      <w:r>
        <w:rPr>
          <w:rFonts w:hint="eastAsia" w:ascii="宋体" w:hAnsi="宋体" w:cs="宋体"/>
          <w:sz w:val="28"/>
          <w:szCs w:val="28"/>
        </w:rPr>
        <w:t>日，即评估基准日）至交割日期间，不发生面向股东、关联方或员工/董事的价值漏损（正常经营过程中使用其现有的营运资金或纳税等允许的漏损除外）。如果发生漏损的，发生漏损一方应给予对方相应金额的赔偿(或在适用情况下相应调整兖煤加拿大总价值)。</w:t>
      </w:r>
    </w:p>
    <w:p>
      <w:pPr>
        <w:spacing w:line="520" w:lineRule="exact"/>
        <w:ind w:firstLine="480"/>
        <w:rPr>
          <w:rFonts w:ascii="宋体" w:hAnsi="宋体" w:cs="楷体_GB2312"/>
          <w:sz w:val="28"/>
          <w:szCs w:val="28"/>
        </w:rPr>
      </w:pPr>
      <w:r>
        <w:rPr>
          <w:rFonts w:hint="eastAsia" w:ascii="宋体" w:hAnsi="宋体" w:cs="楷体_GB2312"/>
          <w:sz w:val="28"/>
          <w:szCs w:val="28"/>
        </w:rPr>
        <w:t>（4）股东贷款及可转换票据处理</w:t>
      </w:r>
    </w:p>
    <w:p>
      <w:pPr>
        <w:spacing w:line="520" w:lineRule="exact"/>
        <w:ind w:firstLine="480"/>
        <w:rPr>
          <w:rFonts w:ascii="宋体" w:hAnsi="宋体" w:cs="宋体"/>
          <w:sz w:val="28"/>
          <w:szCs w:val="28"/>
        </w:rPr>
      </w:pPr>
      <w:r>
        <w:rPr>
          <w:rFonts w:hint="eastAsia" w:ascii="宋体" w:hAnsi="宋体" w:cs="宋体"/>
          <w:sz w:val="28"/>
          <w:szCs w:val="28"/>
        </w:rPr>
        <w:t>在交割日之前或当日，兖煤国际将其对兖煤加拿大的股东借款之本息进行转股或直接以该债权认购高地资源股票。</w:t>
      </w:r>
    </w:p>
    <w:p>
      <w:pPr>
        <w:spacing w:line="520" w:lineRule="exact"/>
        <w:ind w:firstLine="480"/>
        <w:rPr>
          <w:rFonts w:ascii="宋体" w:hAnsi="宋体" w:cs="宋体"/>
          <w:sz w:val="28"/>
          <w:szCs w:val="28"/>
        </w:rPr>
      </w:pPr>
      <w:r>
        <w:rPr>
          <w:rFonts w:hint="eastAsia" w:ascii="宋体" w:hAnsi="宋体" w:cs="宋体"/>
          <w:sz w:val="28"/>
          <w:szCs w:val="28"/>
        </w:rPr>
        <w:t>在交割日之前或当日，高地资源股东（包括目前第一大股东EMR Capital Investments Pte Ltd等）将其所持有的高地资源可转换票据进行转股。</w:t>
      </w:r>
    </w:p>
    <w:p>
      <w:pPr>
        <w:spacing w:line="520" w:lineRule="exact"/>
        <w:ind w:firstLine="480"/>
        <w:rPr>
          <w:rFonts w:ascii="宋体" w:hAnsi="宋体" w:cs="宋体"/>
          <w:sz w:val="28"/>
          <w:szCs w:val="28"/>
        </w:rPr>
      </w:pPr>
      <w:r>
        <w:rPr>
          <w:rFonts w:hint="eastAsia" w:ascii="宋体" w:hAnsi="宋体" w:cs="宋体"/>
          <w:sz w:val="28"/>
          <w:szCs w:val="28"/>
        </w:rPr>
        <w:t>（5）高地资源董事和高管任命</w:t>
      </w:r>
    </w:p>
    <w:p>
      <w:pPr>
        <w:spacing w:line="520" w:lineRule="exact"/>
        <w:ind w:firstLine="480"/>
        <w:rPr>
          <w:rFonts w:ascii="宋体" w:hAnsi="宋体" w:cs="宋体"/>
          <w:sz w:val="28"/>
          <w:szCs w:val="28"/>
        </w:rPr>
      </w:pPr>
      <w:r>
        <w:rPr>
          <w:rFonts w:hint="eastAsia" w:ascii="宋体" w:hAnsi="宋体" w:cs="宋体"/>
          <w:sz w:val="28"/>
          <w:szCs w:val="28"/>
        </w:rPr>
        <w:t>高地资源须在交割日，重组高地资源董事会，以使兖矿能源在交割时获得过半数董事会席位。董事会于交割日后决定并任命高地资源管理层。</w:t>
      </w:r>
    </w:p>
    <w:p>
      <w:pPr>
        <w:spacing w:line="520" w:lineRule="exact"/>
        <w:ind w:firstLine="480"/>
        <w:rPr>
          <w:rFonts w:ascii="宋体" w:hAnsi="宋体" w:cs="宋体"/>
          <w:sz w:val="28"/>
          <w:szCs w:val="28"/>
        </w:rPr>
      </w:pPr>
      <w:r>
        <w:rPr>
          <w:rFonts w:hint="eastAsia" w:ascii="宋体" w:hAnsi="宋体" w:cs="宋体"/>
          <w:sz w:val="28"/>
          <w:szCs w:val="28"/>
        </w:rPr>
        <w:t>（6）交割或终止</w:t>
      </w:r>
    </w:p>
    <w:p>
      <w:pPr>
        <w:spacing w:line="520" w:lineRule="exact"/>
        <w:ind w:firstLine="480"/>
        <w:rPr>
          <w:rFonts w:ascii="宋体" w:hAnsi="宋体" w:cs="宋体"/>
          <w:sz w:val="28"/>
          <w:szCs w:val="28"/>
          <w:lang w:val="fr-CA"/>
        </w:rPr>
      </w:pPr>
      <w:r>
        <w:rPr>
          <w:rFonts w:hint="eastAsia" w:ascii="宋体" w:hAnsi="宋体" w:cs="宋体"/>
          <w:sz w:val="28"/>
          <w:szCs w:val="28"/>
          <w:lang w:val="fr-CA"/>
        </w:rPr>
        <w:t>本次交易交割最后截止日为2025年3月31日（“最后截止日”）。兖矿能源可以自行决定通过书面通知高地资源，将最后截止日延长最多三个月。如果任何交割前置条件未在最后截止日或之前满足（也未被豁免），则任何一方可在最后截止日后终止交易协议。如果兖矿能源或高地资源合理地认为任何交割前置条件在最后截止日前无法满足，则从该日起其可向另一方发出书面通知终止交易协议（终止方</w:t>
      </w:r>
      <w:r>
        <w:rPr>
          <w:rFonts w:hint="eastAsia" w:ascii="宋体" w:hAnsi="宋体" w:cs="宋体"/>
          <w:sz w:val="28"/>
          <w:szCs w:val="28"/>
        </w:rPr>
        <w:t>不得</w:t>
      </w:r>
      <w:r>
        <w:rPr>
          <w:rFonts w:hint="eastAsia" w:ascii="宋体" w:hAnsi="宋体" w:cs="宋体"/>
          <w:sz w:val="28"/>
          <w:szCs w:val="28"/>
          <w:lang w:val="fr-CA"/>
        </w:rPr>
        <w:t>以</w:t>
      </w:r>
      <w:r>
        <w:rPr>
          <w:rFonts w:hint="eastAsia" w:ascii="宋体" w:hAnsi="宋体" w:cs="宋体"/>
          <w:sz w:val="28"/>
          <w:szCs w:val="28"/>
        </w:rPr>
        <w:t>其自身</w:t>
      </w:r>
      <w:r>
        <w:rPr>
          <w:rFonts w:hint="eastAsia" w:ascii="宋体" w:hAnsi="宋体" w:cs="宋体"/>
          <w:sz w:val="28"/>
          <w:szCs w:val="28"/>
          <w:lang w:val="fr-CA"/>
        </w:rPr>
        <w:t>违约所造成的情形为理由终止）。</w:t>
      </w:r>
    </w:p>
    <w:p>
      <w:pPr>
        <w:spacing w:line="520" w:lineRule="exact"/>
        <w:ind w:firstLine="480"/>
        <w:rPr>
          <w:rFonts w:ascii="宋体" w:hAnsi="宋体" w:cs="宋体"/>
          <w:sz w:val="28"/>
          <w:szCs w:val="28"/>
          <w:lang w:val="fr-CA"/>
        </w:rPr>
      </w:pPr>
      <w:r>
        <w:rPr>
          <w:rFonts w:hint="eastAsia" w:ascii="宋体" w:hAnsi="宋体" w:cs="宋体"/>
          <w:sz w:val="28"/>
          <w:szCs w:val="28"/>
          <w:lang w:val="fr-CA"/>
        </w:rPr>
        <w:t>（7）争议解决方式</w:t>
      </w:r>
    </w:p>
    <w:p>
      <w:pPr>
        <w:spacing w:line="520" w:lineRule="exact"/>
        <w:ind w:firstLine="480"/>
        <w:rPr>
          <w:rFonts w:ascii="宋体" w:hAnsi="宋体" w:cs="宋体"/>
          <w:sz w:val="28"/>
          <w:szCs w:val="28"/>
          <w:lang w:val="fr-CA"/>
        </w:rPr>
      </w:pPr>
      <w:r>
        <w:rPr>
          <w:rFonts w:hint="eastAsia" w:ascii="宋体" w:hAnsi="宋体" w:cs="宋体"/>
          <w:sz w:val="28"/>
          <w:szCs w:val="28"/>
          <w:lang w:val="fr-CA"/>
        </w:rPr>
        <w:t>本协议引起的或与之有关的任何争议应提交给新加坡国际仲裁中心（SIAC），根据现行有效的新加坡国际仲裁中心仲裁规则（SIAC规则）通过仲裁最终解决。</w:t>
      </w:r>
    </w:p>
    <w:p>
      <w:pPr>
        <w:spacing w:line="520" w:lineRule="exact"/>
        <w:ind w:firstLine="480"/>
        <w:rPr>
          <w:rFonts w:ascii="宋体" w:hAnsi="宋体" w:cs="宋体"/>
          <w:sz w:val="28"/>
          <w:szCs w:val="28"/>
          <w:lang w:val="fr-CA"/>
        </w:rPr>
      </w:pPr>
      <w:r>
        <w:rPr>
          <w:rFonts w:hint="eastAsia" w:ascii="宋体" w:hAnsi="宋体" w:cs="宋体"/>
          <w:sz w:val="28"/>
          <w:szCs w:val="28"/>
          <w:lang w:val="fr-CA"/>
        </w:rPr>
        <w:t>（8）合同生效条件</w:t>
      </w:r>
    </w:p>
    <w:p>
      <w:pPr>
        <w:spacing w:line="520" w:lineRule="exact"/>
        <w:ind w:firstLine="480"/>
        <w:rPr>
          <w:rFonts w:ascii="宋体" w:hAnsi="宋体" w:cs="宋体"/>
          <w:sz w:val="28"/>
          <w:szCs w:val="28"/>
          <w:lang w:val="fr-CA"/>
        </w:rPr>
      </w:pPr>
      <w:r>
        <w:rPr>
          <w:rFonts w:hint="eastAsia" w:ascii="宋体" w:hAnsi="宋体" w:cs="宋体"/>
          <w:sz w:val="28"/>
          <w:szCs w:val="28"/>
          <w:lang w:val="fr-CA"/>
        </w:rPr>
        <w:t>协议由各方签署后即生效。</w:t>
      </w:r>
    </w:p>
    <w:p>
      <w:pPr>
        <w:spacing w:line="520" w:lineRule="exact"/>
        <w:ind w:firstLine="480"/>
        <w:rPr>
          <w:rFonts w:ascii="宋体" w:hAnsi="宋体" w:cs="楷体_GB2312"/>
          <w:b/>
          <w:bCs/>
          <w:sz w:val="28"/>
          <w:szCs w:val="28"/>
        </w:rPr>
      </w:pPr>
      <w:bookmarkStart w:id="6" w:name="_Hlk176984628"/>
      <w:r>
        <w:rPr>
          <w:rFonts w:hint="eastAsia" w:ascii="宋体" w:hAnsi="宋体" w:cs="楷体_GB2312"/>
          <w:b/>
          <w:bCs/>
          <w:sz w:val="28"/>
          <w:szCs w:val="28"/>
        </w:rPr>
        <w:t>2.主要交割条件</w:t>
      </w:r>
      <w:bookmarkEnd w:id="6"/>
      <w:r>
        <w:rPr>
          <w:rFonts w:ascii="宋体" w:hAnsi="宋体" w:cs="楷体_GB2312"/>
          <w:b/>
          <w:bCs/>
          <w:sz w:val="28"/>
          <w:szCs w:val="28"/>
        </w:rPr>
        <w:t xml:space="preserve"> </w:t>
      </w:r>
    </w:p>
    <w:p>
      <w:pPr>
        <w:spacing w:line="520" w:lineRule="exact"/>
        <w:ind w:firstLine="480"/>
        <w:rPr>
          <w:rFonts w:ascii="宋体" w:hAnsi="宋体" w:cs="宋体"/>
          <w:sz w:val="28"/>
          <w:szCs w:val="28"/>
        </w:rPr>
      </w:pPr>
      <w:r>
        <w:rPr>
          <w:rFonts w:hint="eastAsia" w:ascii="宋体" w:hAnsi="宋体" w:cs="宋体"/>
          <w:sz w:val="28"/>
          <w:szCs w:val="28"/>
        </w:rPr>
        <w:t>本次交易完成交割需满足前置条件，除取得高地资源股东大会批准、各国相关监管部门批准、双方无违约或发生重大不利影响、双方陈述和保证准确以外，主要包括：</w:t>
      </w:r>
    </w:p>
    <w:p>
      <w:pPr>
        <w:pStyle w:val="14"/>
        <w:numPr>
          <w:ilvl w:val="255"/>
          <w:numId w:val="0"/>
        </w:numPr>
        <w:spacing w:line="520" w:lineRule="exact"/>
        <w:ind w:firstLine="560" w:firstLineChars="200"/>
        <w:rPr>
          <w:rFonts w:ascii="宋体" w:hAnsi="宋体" w:cs="宋体"/>
          <w:sz w:val="28"/>
          <w:szCs w:val="28"/>
        </w:rPr>
      </w:pPr>
      <w:r>
        <w:rPr>
          <w:rFonts w:hint="eastAsia" w:ascii="宋体" w:hAnsi="宋体" w:cs="宋体"/>
          <w:sz w:val="28"/>
          <w:szCs w:val="28"/>
        </w:rPr>
        <w:t>（1）换股交易与现金认股交易同时交割。</w:t>
      </w:r>
    </w:p>
    <w:p>
      <w:pPr>
        <w:pStyle w:val="14"/>
        <w:numPr>
          <w:ilvl w:val="255"/>
          <w:numId w:val="0"/>
        </w:numPr>
        <w:spacing w:line="520" w:lineRule="exact"/>
        <w:ind w:firstLine="560" w:firstLineChars="200"/>
        <w:rPr>
          <w:rFonts w:ascii="宋体" w:hAnsi="宋体" w:cs="宋体"/>
          <w:sz w:val="28"/>
          <w:szCs w:val="28"/>
        </w:rPr>
      </w:pPr>
      <w:r>
        <w:rPr>
          <w:rFonts w:hint="eastAsia" w:ascii="宋体" w:hAnsi="宋体" w:cs="宋体"/>
          <w:sz w:val="28"/>
          <w:szCs w:val="28"/>
        </w:rPr>
        <w:t>（2）高地资源现有银团贷款是有效和可执行的，没有被更改、变更、修订或放弃，从而可能会对高地资源产生不利影响；高地资源在银团贷款项下没有任何违约行为；高地资源已就交易获得银团贷款的优先担保债权人（即各银团银行）的书面同意。</w:t>
      </w:r>
    </w:p>
    <w:p>
      <w:pPr>
        <w:pStyle w:val="14"/>
        <w:numPr>
          <w:ilvl w:val="255"/>
          <w:numId w:val="0"/>
        </w:numPr>
        <w:spacing w:line="520" w:lineRule="exact"/>
        <w:ind w:firstLine="560" w:firstLineChars="200"/>
        <w:rPr>
          <w:rFonts w:ascii="宋体" w:hAnsi="宋体" w:cs="宋体"/>
          <w:sz w:val="28"/>
          <w:szCs w:val="28"/>
        </w:rPr>
      </w:pPr>
      <w:r>
        <w:rPr>
          <w:rFonts w:hint="eastAsia" w:ascii="宋体" w:hAnsi="宋体" w:cs="宋体"/>
          <w:sz w:val="28"/>
          <w:szCs w:val="28"/>
        </w:rPr>
        <w:t>（3）高地资源所有可转债在交易交割之前或之时完成转股，且转股价格不应受现金认股交易价格影响且不应与之挂钩。</w:t>
      </w:r>
    </w:p>
    <w:p>
      <w:pPr>
        <w:pStyle w:val="14"/>
        <w:numPr>
          <w:ilvl w:val="255"/>
          <w:numId w:val="0"/>
        </w:numPr>
        <w:spacing w:line="520" w:lineRule="exact"/>
        <w:ind w:firstLine="560" w:firstLineChars="200"/>
        <w:rPr>
          <w:rFonts w:ascii="宋体" w:hAnsi="宋体" w:cs="宋体"/>
          <w:sz w:val="28"/>
          <w:szCs w:val="28"/>
        </w:rPr>
      </w:pPr>
      <w:r>
        <w:rPr>
          <w:rFonts w:hint="eastAsia" w:ascii="宋体" w:hAnsi="宋体" w:cs="宋体"/>
          <w:sz w:val="28"/>
          <w:szCs w:val="28"/>
        </w:rPr>
        <w:t>（4）兖矿能源（或其指定方）与高地资源已签订一份承销协议，授予兖矿能源（或其指定方）销售和分销高地资源产品的承销权。</w:t>
      </w:r>
      <w:r>
        <w:rPr>
          <w:rFonts w:ascii="宋体" w:hAnsi="宋体" w:cs="宋体"/>
          <w:sz w:val="28"/>
          <w:szCs w:val="28"/>
        </w:rPr>
        <w:t xml:space="preserve"> </w:t>
      </w:r>
    </w:p>
    <w:p>
      <w:pPr>
        <w:pStyle w:val="14"/>
        <w:numPr>
          <w:ilvl w:val="255"/>
          <w:numId w:val="0"/>
        </w:numPr>
        <w:spacing w:line="520" w:lineRule="exact"/>
        <w:ind w:firstLine="560" w:firstLineChars="200"/>
        <w:rPr>
          <w:rFonts w:ascii="宋体" w:hAnsi="宋体" w:cs="宋体"/>
          <w:sz w:val="28"/>
          <w:szCs w:val="28"/>
        </w:rPr>
      </w:pPr>
      <w:r>
        <w:rPr>
          <w:rFonts w:hint="eastAsia" w:ascii="宋体" w:hAnsi="宋体" w:cs="宋体"/>
          <w:sz w:val="28"/>
          <w:szCs w:val="28"/>
        </w:rPr>
        <w:t>（5）交割时兖矿能源有能力取得高地资源控制权。</w:t>
      </w:r>
    </w:p>
    <w:p>
      <w:pPr>
        <w:pStyle w:val="14"/>
        <w:numPr>
          <w:ilvl w:val="255"/>
          <w:numId w:val="0"/>
        </w:numPr>
        <w:spacing w:line="520" w:lineRule="exact"/>
        <w:ind w:firstLine="560" w:firstLineChars="200"/>
        <w:rPr>
          <w:rFonts w:ascii="宋体" w:hAnsi="宋体" w:cs="宋体"/>
          <w:sz w:val="28"/>
          <w:szCs w:val="28"/>
        </w:rPr>
      </w:pPr>
      <w:r>
        <w:rPr>
          <w:rFonts w:hint="eastAsia" w:ascii="宋体" w:hAnsi="宋体" w:cs="宋体"/>
          <w:sz w:val="28"/>
          <w:szCs w:val="28"/>
        </w:rPr>
        <w:t>（6）高地资源就本交易取得重要合同的相关对手方同意或豁免。</w:t>
      </w:r>
    </w:p>
    <w:p>
      <w:pPr>
        <w:pStyle w:val="14"/>
        <w:ind w:firstLine="562"/>
        <w:rPr>
          <w:rFonts w:ascii="楷体_GB2312" w:hAnsi="宋体" w:eastAsia="楷体_GB2312" w:cs="楷体_GB2312"/>
          <w:b/>
          <w:bCs/>
          <w:sz w:val="28"/>
          <w:szCs w:val="28"/>
        </w:rPr>
      </w:pPr>
      <w:r>
        <w:rPr>
          <w:rFonts w:hint="eastAsia" w:ascii="楷体_GB2312" w:hAnsi="宋体" w:eastAsia="楷体_GB2312" w:cs="楷体_GB2312"/>
          <w:b/>
          <w:bCs/>
          <w:sz w:val="28"/>
          <w:szCs w:val="28"/>
        </w:rPr>
        <w:t>（二）《</w:t>
      </w:r>
      <w:r>
        <w:rPr>
          <w:rFonts w:hint="eastAsia" w:ascii="楷体_GB2312" w:hAnsi="宋体" w:eastAsia="楷体_GB2312" w:cs="宋体"/>
          <w:b/>
          <w:bCs/>
          <w:sz w:val="28"/>
          <w:szCs w:val="28"/>
        </w:rPr>
        <w:t>股份认购协议</w:t>
      </w:r>
      <w:r>
        <w:rPr>
          <w:rFonts w:hint="eastAsia" w:ascii="楷体_GB2312" w:hAnsi="宋体" w:eastAsia="楷体_GB2312" w:cs="楷体_GB2312"/>
          <w:b/>
          <w:bCs/>
          <w:sz w:val="28"/>
          <w:szCs w:val="28"/>
        </w:rPr>
        <w:t>》</w:t>
      </w:r>
    </w:p>
    <w:p>
      <w:pPr>
        <w:spacing w:line="520" w:lineRule="exact"/>
        <w:ind w:firstLine="480"/>
        <w:rPr>
          <w:rFonts w:ascii="宋体" w:hAnsi="宋体" w:cs="楷体_GB2312"/>
          <w:b/>
          <w:bCs/>
          <w:sz w:val="28"/>
          <w:szCs w:val="28"/>
        </w:rPr>
      </w:pPr>
      <w:r>
        <w:rPr>
          <w:rFonts w:hint="eastAsia" w:ascii="宋体" w:hAnsi="宋体" w:cs="楷体_GB2312"/>
          <w:b/>
          <w:bCs/>
          <w:sz w:val="28"/>
          <w:szCs w:val="28"/>
        </w:rPr>
        <w:t>1. 协议主要条款</w:t>
      </w:r>
    </w:p>
    <w:p>
      <w:pPr>
        <w:spacing w:line="520" w:lineRule="exact"/>
        <w:ind w:firstLine="480"/>
        <w:rPr>
          <w:rFonts w:ascii="宋体" w:hAnsi="宋体" w:cs="楷体_GB2312"/>
          <w:sz w:val="28"/>
          <w:szCs w:val="28"/>
        </w:rPr>
      </w:pPr>
      <w:r>
        <w:rPr>
          <w:rFonts w:hint="eastAsia" w:ascii="宋体" w:hAnsi="宋体" w:cs="楷体_GB2312"/>
          <w:sz w:val="28"/>
          <w:szCs w:val="28"/>
        </w:rPr>
        <w:t>本协议主要条款除双方陈述与保证外，主要包括：</w:t>
      </w:r>
    </w:p>
    <w:p>
      <w:pPr>
        <w:spacing w:line="520" w:lineRule="exact"/>
        <w:ind w:firstLine="480"/>
        <w:rPr>
          <w:rFonts w:ascii="宋体" w:hAnsi="宋体" w:cs="楷体_GB2312"/>
          <w:sz w:val="28"/>
          <w:szCs w:val="28"/>
        </w:rPr>
      </w:pPr>
      <w:r>
        <w:rPr>
          <w:rFonts w:hint="eastAsia" w:ascii="宋体" w:hAnsi="宋体" w:cs="楷体_GB2312"/>
          <w:sz w:val="28"/>
          <w:szCs w:val="28"/>
        </w:rPr>
        <w:t>（1）认购金额和价格</w:t>
      </w:r>
    </w:p>
    <w:p>
      <w:pPr>
        <w:spacing w:line="520" w:lineRule="exact"/>
        <w:ind w:firstLine="480"/>
        <w:rPr>
          <w:rFonts w:ascii="宋体" w:hAnsi="宋体" w:cs="楷体_GB2312"/>
          <w:sz w:val="28"/>
          <w:szCs w:val="28"/>
        </w:rPr>
      </w:pPr>
      <w:r>
        <w:rPr>
          <w:rFonts w:hint="eastAsia" w:ascii="宋体" w:hAnsi="宋体" w:cs="楷体_GB2312"/>
          <w:sz w:val="28"/>
          <w:szCs w:val="28"/>
        </w:rPr>
        <w:t>兖矿能源认购价值不超过0.9亿美元的股份，每股单价为0.5澳元。若其他战略投资者或机构投资者在现金认股交易认购的股份超过1.3亿美元的，兖矿能源可选择相应降低其认购金额。</w:t>
      </w:r>
    </w:p>
    <w:p>
      <w:pPr>
        <w:spacing w:line="520" w:lineRule="exact"/>
        <w:ind w:firstLine="480"/>
        <w:rPr>
          <w:rFonts w:ascii="宋体" w:hAnsi="宋体" w:cs="楷体_GB2312"/>
          <w:sz w:val="28"/>
          <w:szCs w:val="28"/>
        </w:rPr>
      </w:pPr>
      <w:r>
        <w:rPr>
          <w:rFonts w:hint="eastAsia" w:ascii="宋体" w:hAnsi="宋体" w:cs="楷体_GB2312"/>
          <w:sz w:val="28"/>
          <w:szCs w:val="28"/>
        </w:rPr>
        <w:t>（2）认购金额支付方式和时间</w:t>
      </w:r>
    </w:p>
    <w:p>
      <w:pPr>
        <w:spacing w:line="520" w:lineRule="exact"/>
        <w:ind w:firstLine="480"/>
        <w:rPr>
          <w:rFonts w:ascii="宋体" w:hAnsi="宋体" w:cs="楷体_GB2312"/>
          <w:sz w:val="28"/>
          <w:szCs w:val="28"/>
        </w:rPr>
      </w:pPr>
      <w:r>
        <w:rPr>
          <w:rFonts w:hint="eastAsia" w:ascii="宋体" w:hAnsi="宋体" w:cs="楷体_GB2312"/>
          <w:sz w:val="28"/>
          <w:szCs w:val="28"/>
        </w:rPr>
        <w:t>以现金在交割时支付给高地资源。</w:t>
      </w:r>
    </w:p>
    <w:p>
      <w:pPr>
        <w:spacing w:line="520" w:lineRule="exact"/>
        <w:ind w:firstLine="480"/>
        <w:rPr>
          <w:rFonts w:ascii="宋体" w:hAnsi="宋体" w:cs="楷体_GB2312"/>
          <w:sz w:val="28"/>
          <w:szCs w:val="28"/>
        </w:rPr>
      </w:pPr>
      <w:r>
        <w:rPr>
          <w:rFonts w:hint="eastAsia" w:ascii="宋体" w:hAnsi="宋体" w:cs="楷体_GB2312"/>
          <w:sz w:val="28"/>
          <w:szCs w:val="28"/>
        </w:rPr>
        <w:t>（3）高地资源在交割时的义务</w:t>
      </w:r>
    </w:p>
    <w:p>
      <w:pPr>
        <w:spacing w:line="520" w:lineRule="exact"/>
        <w:ind w:firstLine="480"/>
        <w:rPr>
          <w:rFonts w:ascii="宋体" w:hAnsi="宋体" w:cs="楷体_GB2312"/>
          <w:sz w:val="28"/>
          <w:szCs w:val="28"/>
        </w:rPr>
      </w:pPr>
      <w:r>
        <w:rPr>
          <w:rFonts w:hint="eastAsia" w:ascii="宋体" w:hAnsi="宋体" w:cs="楷体_GB2312"/>
          <w:sz w:val="28"/>
          <w:szCs w:val="28"/>
        </w:rPr>
        <w:t>在交割时，高地资源向兖矿能源发行认购股份，并在其股东名册中将兖矿能源登记为认购股份的持有人。</w:t>
      </w:r>
    </w:p>
    <w:p>
      <w:pPr>
        <w:spacing w:line="520" w:lineRule="exact"/>
        <w:ind w:firstLine="480"/>
        <w:rPr>
          <w:rFonts w:ascii="宋体" w:hAnsi="宋体" w:cs="楷体_GB2312"/>
          <w:sz w:val="28"/>
          <w:szCs w:val="28"/>
        </w:rPr>
      </w:pPr>
      <w:r>
        <w:rPr>
          <w:rFonts w:hint="eastAsia" w:ascii="宋体" w:hAnsi="宋体" w:cs="楷体_GB2312"/>
          <w:sz w:val="28"/>
          <w:szCs w:val="28"/>
        </w:rPr>
        <w:t>（4）高地资源最高责任限额</w:t>
      </w:r>
    </w:p>
    <w:p>
      <w:pPr>
        <w:spacing w:line="520" w:lineRule="exact"/>
        <w:ind w:firstLine="480"/>
        <w:rPr>
          <w:rFonts w:ascii="宋体" w:hAnsi="宋体" w:cs="楷体_GB2312"/>
          <w:sz w:val="28"/>
          <w:szCs w:val="28"/>
        </w:rPr>
      </w:pPr>
      <w:r>
        <w:rPr>
          <w:rFonts w:hint="eastAsia" w:ascii="宋体" w:hAnsi="宋体" w:cs="楷体_GB2312"/>
          <w:sz w:val="28"/>
          <w:szCs w:val="28"/>
        </w:rPr>
        <w:t>若高地资源违反本协议下陈述和保证或其他违约行为对兖矿能源造成损失的，高地资源的最高责任以本协议认购金额为限。</w:t>
      </w:r>
    </w:p>
    <w:p>
      <w:pPr>
        <w:spacing w:line="520" w:lineRule="exact"/>
        <w:ind w:firstLine="480"/>
        <w:rPr>
          <w:rFonts w:ascii="宋体" w:hAnsi="宋体" w:cs="楷体_GB2312"/>
          <w:sz w:val="28"/>
          <w:szCs w:val="28"/>
        </w:rPr>
      </w:pPr>
      <w:r>
        <w:rPr>
          <w:rFonts w:hint="eastAsia" w:ascii="宋体" w:hAnsi="宋体" w:cs="楷体_GB2312"/>
          <w:sz w:val="28"/>
          <w:szCs w:val="28"/>
        </w:rPr>
        <w:t>（5）索赔时限</w:t>
      </w:r>
    </w:p>
    <w:p>
      <w:pPr>
        <w:spacing w:line="520" w:lineRule="exact"/>
        <w:ind w:firstLine="480"/>
        <w:rPr>
          <w:rFonts w:ascii="宋体" w:hAnsi="宋体" w:cs="楷体_GB2312"/>
          <w:sz w:val="28"/>
          <w:szCs w:val="28"/>
        </w:rPr>
      </w:pPr>
      <w:r>
        <w:rPr>
          <w:rFonts w:hint="eastAsia" w:ascii="宋体" w:hAnsi="宋体" w:cs="楷体_GB2312"/>
          <w:sz w:val="28"/>
          <w:szCs w:val="28"/>
        </w:rPr>
        <w:t>兖矿能源就高地资源违反陈述和保证提出索赔的，必须在交割日起18个月内将索赔的全部详情通知高地资源。除非在向高地资源送达索赔的书面通知后6个月内就该索赔展开法律程序，否则该索赔视为已被撤回。</w:t>
      </w:r>
    </w:p>
    <w:p>
      <w:pPr>
        <w:spacing w:line="520" w:lineRule="exact"/>
        <w:ind w:firstLine="480"/>
        <w:rPr>
          <w:rFonts w:ascii="宋体" w:hAnsi="宋体" w:cs="宋体"/>
          <w:sz w:val="28"/>
          <w:szCs w:val="28"/>
          <w:lang w:val="fr-CA"/>
        </w:rPr>
      </w:pPr>
      <w:r>
        <w:rPr>
          <w:rFonts w:hint="eastAsia" w:ascii="宋体" w:hAnsi="宋体" w:cs="宋体"/>
          <w:sz w:val="28"/>
          <w:szCs w:val="28"/>
          <w:lang w:val="fr-CA"/>
        </w:rPr>
        <w:t>（6）争议解决方式</w:t>
      </w:r>
    </w:p>
    <w:p>
      <w:pPr>
        <w:spacing w:line="520" w:lineRule="exact"/>
        <w:ind w:firstLine="480"/>
        <w:rPr>
          <w:rFonts w:ascii="宋体" w:hAnsi="宋体" w:cs="宋体"/>
          <w:sz w:val="28"/>
          <w:szCs w:val="28"/>
          <w:lang w:val="fr-CA"/>
        </w:rPr>
      </w:pPr>
      <w:r>
        <w:rPr>
          <w:rFonts w:hint="eastAsia" w:ascii="宋体" w:hAnsi="宋体" w:cs="宋体"/>
          <w:sz w:val="28"/>
          <w:szCs w:val="28"/>
          <w:lang w:val="fr-CA"/>
        </w:rPr>
        <w:t>本协议引起的或与之有关的任何争议应提交给新加坡国际仲裁中心（SIAC），根据现行有效的新加坡国际仲裁中心仲裁规则（SIAC规则）通过仲裁最终解决。</w:t>
      </w:r>
    </w:p>
    <w:p>
      <w:pPr>
        <w:spacing w:line="520" w:lineRule="exact"/>
        <w:ind w:firstLine="480"/>
        <w:rPr>
          <w:rFonts w:ascii="宋体" w:hAnsi="宋体" w:cs="宋体"/>
          <w:sz w:val="28"/>
          <w:szCs w:val="28"/>
          <w:lang w:val="fr-CA"/>
        </w:rPr>
      </w:pPr>
      <w:r>
        <w:rPr>
          <w:rFonts w:hint="eastAsia" w:ascii="宋体" w:hAnsi="宋体" w:cs="宋体"/>
          <w:sz w:val="28"/>
          <w:szCs w:val="28"/>
          <w:lang w:val="fr-CA"/>
        </w:rPr>
        <w:t>（7）合同生效条件</w:t>
      </w:r>
    </w:p>
    <w:p>
      <w:pPr>
        <w:spacing w:line="520" w:lineRule="exact"/>
        <w:ind w:firstLine="480"/>
        <w:rPr>
          <w:rFonts w:ascii="宋体" w:hAnsi="宋体" w:cs="楷体_GB2312"/>
          <w:sz w:val="28"/>
          <w:szCs w:val="28"/>
          <w:lang w:val="fr-CA"/>
        </w:rPr>
      </w:pPr>
      <w:r>
        <w:rPr>
          <w:rFonts w:hint="eastAsia" w:ascii="宋体" w:hAnsi="宋体" w:cs="宋体"/>
          <w:sz w:val="28"/>
          <w:szCs w:val="28"/>
          <w:lang w:val="fr-CA"/>
        </w:rPr>
        <w:t>协议由各方签署后即生效。</w:t>
      </w:r>
    </w:p>
    <w:p>
      <w:pPr>
        <w:spacing w:line="520" w:lineRule="exact"/>
        <w:ind w:firstLine="480"/>
        <w:rPr>
          <w:rFonts w:ascii="宋体" w:hAnsi="宋体" w:cs="楷体_GB2312"/>
          <w:b/>
          <w:bCs/>
          <w:sz w:val="28"/>
          <w:szCs w:val="28"/>
        </w:rPr>
      </w:pPr>
      <w:r>
        <w:rPr>
          <w:rFonts w:hint="eastAsia" w:ascii="宋体" w:hAnsi="宋体" w:cs="楷体_GB2312"/>
          <w:b/>
          <w:bCs/>
          <w:sz w:val="28"/>
          <w:szCs w:val="28"/>
        </w:rPr>
        <w:t>2.兖矿能源认购先决条件</w:t>
      </w:r>
    </w:p>
    <w:p>
      <w:pPr>
        <w:spacing w:line="520" w:lineRule="exact"/>
        <w:ind w:firstLine="420"/>
        <w:rPr>
          <w:rFonts w:ascii="宋体" w:hAnsi="宋体" w:cs="楷体_GB2312"/>
          <w:sz w:val="28"/>
          <w:szCs w:val="28"/>
        </w:rPr>
      </w:pPr>
      <w:r>
        <w:rPr>
          <w:rFonts w:hint="eastAsia" w:ascii="宋体" w:hAnsi="宋体" w:cs="宋体"/>
          <w:sz w:val="28"/>
          <w:szCs w:val="28"/>
        </w:rPr>
        <w:t>换股交易与现金认股交易同时交割</w:t>
      </w:r>
      <w:r>
        <w:rPr>
          <w:rFonts w:hint="eastAsia" w:ascii="宋体" w:hAnsi="宋体" w:cs="楷体_GB2312"/>
          <w:sz w:val="28"/>
          <w:szCs w:val="28"/>
        </w:rPr>
        <w:t>。</w:t>
      </w:r>
    </w:p>
    <w:bookmarkEnd w:id="5"/>
    <w:p>
      <w:pPr>
        <w:spacing w:line="520" w:lineRule="exact"/>
        <w:ind w:firstLine="480"/>
        <w:rPr>
          <w:rFonts w:ascii="黑体" w:hAnsi="黑体" w:eastAsia="黑体" w:cs="黑体"/>
          <w:bCs/>
          <w:sz w:val="28"/>
          <w:szCs w:val="28"/>
        </w:rPr>
      </w:pPr>
      <w:r>
        <w:rPr>
          <w:rFonts w:hint="eastAsia" w:ascii="黑体" w:hAnsi="黑体" w:eastAsia="黑体" w:cs="黑体"/>
          <w:bCs/>
          <w:sz w:val="28"/>
          <w:szCs w:val="28"/>
        </w:rPr>
        <w:t>四、本次交易对公司的影响</w:t>
      </w:r>
    </w:p>
    <w:p>
      <w:pPr>
        <w:spacing w:line="520" w:lineRule="exact"/>
        <w:ind w:firstLine="480"/>
        <w:rPr>
          <w:rFonts w:ascii="楷体_GB2312" w:hAnsi="宋体" w:eastAsia="楷体_GB2312" w:cs="楷体_GB2312"/>
          <w:b/>
          <w:bCs/>
          <w:sz w:val="28"/>
          <w:szCs w:val="28"/>
        </w:rPr>
      </w:pPr>
      <w:bookmarkStart w:id="7" w:name="_Hlk174008635"/>
      <w:r>
        <w:rPr>
          <w:rFonts w:hint="eastAsia" w:ascii="宋体" w:hAnsi="宋体" w:cs="楷体_GB2312"/>
          <w:sz w:val="28"/>
          <w:szCs w:val="28"/>
        </w:rPr>
        <w:t>本次交易的资金来源为公司自有资金，不会对公司财务状况和经营状况产生重大影响，不存在损害公司及中小股东利益的情形。公司不会因本次交易新增关联交易、与公司的关联人产生同业竞争、形成新的对外担保或非经营性资金占用。</w:t>
      </w:r>
    </w:p>
    <w:p>
      <w:pPr>
        <w:spacing w:line="520" w:lineRule="exact"/>
        <w:ind w:firstLine="480"/>
        <w:rPr>
          <w:rFonts w:ascii="楷体_GB2312" w:hAnsi="宋体" w:eastAsia="楷体_GB2312" w:cs="楷体_GB2312"/>
          <w:b/>
          <w:bCs/>
          <w:sz w:val="28"/>
          <w:szCs w:val="28"/>
        </w:rPr>
      </w:pPr>
      <w:r>
        <w:rPr>
          <w:rFonts w:hint="eastAsia" w:ascii="楷体_GB2312" w:hAnsi="宋体" w:eastAsia="楷体_GB2312" w:cs="楷体_GB2312"/>
          <w:b/>
          <w:bCs/>
          <w:sz w:val="28"/>
          <w:szCs w:val="28"/>
        </w:rPr>
        <w:t>（一）提升兖矿能源收入水平，打造矿业业务利润增长极</w:t>
      </w:r>
    </w:p>
    <w:p>
      <w:pPr>
        <w:spacing w:line="520" w:lineRule="exact"/>
        <w:ind w:firstLine="480"/>
        <w:rPr>
          <w:rFonts w:ascii="宋体" w:hAnsi="宋体" w:cs="宋体"/>
          <w:sz w:val="28"/>
          <w:szCs w:val="28"/>
        </w:rPr>
      </w:pPr>
      <w:r>
        <w:rPr>
          <w:rFonts w:hint="eastAsia" w:ascii="宋体" w:hAnsi="宋体" w:cs="宋体"/>
          <w:sz w:val="28"/>
          <w:szCs w:val="28"/>
        </w:rPr>
        <w:t>通过本次交易，兖矿能源能够获取西班牙的优质钾矿资源并与已有的索西项目形成协同，</w:t>
      </w:r>
      <w:r>
        <w:rPr>
          <w:rFonts w:ascii="宋体" w:hAnsi="宋体" w:cs="宋体"/>
          <w:sz w:val="28"/>
          <w:szCs w:val="28"/>
        </w:rPr>
        <w:t>Muga</w:t>
      </w:r>
      <w:r>
        <w:rPr>
          <w:rFonts w:hint="eastAsia" w:ascii="宋体" w:hAnsi="宋体" w:cs="宋体"/>
          <w:sz w:val="28"/>
          <w:szCs w:val="28"/>
        </w:rPr>
        <w:t>项目和索西项目建成后将大幅提升公司的钾矿产能以及钾矿业务板块的收入水平，打造矿业业务利润增长极。</w:t>
      </w:r>
    </w:p>
    <w:p>
      <w:pPr>
        <w:spacing w:line="520" w:lineRule="exact"/>
        <w:ind w:firstLine="480"/>
        <w:rPr>
          <w:rFonts w:ascii="楷体_GB2312" w:hAnsi="宋体" w:eastAsia="楷体_GB2312" w:cs="楷体_GB2312"/>
          <w:b/>
          <w:bCs/>
          <w:sz w:val="28"/>
          <w:szCs w:val="28"/>
        </w:rPr>
      </w:pPr>
      <w:r>
        <w:rPr>
          <w:rFonts w:hint="eastAsia" w:ascii="楷体_GB2312" w:hAnsi="宋体" w:eastAsia="楷体_GB2312" w:cs="楷体_GB2312"/>
          <w:b/>
          <w:bCs/>
          <w:sz w:val="28"/>
          <w:szCs w:val="28"/>
        </w:rPr>
        <w:t>（二）与兖煤加拿大索西项目协同，实现公司资产的保值增值</w:t>
      </w:r>
    </w:p>
    <w:p>
      <w:pPr>
        <w:spacing w:line="520" w:lineRule="exact"/>
        <w:ind w:firstLine="480"/>
        <w:rPr>
          <w:rFonts w:ascii="宋体" w:hAnsi="宋体" w:cs="宋体"/>
          <w:sz w:val="28"/>
          <w:szCs w:val="28"/>
        </w:rPr>
      </w:pPr>
      <w:r>
        <w:rPr>
          <w:rFonts w:hint="eastAsia" w:ascii="宋体" w:hAnsi="宋体" w:cs="宋体"/>
          <w:sz w:val="28"/>
          <w:szCs w:val="28"/>
        </w:rPr>
        <w:t>本次交易能够为索西项目引入高地资源优秀团队，在技术、管理、资源等方面与公司协同共享，促进索西项目提高项目开发、运营效率。此外，Muga项目经营现金流以及高地资源的股权融资渠道，能为后续索西项目投资建设提供有效的资金补充，推进索西项目未来达产达效、提升资产价值，有利于实现公司资产的保值增值。</w:t>
      </w:r>
    </w:p>
    <w:p>
      <w:pPr>
        <w:spacing w:line="520" w:lineRule="exact"/>
        <w:ind w:firstLine="480"/>
        <w:rPr>
          <w:rFonts w:ascii="楷体_GB2312" w:hAnsi="宋体" w:eastAsia="楷体_GB2312" w:cs="楷体_GB2312"/>
          <w:b/>
          <w:bCs/>
          <w:sz w:val="28"/>
          <w:szCs w:val="28"/>
        </w:rPr>
      </w:pPr>
      <w:r>
        <w:rPr>
          <w:rFonts w:hint="eastAsia" w:ascii="楷体_GB2312" w:hAnsi="宋体" w:eastAsia="楷体_GB2312" w:cs="楷体_GB2312"/>
          <w:b/>
          <w:bCs/>
          <w:sz w:val="28"/>
          <w:szCs w:val="28"/>
        </w:rPr>
        <w:t>（三）开发运营境外钾矿资源，做优做强公司矿业业务</w:t>
      </w:r>
    </w:p>
    <w:p>
      <w:pPr>
        <w:spacing w:line="520" w:lineRule="exact"/>
        <w:ind w:firstLine="480"/>
        <w:rPr>
          <w:rFonts w:ascii="宋体" w:hAnsi="宋体" w:cs="宋体"/>
          <w:sz w:val="28"/>
          <w:szCs w:val="28"/>
        </w:rPr>
      </w:pPr>
      <w:r>
        <w:rPr>
          <w:rFonts w:hint="eastAsia" w:ascii="宋体" w:hAnsi="宋体" w:cs="宋体"/>
          <w:sz w:val="28"/>
          <w:szCs w:val="28"/>
        </w:rPr>
        <w:t>本次交易后，兖矿能源将通过高地资源持有</w:t>
      </w:r>
      <w:r>
        <w:rPr>
          <w:rFonts w:ascii="宋体" w:hAnsi="宋体" w:cs="宋体"/>
          <w:sz w:val="28"/>
          <w:szCs w:val="28"/>
        </w:rPr>
        <w:t>Muga</w:t>
      </w:r>
      <w:r>
        <w:rPr>
          <w:rFonts w:hint="eastAsia" w:ascii="宋体" w:hAnsi="宋体" w:cs="宋体"/>
          <w:sz w:val="28"/>
          <w:szCs w:val="28"/>
        </w:rPr>
        <w:t>项目、索西项目以及其他多个待开发储备项目。</w:t>
      </w:r>
      <w:r>
        <w:rPr>
          <w:rFonts w:ascii="宋体" w:hAnsi="宋体" w:cs="宋体"/>
          <w:sz w:val="28"/>
          <w:szCs w:val="28"/>
        </w:rPr>
        <w:t>Muga</w:t>
      </w:r>
      <w:r>
        <w:rPr>
          <w:rFonts w:hint="eastAsia" w:ascii="宋体" w:hAnsi="宋体" w:cs="宋体"/>
          <w:sz w:val="28"/>
          <w:szCs w:val="28"/>
        </w:rPr>
        <w:t>项目和索西项目建设完成后，兖矿能源将通过控股高地资源拥有年产</w:t>
      </w:r>
      <w:r>
        <w:rPr>
          <w:rFonts w:ascii="宋体" w:hAnsi="宋体" w:cs="宋体"/>
          <w:sz w:val="28"/>
          <w:szCs w:val="28"/>
        </w:rPr>
        <w:t>38</w:t>
      </w:r>
      <w:r>
        <w:rPr>
          <w:rFonts w:hint="eastAsia" w:ascii="宋体" w:hAnsi="宋体" w:cs="宋体"/>
          <w:sz w:val="28"/>
          <w:szCs w:val="28"/>
        </w:rPr>
        <w:t>0万吨钾盐产能，由单一煤炭开采向多矿种开发转型，践行了做优做强矿业的公司战略。</w:t>
      </w:r>
      <w:bookmarkEnd w:id="7"/>
    </w:p>
    <w:p>
      <w:pPr>
        <w:spacing w:line="520" w:lineRule="exact"/>
        <w:ind w:firstLine="480"/>
        <w:rPr>
          <w:rFonts w:ascii="宋体" w:hAnsi="宋体" w:cs="宋体"/>
          <w:b/>
          <w:sz w:val="28"/>
          <w:szCs w:val="28"/>
        </w:rPr>
      </w:pPr>
      <w:r>
        <w:rPr>
          <w:rFonts w:hint="eastAsia" w:ascii="宋体" w:hAnsi="宋体" w:cs="宋体"/>
          <w:b/>
          <w:sz w:val="28"/>
          <w:szCs w:val="28"/>
        </w:rPr>
        <w:t>五、本次交易的风险提示</w:t>
      </w:r>
    </w:p>
    <w:p>
      <w:pPr>
        <w:spacing w:line="520" w:lineRule="exact"/>
        <w:ind w:firstLine="480"/>
        <w:rPr>
          <w:rFonts w:ascii="宋体" w:hAnsi="宋体" w:cs="宋体"/>
          <w:sz w:val="28"/>
          <w:szCs w:val="28"/>
        </w:rPr>
      </w:pPr>
      <w:r>
        <w:rPr>
          <w:rFonts w:hint="eastAsia" w:ascii="宋体" w:hAnsi="宋体" w:cs="宋体"/>
          <w:sz w:val="28"/>
          <w:szCs w:val="28"/>
        </w:rPr>
        <w:t>本次交易存在如下风险，具有较强的不确定性，敬请广大投资者注意投资风险。</w:t>
      </w:r>
    </w:p>
    <w:p>
      <w:pPr>
        <w:spacing w:line="520" w:lineRule="exact"/>
        <w:ind w:firstLine="480"/>
        <w:rPr>
          <w:rFonts w:ascii="楷体_GB2312" w:hAnsi="宋体" w:eastAsia="楷体_GB2312" w:cs="楷体_GB2312"/>
          <w:b/>
          <w:bCs/>
          <w:sz w:val="28"/>
          <w:szCs w:val="28"/>
        </w:rPr>
      </w:pPr>
      <w:r>
        <w:rPr>
          <w:rFonts w:hint="eastAsia" w:ascii="楷体_GB2312" w:hAnsi="宋体" w:eastAsia="楷体_GB2312" w:cs="楷体_GB2312"/>
          <w:b/>
          <w:bCs/>
          <w:sz w:val="28"/>
          <w:szCs w:val="28"/>
        </w:rPr>
        <w:t>（一）审批风险</w:t>
      </w:r>
    </w:p>
    <w:p>
      <w:pPr>
        <w:spacing w:line="520" w:lineRule="exact"/>
        <w:ind w:firstLine="480"/>
        <w:rPr>
          <w:rFonts w:ascii="宋体" w:hAnsi="宋体" w:cs="宋体"/>
          <w:sz w:val="28"/>
          <w:szCs w:val="28"/>
        </w:rPr>
      </w:pPr>
      <w:r>
        <w:rPr>
          <w:rFonts w:hint="eastAsia" w:ascii="宋体" w:hAnsi="宋体" w:cs="宋体"/>
          <w:sz w:val="28"/>
          <w:szCs w:val="28"/>
        </w:rPr>
        <w:t>本次交易需取得山东省国资委的批准、国家或山东省发改委的境外直接投资备案、山东省商务厅的境外直接投资备案，办理相应外汇登记；通过澳大利亚、加拿大、西班牙的外商投资审查；高地资源股东大会批准等，存在较大的审批风险。</w:t>
      </w:r>
    </w:p>
    <w:p>
      <w:pPr>
        <w:spacing w:line="520" w:lineRule="exact"/>
        <w:ind w:firstLine="480"/>
        <w:rPr>
          <w:rFonts w:ascii="宋体" w:hAnsi="宋体" w:cs="宋体"/>
          <w:sz w:val="28"/>
          <w:szCs w:val="28"/>
        </w:rPr>
      </w:pPr>
      <w:r>
        <w:rPr>
          <w:rFonts w:hint="eastAsia" w:ascii="宋体" w:hAnsi="宋体" w:cs="宋体"/>
          <w:sz w:val="28"/>
          <w:szCs w:val="28"/>
        </w:rPr>
        <w:t>公司将积极推进相关审批进程，与相关部门积极沟通以推进完成相关审批或备案手续。</w:t>
      </w:r>
    </w:p>
    <w:p>
      <w:pPr>
        <w:spacing w:line="520" w:lineRule="exact"/>
        <w:ind w:firstLine="480"/>
        <w:rPr>
          <w:rFonts w:ascii="楷体_GB2312" w:hAnsi="宋体" w:eastAsia="楷体_GB2312" w:cs="楷体_GB2312"/>
          <w:b/>
          <w:bCs/>
          <w:sz w:val="28"/>
          <w:szCs w:val="28"/>
        </w:rPr>
      </w:pPr>
      <w:r>
        <w:rPr>
          <w:rFonts w:hint="eastAsia" w:ascii="楷体_GB2312" w:hAnsi="宋体" w:eastAsia="楷体_GB2312" w:cs="楷体_GB2312"/>
          <w:b/>
          <w:bCs/>
          <w:sz w:val="28"/>
          <w:szCs w:val="28"/>
        </w:rPr>
        <w:t>（二）无法交割的风险</w:t>
      </w:r>
    </w:p>
    <w:p>
      <w:pPr>
        <w:spacing w:line="520" w:lineRule="exact"/>
        <w:ind w:firstLine="480"/>
        <w:rPr>
          <w:rFonts w:ascii="宋体" w:hAnsi="宋体" w:cs="宋体"/>
          <w:sz w:val="28"/>
          <w:szCs w:val="28"/>
        </w:rPr>
      </w:pPr>
      <w:r>
        <w:rPr>
          <w:rFonts w:hint="eastAsia" w:ascii="宋体" w:hAnsi="宋体" w:cs="宋体"/>
          <w:sz w:val="28"/>
          <w:szCs w:val="28"/>
        </w:rPr>
        <w:t>本次交易设置有一系列交割条件，具体请见本公告“三、本次交易协议的主要内容/2.主要交割条件”。本次交易后续能否及何时能够满足交割条件存在不确定性。</w:t>
      </w:r>
    </w:p>
    <w:p>
      <w:pPr>
        <w:spacing w:line="520" w:lineRule="exact"/>
        <w:ind w:firstLine="480"/>
        <w:rPr>
          <w:rFonts w:ascii="宋体" w:hAnsi="宋体" w:cs="宋体"/>
          <w:sz w:val="28"/>
          <w:szCs w:val="28"/>
        </w:rPr>
      </w:pPr>
      <w:r>
        <w:rPr>
          <w:rFonts w:hint="eastAsia" w:ascii="宋体" w:hAnsi="宋体" w:cs="宋体"/>
          <w:sz w:val="28"/>
          <w:szCs w:val="28"/>
        </w:rPr>
        <w:t>公司将密切跟进交割条件的满足情况，在全部交割条件满足后稳妥推进交割工作。</w:t>
      </w:r>
    </w:p>
    <w:p>
      <w:pPr>
        <w:spacing w:line="520" w:lineRule="exact"/>
        <w:ind w:firstLine="480"/>
        <w:rPr>
          <w:rFonts w:ascii="楷体_GB2312" w:hAnsi="宋体" w:eastAsia="楷体_GB2312" w:cs="楷体_GB2312"/>
          <w:b/>
          <w:bCs/>
          <w:sz w:val="28"/>
          <w:szCs w:val="28"/>
        </w:rPr>
      </w:pPr>
      <w:r>
        <w:rPr>
          <w:rFonts w:hint="eastAsia" w:ascii="楷体_GB2312" w:hAnsi="宋体" w:eastAsia="楷体_GB2312" w:cs="楷体_GB2312"/>
          <w:b/>
          <w:bCs/>
          <w:sz w:val="28"/>
          <w:szCs w:val="28"/>
        </w:rPr>
        <w:t>（三）业务整合风险</w:t>
      </w:r>
    </w:p>
    <w:p>
      <w:pPr>
        <w:spacing w:line="520" w:lineRule="exact"/>
        <w:ind w:firstLine="480"/>
        <w:rPr>
          <w:rFonts w:ascii="宋体" w:hAnsi="宋体" w:cs="宋体"/>
          <w:sz w:val="28"/>
          <w:szCs w:val="28"/>
        </w:rPr>
      </w:pPr>
      <w:r>
        <w:rPr>
          <w:rFonts w:hint="eastAsia" w:ascii="宋体" w:hAnsi="宋体" w:cs="宋体"/>
          <w:sz w:val="28"/>
          <w:szCs w:val="28"/>
        </w:rPr>
        <w:t>公司面临较高的资产整合及跨境多地管理风险。若整合计划执行效果不佳、高地资源未能及时适应公司管理体系，则可能对公司造成不利影响。</w:t>
      </w:r>
    </w:p>
    <w:p>
      <w:pPr>
        <w:spacing w:line="520" w:lineRule="exact"/>
        <w:ind w:firstLine="480"/>
        <w:rPr>
          <w:rFonts w:ascii="宋体" w:hAnsi="宋体" w:cs="宋体"/>
          <w:sz w:val="28"/>
          <w:szCs w:val="28"/>
        </w:rPr>
      </w:pPr>
      <w:r>
        <w:rPr>
          <w:rFonts w:hint="eastAsia" w:ascii="宋体" w:hAnsi="宋体" w:cs="宋体"/>
          <w:sz w:val="28"/>
          <w:szCs w:val="28"/>
        </w:rPr>
        <w:t>本次交易完成后，公司将及时建立起相适应的管理架构并配备相关人员，积极稳健推进与高地资源的整合工作。</w:t>
      </w:r>
    </w:p>
    <w:p>
      <w:pPr>
        <w:spacing w:line="520" w:lineRule="exact"/>
        <w:ind w:firstLine="480"/>
        <w:rPr>
          <w:rFonts w:ascii="楷体_GB2312" w:hAnsi="宋体" w:eastAsia="楷体_GB2312" w:cs="楷体_GB2312"/>
          <w:b/>
          <w:bCs/>
          <w:sz w:val="28"/>
          <w:szCs w:val="28"/>
        </w:rPr>
      </w:pPr>
      <w:r>
        <w:rPr>
          <w:rFonts w:hint="eastAsia" w:ascii="楷体_GB2312" w:hAnsi="宋体" w:eastAsia="楷体_GB2312" w:cs="楷体_GB2312"/>
          <w:b/>
          <w:bCs/>
          <w:sz w:val="28"/>
          <w:szCs w:val="28"/>
        </w:rPr>
        <w:t>（四）项目效益风险</w:t>
      </w:r>
    </w:p>
    <w:p>
      <w:pPr>
        <w:spacing w:line="520" w:lineRule="exact"/>
        <w:ind w:firstLine="480"/>
        <w:rPr>
          <w:rFonts w:ascii="宋体" w:hAnsi="宋体" w:cs="宋体"/>
          <w:sz w:val="28"/>
          <w:szCs w:val="28"/>
        </w:rPr>
      </w:pPr>
      <w:r>
        <w:rPr>
          <w:rFonts w:hint="eastAsia" w:ascii="宋体" w:hAnsi="宋体" w:cs="宋体"/>
          <w:sz w:val="28"/>
          <w:szCs w:val="28"/>
        </w:rPr>
        <w:t>Muga项目前期投入较大且需要一定的建设期，且主要产品为钾肥，钾肥售价与国际市场价格挂钩，受到全球宏观政治经济等多种因素（如通货膨胀、汇率、农产品价格、政治局势）的影响而不断波动，存在可能无法达到目前预测的经济效益的风险。</w:t>
      </w:r>
    </w:p>
    <w:p>
      <w:pPr>
        <w:spacing w:line="520" w:lineRule="exact"/>
        <w:ind w:firstLine="480"/>
        <w:rPr>
          <w:rFonts w:ascii="宋体" w:hAnsi="宋体" w:cs="宋体"/>
          <w:sz w:val="28"/>
          <w:szCs w:val="28"/>
        </w:rPr>
      </w:pPr>
      <w:r>
        <w:rPr>
          <w:rFonts w:hint="eastAsia" w:ascii="宋体" w:hAnsi="宋体" w:cs="宋体"/>
          <w:sz w:val="28"/>
          <w:szCs w:val="28"/>
        </w:rPr>
        <w:t>本次交易完成后，公司将积极推进钾矿项目的生产协同，尽快推进Muga项目投产，同时积极开拓国内和国际市场，密切关注市场变化并灵活调整生产经营策略。</w:t>
      </w:r>
    </w:p>
    <w:p>
      <w:pPr>
        <w:spacing w:line="520" w:lineRule="exact"/>
        <w:ind w:firstLine="480"/>
        <w:rPr>
          <w:rFonts w:ascii="宋体" w:hAnsi="宋体" w:cs="宋体"/>
          <w:b/>
          <w:sz w:val="28"/>
          <w:szCs w:val="28"/>
        </w:rPr>
      </w:pPr>
      <w:r>
        <w:rPr>
          <w:rFonts w:hint="eastAsia" w:ascii="宋体" w:hAnsi="宋体" w:cs="宋体"/>
          <w:b/>
          <w:sz w:val="28"/>
          <w:szCs w:val="28"/>
        </w:rPr>
        <w:t>六、备查文件</w:t>
      </w:r>
    </w:p>
    <w:p>
      <w:pPr>
        <w:spacing w:line="520" w:lineRule="exact"/>
        <w:ind w:firstLine="480"/>
        <w:rPr>
          <w:rFonts w:ascii="宋体" w:hAnsi="宋体" w:cs="宋体"/>
          <w:sz w:val="28"/>
          <w:szCs w:val="28"/>
        </w:rPr>
      </w:pPr>
      <w:r>
        <w:rPr>
          <w:rFonts w:hint="eastAsia" w:ascii="宋体" w:hAnsi="宋体" w:cs="宋体"/>
          <w:sz w:val="28"/>
          <w:szCs w:val="28"/>
        </w:rPr>
        <w:t>（一）《实施协议》《股份认购协议》</w:t>
      </w:r>
    </w:p>
    <w:p>
      <w:pPr>
        <w:spacing w:line="520" w:lineRule="exact"/>
        <w:ind w:firstLine="480"/>
        <w:rPr>
          <w:rFonts w:ascii="宋体" w:hAnsi="宋体" w:cs="宋体"/>
          <w:sz w:val="28"/>
          <w:szCs w:val="28"/>
        </w:rPr>
      </w:pPr>
      <w:r>
        <w:rPr>
          <w:rFonts w:hint="eastAsia" w:ascii="宋体" w:hAnsi="宋体" w:cs="宋体"/>
          <w:sz w:val="28"/>
          <w:szCs w:val="28"/>
        </w:rPr>
        <w:t>（二）《高地资源有限公司审计报告》</w:t>
      </w:r>
    </w:p>
    <w:p>
      <w:pPr>
        <w:spacing w:line="520" w:lineRule="exact"/>
        <w:ind w:firstLine="480"/>
        <w:rPr>
          <w:rFonts w:ascii="宋体" w:hAnsi="宋体" w:cs="宋体"/>
          <w:sz w:val="28"/>
          <w:szCs w:val="28"/>
        </w:rPr>
      </w:pPr>
      <w:r>
        <w:rPr>
          <w:rFonts w:hint="eastAsia" w:ascii="宋体" w:hAnsi="宋体" w:cs="宋体"/>
          <w:sz w:val="28"/>
          <w:szCs w:val="28"/>
        </w:rPr>
        <w:t>（三）《兖煤加拿大资源有限公司审计报告》</w:t>
      </w:r>
    </w:p>
    <w:p>
      <w:pPr>
        <w:spacing w:line="520" w:lineRule="exact"/>
        <w:ind w:firstLine="480"/>
        <w:rPr>
          <w:rFonts w:ascii="宋体" w:hAnsi="宋体" w:cs="宋体"/>
          <w:sz w:val="28"/>
          <w:szCs w:val="28"/>
        </w:rPr>
      </w:pPr>
      <w:r>
        <w:rPr>
          <w:rFonts w:hint="eastAsia" w:ascii="宋体" w:hAnsi="宋体" w:cs="宋体"/>
          <w:sz w:val="28"/>
          <w:szCs w:val="28"/>
        </w:rPr>
        <w:t>（四）《兖矿能源集团股份有限公司拟对高地资源上市公司增资所涉及兖煤加拿大资源有限公司股东全部权益项目资产评估报告》</w:t>
      </w:r>
    </w:p>
    <w:p>
      <w:pPr>
        <w:spacing w:line="520" w:lineRule="exact"/>
        <w:rPr>
          <w:rFonts w:ascii="宋体" w:hAnsi="宋体" w:cs="宋体"/>
          <w:sz w:val="28"/>
          <w:szCs w:val="28"/>
        </w:rPr>
      </w:pPr>
    </w:p>
    <w:p>
      <w:pPr>
        <w:spacing w:line="520" w:lineRule="exact"/>
        <w:ind w:firstLine="480"/>
        <w:rPr>
          <w:rFonts w:ascii="宋体" w:hAnsi="宋体" w:cs="宋体"/>
          <w:sz w:val="28"/>
          <w:szCs w:val="28"/>
        </w:rPr>
      </w:pPr>
      <w:r>
        <w:rPr>
          <w:rFonts w:hint="eastAsia" w:ascii="宋体" w:hAnsi="宋体" w:cs="宋体"/>
          <w:sz w:val="28"/>
          <w:szCs w:val="28"/>
        </w:rPr>
        <w:t>特此公告。</w:t>
      </w:r>
    </w:p>
    <w:p>
      <w:pPr>
        <w:spacing w:line="520" w:lineRule="exact"/>
        <w:ind w:firstLine="480"/>
        <w:rPr>
          <w:rFonts w:ascii="宋体" w:hAnsi="宋体" w:cs="宋体"/>
          <w:sz w:val="28"/>
          <w:szCs w:val="28"/>
        </w:rPr>
      </w:pPr>
    </w:p>
    <w:p>
      <w:pPr>
        <w:spacing w:line="520" w:lineRule="exact"/>
        <w:ind w:firstLine="480"/>
        <w:rPr>
          <w:rFonts w:ascii="宋体" w:hAnsi="宋体" w:cs="宋体"/>
          <w:sz w:val="28"/>
          <w:szCs w:val="28"/>
        </w:rPr>
      </w:pPr>
    </w:p>
    <w:p>
      <w:pPr>
        <w:spacing w:line="520" w:lineRule="exact"/>
        <w:ind w:firstLine="480"/>
        <w:jc w:val="right"/>
        <w:rPr>
          <w:rFonts w:ascii="宋体" w:hAnsi="宋体" w:cs="宋体"/>
          <w:sz w:val="28"/>
          <w:szCs w:val="28"/>
        </w:rPr>
      </w:pPr>
      <w:r>
        <w:rPr>
          <w:rFonts w:hint="eastAsia" w:ascii="宋体" w:hAnsi="宋体" w:cs="宋体"/>
          <w:sz w:val="28"/>
          <w:szCs w:val="28"/>
        </w:rPr>
        <w:t>兖矿能源集团股份有限公司董事会</w:t>
      </w:r>
    </w:p>
    <w:p>
      <w:pPr>
        <w:spacing w:line="520" w:lineRule="exact"/>
        <w:ind w:firstLine="480"/>
        <w:jc w:val="right"/>
        <w:rPr>
          <w:rFonts w:ascii="宋体" w:hAnsi="宋体" w:cs="宋体"/>
          <w:sz w:val="28"/>
          <w:szCs w:val="28"/>
        </w:rPr>
      </w:pPr>
      <w:r>
        <w:rPr>
          <w:rFonts w:ascii="宋体" w:hAnsi="宋体" w:cs="宋体"/>
          <w:sz w:val="28"/>
          <w:szCs w:val="28"/>
        </w:rPr>
        <w:t>2024</w:t>
      </w:r>
      <w:r>
        <w:rPr>
          <w:rFonts w:hint="eastAsia" w:ascii="宋体" w:hAnsi="宋体" w:cs="宋体"/>
          <w:sz w:val="28"/>
          <w:szCs w:val="28"/>
        </w:rPr>
        <w:t>年9月23日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85902020"/>
    </w:sdtPr>
    <w:sdtEndPr>
      <w:rPr>
        <w:rFonts w:ascii="Times New Roman" w:hAnsi="Times New Roman"/>
      </w:rPr>
    </w:sdtEndPr>
    <w:sdtContent>
      <w:p>
        <w:pPr>
          <w:pStyle w:val="5"/>
          <w:jc w:val="center"/>
          <w:rPr>
            <w:rFonts w:ascii="Times New Roman" w:hAnsi="Times New Roman"/>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3</w:t>
        </w:r>
        <w:r>
          <w:rPr>
            <w:rFonts w:ascii="Times New Roman" w:hAnsi="Times New Roman"/>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6C137C"/>
    <w:multiLevelType w:val="multilevel"/>
    <w:tmpl w:val="0A6C137C"/>
    <w:lvl w:ilvl="0" w:tentative="0">
      <w:start w:val="1"/>
      <w:numFmt w:val="bullet"/>
      <w:lvlText w:val=""/>
      <w:lvlJc w:val="left"/>
      <w:pPr>
        <w:ind w:left="902" w:hanging="420"/>
      </w:pPr>
      <w:rPr>
        <w:rFonts w:hint="default" w:ascii="Wingdings" w:hAnsi="Wingdings"/>
      </w:rPr>
    </w:lvl>
    <w:lvl w:ilvl="1" w:tentative="0">
      <w:start w:val="1"/>
      <w:numFmt w:val="bullet"/>
      <w:lvlText w:val=""/>
      <w:lvlJc w:val="left"/>
      <w:pPr>
        <w:ind w:left="1322" w:hanging="420"/>
      </w:pPr>
      <w:rPr>
        <w:rFonts w:hint="default" w:ascii="Wingdings" w:hAnsi="Wingdings"/>
      </w:rPr>
    </w:lvl>
    <w:lvl w:ilvl="2" w:tentative="0">
      <w:start w:val="1"/>
      <w:numFmt w:val="bullet"/>
      <w:lvlText w:val=""/>
      <w:lvlJc w:val="left"/>
      <w:pPr>
        <w:ind w:left="1742" w:hanging="420"/>
      </w:pPr>
      <w:rPr>
        <w:rFonts w:hint="default" w:ascii="Wingdings" w:hAnsi="Wingdings"/>
      </w:rPr>
    </w:lvl>
    <w:lvl w:ilvl="3" w:tentative="0">
      <w:start w:val="1"/>
      <w:numFmt w:val="bullet"/>
      <w:lvlText w:val=""/>
      <w:lvlJc w:val="left"/>
      <w:pPr>
        <w:ind w:left="2162" w:hanging="420"/>
      </w:pPr>
      <w:rPr>
        <w:rFonts w:hint="default" w:ascii="Wingdings" w:hAnsi="Wingdings"/>
      </w:rPr>
    </w:lvl>
    <w:lvl w:ilvl="4" w:tentative="0">
      <w:start w:val="1"/>
      <w:numFmt w:val="bullet"/>
      <w:lvlText w:val=""/>
      <w:lvlJc w:val="left"/>
      <w:pPr>
        <w:ind w:left="2582" w:hanging="420"/>
      </w:pPr>
      <w:rPr>
        <w:rFonts w:hint="default" w:ascii="Wingdings" w:hAnsi="Wingdings"/>
      </w:rPr>
    </w:lvl>
    <w:lvl w:ilvl="5" w:tentative="0">
      <w:start w:val="1"/>
      <w:numFmt w:val="bullet"/>
      <w:lvlText w:val=""/>
      <w:lvlJc w:val="left"/>
      <w:pPr>
        <w:ind w:left="3002" w:hanging="420"/>
      </w:pPr>
      <w:rPr>
        <w:rFonts w:hint="default" w:ascii="Wingdings" w:hAnsi="Wingdings"/>
      </w:rPr>
    </w:lvl>
    <w:lvl w:ilvl="6" w:tentative="0">
      <w:start w:val="1"/>
      <w:numFmt w:val="bullet"/>
      <w:lvlText w:val=""/>
      <w:lvlJc w:val="left"/>
      <w:pPr>
        <w:ind w:left="3422" w:hanging="420"/>
      </w:pPr>
      <w:rPr>
        <w:rFonts w:hint="default" w:ascii="Wingdings" w:hAnsi="Wingdings"/>
      </w:rPr>
    </w:lvl>
    <w:lvl w:ilvl="7" w:tentative="0">
      <w:start w:val="1"/>
      <w:numFmt w:val="bullet"/>
      <w:lvlText w:val=""/>
      <w:lvlJc w:val="left"/>
      <w:pPr>
        <w:ind w:left="3842" w:hanging="420"/>
      </w:pPr>
      <w:rPr>
        <w:rFonts w:hint="default" w:ascii="Wingdings" w:hAnsi="Wingdings"/>
      </w:rPr>
    </w:lvl>
    <w:lvl w:ilvl="8" w:tentative="0">
      <w:start w:val="1"/>
      <w:numFmt w:val="bullet"/>
      <w:lvlText w:val=""/>
      <w:lvlJc w:val="left"/>
      <w:pPr>
        <w:ind w:left="4262"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A2YTg5MDk0Mjk5ZjM5MzI5MzhmZDQ4MDkzOTQzMWQifQ=="/>
    <w:docVar w:name="KSO_WPS_MARK_KEY" w:val="0149ca74-3e6a-4ef7-907f-d23a373e5600"/>
    <w:docVar w:name="OfficeIni" w:val="Shanghai - ENGLISH.ini"/>
  </w:docVars>
  <w:rsids>
    <w:rsidRoot w:val="00027DDB"/>
    <w:rsid w:val="00000B0C"/>
    <w:rsid w:val="00005BC7"/>
    <w:rsid w:val="00007598"/>
    <w:rsid w:val="0001102C"/>
    <w:rsid w:val="000147BF"/>
    <w:rsid w:val="00016085"/>
    <w:rsid w:val="00022EB6"/>
    <w:rsid w:val="00023532"/>
    <w:rsid w:val="000278B8"/>
    <w:rsid w:val="00027DDB"/>
    <w:rsid w:val="000369B0"/>
    <w:rsid w:val="00040CA4"/>
    <w:rsid w:val="0004267D"/>
    <w:rsid w:val="000563D5"/>
    <w:rsid w:val="00056695"/>
    <w:rsid w:val="000574EB"/>
    <w:rsid w:val="00061F7A"/>
    <w:rsid w:val="000652F2"/>
    <w:rsid w:val="000720AF"/>
    <w:rsid w:val="00080264"/>
    <w:rsid w:val="000826C5"/>
    <w:rsid w:val="00083F6D"/>
    <w:rsid w:val="000878B2"/>
    <w:rsid w:val="00090A47"/>
    <w:rsid w:val="00094429"/>
    <w:rsid w:val="000946D7"/>
    <w:rsid w:val="00095962"/>
    <w:rsid w:val="00095DF1"/>
    <w:rsid w:val="000A6365"/>
    <w:rsid w:val="000A674F"/>
    <w:rsid w:val="000C3079"/>
    <w:rsid w:val="000D0856"/>
    <w:rsid w:val="000D5094"/>
    <w:rsid w:val="000E1DCC"/>
    <w:rsid w:val="000E3D3F"/>
    <w:rsid w:val="000E407E"/>
    <w:rsid w:val="000F0420"/>
    <w:rsid w:val="000F21F0"/>
    <w:rsid w:val="00110F02"/>
    <w:rsid w:val="00114681"/>
    <w:rsid w:val="001149BD"/>
    <w:rsid w:val="00114A4B"/>
    <w:rsid w:val="00114FD7"/>
    <w:rsid w:val="00123D09"/>
    <w:rsid w:val="00130C34"/>
    <w:rsid w:val="00132AF5"/>
    <w:rsid w:val="00141AF1"/>
    <w:rsid w:val="001460E6"/>
    <w:rsid w:val="00155A79"/>
    <w:rsid w:val="00165427"/>
    <w:rsid w:val="00173751"/>
    <w:rsid w:val="001748F5"/>
    <w:rsid w:val="00176429"/>
    <w:rsid w:val="00183B51"/>
    <w:rsid w:val="00184C6B"/>
    <w:rsid w:val="001860DD"/>
    <w:rsid w:val="001A41A2"/>
    <w:rsid w:val="001A652C"/>
    <w:rsid w:val="001B1AD1"/>
    <w:rsid w:val="001B1C1D"/>
    <w:rsid w:val="001B4FD2"/>
    <w:rsid w:val="001E4254"/>
    <w:rsid w:val="001E65EA"/>
    <w:rsid w:val="001E6F91"/>
    <w:rsid w:val="001E7894"/>
    <w:rsid w:val="00206695"/>
    <w:rsid w:val="00216C5E"/>
    <w:rsid w:val="002210C4"/>
    <w:rsid w:val="002232B9"/>
    <w:rsid w:val="0023590C"/>
    <w:rsid w:val="00235A55"/>
    <w:rsid w:val="00236F4F"/>
    <w:rsid w:val="0024011C"/>
    <w:rsid w:val="00242381"/>
    <w:rsid w:val="00242AD7"/>
    <w:rsid w:val="00245CF3"/>
    <w:rsid w:val="0025230E"/>
    <w:rsid w:val="0025405C"/>
    <w:rsid w:val="00255970"/>
    <w:rsid w:val="00255FC7"/>
    <w:rsid w:val="00256A0A"/>
    <w:rsid w:val="00265B86"/>
    <w:rsid w:val="00275246"/>
    <w:rsid w:val="00275B58"/>
    <w:rsid w:val="0027728F"/>
    <w:rsid w:val="002804DF"/>
    <w:rsid w:val="002805B4"/>
    <w:rsid w:val="00280DB9"/>
    <w:rsid w:val="00296C3C"/>
    <w:rsid w:val="00297DBF"/>
    <w:rsid w:val="002B2906"/>
    <w:rsid w:val="002B47A9"/>
    <w:rsid w:val="002C00CD"/>
    <w:rsid w:val="002C1870"/>
    <w:rsid w:val="002C4708"/>
    <w:rsid w:val="002C534C"/>
    <w:rsid w:val="002C59AF"/>
    <w:rsid w:val="002D29B5"/>
    <w:rsid w:val="002D375E"/>
    <w:rsid w:val="002F7381"/>
    <w:rsid w:val="00301FFA"/>
    <w:rsid w:val="00306A3E"/>
    <w:rsid w:val="00310F9F"/>
    <w:rsid w:val="003212D6"/>
    <w:rsid w:val="0032557C"/>
    <w:rsid w:val="00327B34"/>
    <w:rsid w:val="00330635"/>
    <w:rsid w:val="003315DB"/>
    <w:rsid w:val="00340963"/>
    <w:rsid w:val="00342F9C"/>
    <w:rsid w:val="00343E6D"/>
    <w:rsid w:val="00350329"/>
    <w:rsid w:val="003509E9"/>
    <w:rsid w:val="00350F66"/>
    <w:rsid w:val="00357818"/>
    <w:rsid w:val="00361B0D"/>
    <w:rsid w:val="00364721"/>
    <w:rsid w:val="00370CE6"/>
    <w:rsid w:val="00373B1F"/>
    <w:rsid w:val="0037598A"/>
    <w:rsid w:val="00375EA2"/>
    <w:rsid w:val="003936D6"/>
    <w:rsid w:val="0039669E"/>
    <w:rsid w:val="003978EC"/>
    <w:rsid w:val="00397CA0"/>
    <w:rsid w:val="003A2685"/>
    <w:rsid w:val="003A51AC"/>
    <w:rsid w:val="003B110B"/>
    <w:rsid w:val="003B1B7C"/>
    <w:rsid w:val="003C2702"/>
    <w:rsid w:val="003C35BF"/>
    <w:rsid w:val="003C3F1D"/>
    <w:rsid w:val="003C5642"/>
    <w:rsid w:val="003D7D75"/>
    <w:rsid w:val="003E1788"/>
    <w:rsid w:val="003F4338"/>
    <w:rsid w:val="004128BB"/>
    <w:rsid w:val="00417D19"/>
    <w:rsid w:val="004201B9"/>
    <w:rsid w:val="004378F8"/>
    <w:rsid w:val="00446335"/>
    <w:rsid w:val="00447805"/>
    <w:rsid w:val="00450E1A"/>
    <w:rsid w:val="00482F5E"/>
    <w:rsid w:val="004838C5"/>
    <w:rsid w:val="00483E41"/>
    <w:rsid w:val="0049269D"/>
    <w:rsid w:val="0049289B"/>
    <w:rsid w:val="004941F0"/>
    <w:rsid w:val="00497D57"/>
    <w:rsid w:val="004A3D6A"/>
    <w:rsid w:val="004B01B5"/>
    <w:rsid w:val="004B0C97"/>
    <w:rsid w:val="004C02A2"/>
    <w:rsid w:val="004C4B26"/>
    <w:rsid w:val="004C698B"/>
    <w:rsid w:val="004D1824"/>
    <w:rsid w:val="004D301C"/>
    <w:rsid w:val="004D68A0"/>
    <w:rsid w:val="004D73D9"/>
    <w:rsid w:val="004E05D4"/>
    <w:rsid w:val="004E4B68"/>
    <w:rsid w:val="004E6B40"/>
    <w:rsid w:val="005068E4"/>
    <w:rsid w:val="00516A45"/>
    <w:rsid w:val="00527FD3"/>
    <w:rsid w:val="00534054"/>
    <w:rsid w:val="00540C52"/>
    <w:rsid w:val="0054232F"/>
    <w:rsid w:val="00560463"/>
    <w:rsid w:val="00573425"/>
    <w:rsid w:val="00584420"/>
    <w:rsid w:val="00592AA1"/>
    <w:rsid w:val="00592FE4"/>
    <w:rsid w:val="00596646"/>
    <w:rsid w:val="005B15D4"/>
    <w:rsid w:val="005B714C"/>
    <w:rsid w:val="005C4718"/>
    <w:rsid w:val="005D411A"/>
    <w:rsid w:val="005E28F3"/>
    <w:rsid w:val="005F1072"/>
    <w:rsid w:val="005F4CEA"/>
    <w:rsid w:val="006008F4"/>
    <w:rsid w:val="0060573E"/>
    <w:rsid w:val="00606928"/>
    <w:rsid w:val="0061446F"/>
    <w:rsid w:val="0061579B"/>
    <w:rsid w:val="00621A0A"/>
    <w:rsid w:val="00622394"/>
    <w:rsid w:val="0062245E"/>
    <w:rsid w:val="00626452"/>
    <w:rsid w:val="00631F77"/>
    <w:rsid w:val="006330B2"/>
    <w:rsid w:val="00641DFE"/>
    <w:rsid w:val="00657943"/>
    <w:rsid w:val="00662F9A"/>
    <w:rsid w:val="00665A83"/>
    <w:rsid w:val="006727BE"/>
    <w:rsid w:val="006741FC"/>
    <w:rsid w:val="006752CE"/>
    <w:rsid w:val="00687297"/>
    <w:rsid w:val="00687986"/>
    <w:rsid w:val="00693FE3"/>
    <w:rsid w:val="006969A5"/>
    <w:rsid w:val="006A0F56"/>
    <w:rsid w:val="006B54BF"/>
    <w:rsid w:val="006C2EE9"/>
    <w:rsid w:val="006C31AB"/>
    <w:rsid w:val="006D53BD"/>
    <w:rsid w:val="006D57BB"/>
    <w:rsid w:val="006E27F1"/>
    <w:rsid w:val="006E28EB"/>
    <w:rsid w:val="006E34CF"/>
    <w:rsid w:val="006E6BEA"/>
    <w:rsid w:val="006E7DFB"/>
    <w:rsid w:val="006F42F0"/>
    <w:rsid w:val="006F659C"/>
    <w:rsid w:val="00702EF2"/>
    <w:rsid w:val="00706FAA"/>
    <w:rsid w:val="00707722"/>
    <w:rsid w:val="007152D9"/>
    <w:rsid w:val="00723F10"/>
    <w:rsid w:val="00725B28"/>
    <w:rsid w:val="00726863"/>
    <w:rsid w:val="007307E5"/>
    <w:rsid w:val="00734976"/>
    <w:rsid w:val="00747F87"/>
    <w:rsid w:val="00750269"/>
    <w:rsid w:val="0075278D"/>
    <w:rsid w:val="0076323D"/>
    <w:rsid w:val="007638D5"/>
    <w:rsid w:val="00775205"/>
    <w:rsid w:val="00791280"/>
    <w:rsid w:val="007974C8"/>
    <w:rsid w:val="007A46ED"/>
    <w:rsid w:val="007A52AA"/>
    <w:rsid w:val="007B0A5C"/>
    <w:rsid w:val="007B4257"/>
    <w:rsid w:val="007B6F21"/>
    <w:rsid w:val="007C046F"/>
    <w:rsid w:val="007C5A49"/>
    <w:rsid w:val="007C7512"/>
    <w:rsid w:val="007D3DBF"/>
    <w:rsid w:val="007D6183"/>
    <w:rsid w:val="007E7650"/>
    <w:rsid w:val="007F0635"/>
    <w:rsid w:val="007F20CD"/>
    <w:rsid w:val="007F4504"/>
    <w:rsid w:val="007F7341"/>
    <w:rsid w:val="0081395D"/>
    <w:rsid w:val="0081547E"/>
    <w:rsid w:val="00816CB9"/>
    <w:rsid w:val="00817073"/>
    <w:rsid w:val="00821A71"/>
    <w:rsid w:val="00830CC1"/>
    <w:rsid w:val="0083247C"/>
    <w:rsid w:val="00834887"/>
    <w:rsid w:val="0083585D"/>
    <w:rsid w:val="0083758E"/>
    <w:rsid w:val="0084205A"/>
    <w:rsid w:val="0084495B"/>
    <w:rsid w:val="00850A2A"/>
    <w:rsid w:val="00864E17"/>
    <w:rsid w:val="00871191"/>
    <w:rsid w:val="00876070"/>
    <w:rsid w:val="00881593"/>
    <w:rsid w:val="008B5DAC"/>
    <w:rsid w:val="008B675A"/>
    <w:rsid w:val="008B7088"/>
    <w:rsid w:val="008C73BF"/>
    <w:rsid w:val="008D149B"/>
    <w:rsid w:val="008D6A57"/>
    <w:rsid w:val="008D71F1"/>
    <w:rsid w:val="008E0812"/>
    <w:rsid w:val="008F2855"/>
    <w:rsid w:val="008F4232"/>
    <w:rsid w:val="009079A6"/>
    <w:rsid w:val="00911F3E"/>
    <w:rsid w:val="009202EE"/>
    <w:rsid w:val="009217CA"/>
    <w:rsid w:val="009310D5"/>
    <w:rsid w:val="00932D6C"/>
    <w:rsid w:val="00937DBA"/>
    <w:rsid w:val="0094159E"/>
    <w:rsid w:val="00944EFB"/>
    <w:rsid w:val="00953DC3"/>
    <w:rsid w:val="00954660"/>
    <w:rsid w:val="009558F2"/>
    <w:rsid w:val="00967EB1"/>
    <w:rsid w:val="009750D1"/>
    <w:rsid w:val="00975346"/>
    <w:rsid w:val="00975883"/>
    <w:rsid w:val="00985519"/>
    <w:rsid w:val="009A3D00"/>
    <w:rsid w:val="009A60C3"/>
    <w:rsid w:val="009A6D5B"/>
    <w:rsid w:val="009B2B5C"/>
    <w:rsid w:val="009B69BA"/>
    <w:rsid w:val="009B770B"/>
    <w:rsid w:val="009C12C5"/>
    <w:rsid w:val="009C6E0E"/>
    <w:rsid w:val="009D6FC4"/>
    <w:rsid w:val="009E115F"/>
    <w:rsid w:val="009E2F33"/>
    <w:rsid w:val="009E3889"/>
    <w:rsid w:val="009F1D5F"/>
    <w:rsid w:val="009F565D"/>
    <w:rsid w:val="00A007B3"/>
    <w:rsid w:val="00A0139A"/>
    <w:rsid w:val="00A01585"/>
    <w:rsid w:val="00A038DA"/>
    <w:rsid w:val="00A13798"/>
    <w:rsid w:val="00A1519F"/>
    <w:rsid w:val="00A20A8B"/>
    <w:rsid w:val="00A212C5"/>
    <w:rsid w:val="00A21B54"/>
    <w:rsid w:val="00A2485C"/>
    <w:rsid w:val="00A34F80"/>
    <w:rsid w:val="00A36590"/>
    <w:rsid w:val="00A42324"/>
    <w:rsid w:val="00A44E7E"/>
    <w:rsid w:val="00A45F47"/>
    <w:rsid w:val="00A51175"/>
    <w:rsid w:val="00A55E7F"/>
    <w:rsid w:val="00A63F4F"/>
    <w:rsid w:val="00A650DC"/>
    <w:rsid w:val="00A6592E"/>
    <w:rsid w:val="00A70199"/>
    <w:rsid w:val="00A722FD"/>
    <w:rsid w:val="00A831D1"/>
    <w:rsid w:val="00A83D09"/>
    <w:rsid w:val="00A906CA"/>
    <w:rsid w:val="00AA012C"/>
    <w:rsid w:val="00AA4EDD"/>
    <w:rsid w:val="00AA5A1A"/>
    <w:rsid w:val="00AB03AB"/>
    <w:rsid w:val="00AB0FDE"/>
    <w:rsid w:val="00AB7B10"/>
    <w:rsid w:val="00AC0EAD"/>
    <w:rsid w:val="00AE3ACF"/>
    <w:rsid w:val="00AF20A7"/>
    <w:rsid w:val="00AF3162"/>
    <w:rsid w:val="00AF5D74"/>
    <w:rsid w:val="00AF6348"/>
    <w:rsid w:val="00AF7802"/>
    <w:rsid w:val="00B06F0B"/>
    <w:rsid w:val="00B16830"/>
    <w:rsid w:val="00B2612F"/>
    <w:rsid w:val="00B358A1"/>
    <w:rsid w:val="00B374C6"/>
    <w:rsid w:val="00B443A2"/>
    <w:rsid w:val="00B70E37"/>
    <w:rsid w:val="00B7340A"/>
    <w:rsid w:val="00B81A5B"/>
    <w:rsid w:val="00B97198"/>
    <w:rsid w:val="00BA50D5"/>
    <w:rsid w:val="00BA7245"/>
    <w:rsid w:val="00BB114E"/>
    <w:rsid w:val="00BB753D"/>
    <w:rsid w:val="00BC691A"/>
    <w:rsid w:val="00BC7648"/>
    <w:rsid w:val="00BD138B"/>
    <w:rsid w:val="00BD2057"/>
    <w:rsid w:val="00BE00C4"/>
    <w:rsid w:val="00C02C5D"/>
    <w:rsid w:val="00C046F1"/>
    <w:rsid w:val="00C06A99"/>
    <w:rsid w:val="00C23C21"/>
    <w:rsid w:val="00C25EA7"/>
    <w:rsid w:val="00C26987"/>
    <w:rsid w:val="00C26E96"/>
    <w:rsid w:val="00C27EA2"/>
    <w:rsid w:val="00C40904"/>
    <w:rsid w:val="00C47776"/>
    <w:rsid w:val="00C50F0E"/>
    <w:rsid w:val="00C610E7"/>
    <w:rsid w:val="00C6681D"/>
    <w:rsid w:val="00C71BEF"/>
    <w:rsid w:val="00C90349"/>
    <w:rsid w:val="00CA0C2F"/>
    <w:rsid w:val="00CA79BE"/>
    <w:rsid w:val="00CC0BD2"/>
    <w:rsid w:val="00CC6654"/>
    <w:rsid w:val="00CC6C9F"/>
    <w:rsid w:val="00CD299B"/>
    <w:rsid w:val="00CE0F76"/>
    <w:rsid w:val="00CE60A2"/>
    <w:rsid w:val="00CF0A68"/>
    <w:rsid w:val="00CF1358"/>
    <w:rsid w:val="00CF70E1"/>
    <w:rsid w:val="00D156DC"/>
    <w:rsid w:val="00D36D91"/>
    <w:rsid w:val="00D4384A"/>
    <w:rsid w:val="00D44849"/>
    <w:rsid w:val="00D45517"/>
    <w:rsid w:val="00D54865"/>
    <w:rsid w:val="00D6281F"/>
    <w:rsid w:val="00D711C0"/>
    <w:rsid w:val="00D71821"/>
    <w:rsid w:val="00D7204A"/>
    <w:rsid w:val="00D75562"/>
    <w:rsid w:val="00D767DD"/>
    <w:rsid w:val="00D80809"/>
    <w:rsid w:val="00D81645"/>
    <w:rsid w:val="00D96B31"/>
    <w:rsid w:val="00D973DB"/>
    <w:rsid w:val="00DB30D4"/>
    <w:rsid w:val="00DB3A5B"/>
    <w:rsid w:val="00DB57AF"/>
    <w:rsid w:val="00DB7C9B"/>
    <w:rsid w:val="00DC153F"/>
    <w:rsid w:val="00DC5BDF"/>
    <w:rsid w:val="00DD23F2"/>
    <w:rsid w:val="00DD6653"/>
    <w:rsid w:val="00DF1247"/>
    <w:rsid w:val="00E00822"/>
    <w:rsid w:val="00E014E6"/>
    <w:rsid w:val="00E064C8"/>
    <w:rsid w:val="00E06DAB"/>
    <w:rsid w:val="00E13645"/>
    <w:rsid w:val="00E14183"/>
    <w:rsid w:val="00E15D51"/>
    <w:rsid w:val="00E27B88"/>
    <w:rsid w:val="00E334B1"/>
    <w:rsid w:val="00E3536A"/>
    <w:rsid w:val="00E40468"/>
    <w:rsid w:val="00E44BA3"/>
    <w:rsid w:val="00E545E3"/>
    <w:rsid w:val="00E62597"/>
    <w:rsid w:val="00E751D9"/>
    <w:rsid w:val="00E77DBB"/>
    <w:rsid w:val="00E83991"/>
    <w:rsid w:val="00E85503"/>
    <w:rsid w:val="00E8783E"/>
    <w:rsid w:val="00E87E46"/>
    <w:rsid w:val="00E87ED1"/>
    <w:rsid w:val="00EA3164"/>
    <w:rsid w:val="00EB6D33"/>
    <w:rsid w:val="00EC2284"/>
    <w:rsid w:val="00EC67D7"/>
    <w:rsid w:val="00ED70B6"/>
    <w:rsid w:val="00EE1F3A"/>
    <w:rsid w:val="00EF2042"/>
    <w:rsid w:val="00EF6CED"/>
    <w:rsid w:val="00F041D5"/>
    <w:rsid w:val="00F13724"/>
    <w:rsid w:val="00F20694"/>
    <w:rsid w:val="00F21D57"/>
    <w:rsid w:val="00F25E9A"/>
    <w:rsid w:val="00F5040F"/>
    <w:rsid w:val="00F5272F"/>
    <w:rsid w:val="00F56B30"/>
    <w:rsid w:val="00F7644F"/>
    <w:rsid w:val="00F910E4"/>
    <w:rsid w:val="00FA5BB5"/>
    <w:rsid w:val="00FA6377"/>
    <w:rsid w:val="00FB1B7D"/>
    <w:rsid w:val="00FB24B6"/>
    <w:rsid w:val="00FB4D87"/>
    <w:rsid w:val="00FC1DDE"/>
    <w:rsid w:val="00FC1E60"/>
    <w:rsid w:val="00FD1F04"/>
    <w:rsid w:val="00FD2B7C"/>
    <w:rsid w:val="00FD7406"/>
    <w:rsid w:val="00FE774F"/>
    <w:rsid w:val="00FF13F3"/>
    <w:rsid w:val="00FF14C7"/>
    <w:rsid w:val="06162584"/>
    <w:rsid w:val="0A8F7AAE"/>
    <w:rsid w:val="0BEF2344"/>
    <w:rsid w:val="0DF04072"/>
    <w:rsid w:val="0F92274A"/>
    <w:rsid w:val="10B7109D"/>
    <w:rsid w:val="15483D4A"/>
    <w:rsid w:val="20285E4C"/>
    <w:rsid w:val="242E71FF"/>
    <w:rsid w:val="26EC35C4"/>
    <w:rsid w:val="273D0EA9"/>
    <w:rsid w:val="2FDB0363"/>
    <w:rsid w:val="30205610"/>
    <w:rsid w:val="313A31F0"/>
    <w:rsid w:val="322042DA"/>
    <w:rsid w:val="33335063"/>
    <w:rsid w:val="37EA4B67"/>
    <w:rsid w:val="415A7248"/>
    <w:rsid w:val="45880399"/>
    <w:rsid w:val="45C46D62"/>
    <w:rsid w:val="48FB4818"/>
    <w:rsid w:val="49E474E8"/>
    <w:rsid w:val="49EE57D7"/>
    <w:rsid w:val="524B224A"/>
    <w:rsid w:val="59A04D0F"/>
    <w:rsid w:val="653D3504"/>
    <w:rsid w:val="693806CA"/>
    <w:rsid w:val="6A6E66B9"/>
    <w:rsid w:val="721B3847"/>
    <w:rsid w:val="746F6589"/>
    <w:rsid w:val="74FC1ABD"/>
    <w:rsid w:val="75126CF8"/>
    <w:rsid w:val="75547E76"/>
    <w:rsid w:val="76FB5EB8"/>
    <w:rsid w:val="7E2113F7"/>
    <w:rsid w:val="7ECC0F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9"/>
    <w:unhideWhenUsed/>
    <w:qFormat/>
    <w:uiPriority w:val="99"/>
    <w:pPr>
      <w:jc w:val="left"/>
    </w:pPr>
  </w:style>
  <w:style w:type="paragraph" w:styleId="3">
    <w:name w:val="Date"/>
    <w:basedOn w:val="1"/>
    <w:next w:val="1"/>
    <w:link w:val="13"/>
    <w:semiHidden/>
    <w:unhideWhenUsed/>
    <w:qFormat/>
    <w:uiPriority w:val="99"/>
    <w:pPr>
      <w:ind w:left="100" w:leftChars="2500"/>
    </w:pPr>
  </w:style>
  <w:style w:type="paragraph" w:styleId="4">
    <w:name w:val="Balloon Text"/>
    <w:basedOn w:val="1"/>
    <w:link w:val="21"/>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8">
    <w:name w:val="annotation subject"/>
    <w:basedOn w:val="2"/>
    <w:next w:val="2"/>
    <w:link w:val="20"/>
    <w:semiHidden/>
    <w:unhideWhenUsed/>
    <w:qFormat/>
    <w:uiPriority w:val="99"/>
    <w:rPr>
      <w:b/>
      <w:bCs/>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semiHidden/>
    <w:unhideWhenUsed/>
    <w:qFormat/>
    <w:uiPriority w:val="99"/>
    <w:rPr>
      <w:sz w:val="21"/>
      <w:szCs w:val="21"/>
    </w:rPr>
  </w:style>
  <w:style w:type="character" w:customStyle="1" w:styleId="13">
    <w:name w:val="日期 字符"/>
    <w:basedOn w:val="11"/>
    <w:link w:val="3"/>
    <w:semiHidden/>
    <w:qFormat/>
    <w:uiPriority w:val="99"/>
    <w:rPr>
      <w:rFonts w:ascii="Calibri" w:hAnsi="Calibri" w:eastAsia="宋体" w:cs="Times New Roman"/>
    </w:rPr>
  </w:style>
  <w:style w:type="paragraph" w:styleId="14">
    <w:name w:val="List Paragraph"/>
    <w:basedOn w:val="1"/>
    <w:qFormat/>
    <w:uiPriority w:val="34"/>
    <w:pPr>
      <w:ind w:firstLine="420" w:firstLineChars="200"/>
    </w:pPr>
  </w:style>
  <w:style w:type="character" w:customStyle="1" w:styleId="15">
    <w:name w:val="页眉 字符"/>
    <w:basedOn w:val="11"/>
    <w:link w:val="6"/>
    <w:qFormat/>
    <w:uiPriority w:val="99"/>
    <w:rPr>
      <w:rFonts w:ascii="Calibri" w:hAnsi="Calibri" w:eastAsia="宋体" w:cs="Times New Roman"/>
      <w:sz w:val="18"/>
      <w:szCs w:val="18"/>
    </w:rPr>
  </w:style>
  <w:style w:type="character" w:customStyle="1" w:styleId="16">
    <w:name w:val="页脚 字符"/>
    <w:basedOn w:val="11"/>
    <w:link w:val="5"/>
    <w:qFormat/>
    <w:uiPriority w:val="99"/>
    <w:rPr>
      <w:rFonts w:ascii="Calibri" w:hAnsi="Calibri" w:eastAsia="宋体" w:cs="Times New Roman"/>
      <w:sz w:val="18"/>
      <w:szCs w:val="18"/>
    </w:rPr>
  </w:style>
  <w:style w:type="table" w:customStyle="1" w:styleId="17">
    <w:name w:val="网格型1"/>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修订1"/>
    <w:hidden/>
    <w:semiHidden/>
    <w:qFormat/>
    <w:uiPriority w:val="99"/>
    <w:rPr>
      <w:rFonts w:ascii="Calibri" w:hAnsi="Calibri" w:eastAsia="宋体" w:cs="Times New Roman"/>
      <w:kern w:val="2"/>
      <w:sz w:val="21"/>
      <w:szCs w:val="22"/>
      <w:lang w:val="en-US" w:eastAsia="zh-CN" w:bidi="ar-SA"/>
    </w:rPr>
  </w:style>
  <w:style w:type="character" w:customStyle="1" w:styleId="19">
    <w:name w:val="批注文字 字符"/>
    <w:basedOn w:val="11"/>
    <w:link w:val="2"/>
    <w:qFormat/>
    <w:uiPriority w:val="99"/>
    <w:rPr>
      <w:rFonts w:ascii="Calibri" w:hAnsi="Calibri" w:eastAsia="宋体" w:cs="Times New Roman"/>
    </w:rPr>
  </w:style>
  <w:style w:type="character" w:customStyle="1" w:styleId="20">
    <w:name w:val="批注主题 字符"/>
    <w:basedOn w:val="19"/>
    <w:link w:val="8"/>
    <w:semiHidden/>
    <w:qFormat/>
    <w:uiPriority w:val="99"/>
    <w:rPr>
      <w:rFonts w:ascii="Calibri" w:hAnsi="Calibri" w:eastAsia="宋体" w:cs="Times New Roman"/>
      <w:b/>
      <w:bCs/>
    </w:rPr>
  </w:style>
  <w:style w:type="character" w:customStyle="1" w:styleId="21">
    <w:name w:val="批注框文本 字符"/>
    <w:basedOn w:val="11"/>
    <w:link w:val="4"/>
    <w:semiHidden/>
    <w:qFormat/>
    <w:uiPriority w:val="99"/>
    <w:rPr>
      <w:rFonts w:ascii="Calibri" w:hAnsi="Calibri" w:eastAsia="宋体" w:cs="Times New Roman"/>
      <w:sz w:val="18"/>
      <w:szCs w:val="18"/>
    </w:rPr>
  </w:style>
  <w:style w:type="paragraph" w:customStyle="1" w:styleId="22">
    <w:name w:val="修订2"/>
    <w:hidden/>
    <w:unhideWhenUsed/>
    <w:qFormat/>
    <w:uiPriority w:val="99"/>
    <w:rPr>
      <w:rFonts w:ascii="Calibri" w:hAnsi="Calibri" w:eastAsia="宋体" w:cs="Times New Roman"/>
      <w:kern w:val="2"/>
      <w:sz w:val="21"/>
      <w:szCs w:val="22"/>
      <w:lang w:val="en-US" w:eastAsia="zh-CN" w:bidi="ar-SA"/>
    </w:rPr>
  </w:style>
  <w:style w:type="paragraph" w:customStyle="1" w:styleId="23">
    <w:name w:val="修订3"/>
    <w:hidden/>
    <w:unhideWhenUsed/>
    <w:qFormat/>
    <w:uiPriority w:val="99"/>
    <w:rPr>
      <w:rFonts w:ascii="Calibri" w:hAnsi="Calibri" w:eastAsia="宋体" w:cs="Times New Roman"/>
      <w:kern w:val="2"/>
      <w:sz w:val="21"/>
      <w:szCs w:val="22"/>
      <w:lang w:val="en-US" w:eastAsia="zh-CN" w:bidi="ar-SA"/>
    </w:rPr>
  </w:style>
  <w:style w:type="paragraph" w:customStyle="1" w:styleId="24">
    <w:name w:val="修订4"/>
    <w:hidden/>
    <w:unhideWhenUsed/>
    <w:qFormat/>
    <w:uiPriority w:val="99"/>
    <w:rPr>
      <w:rFonts w:ascii="Calibri" w:hAnsi="Calibri" w:eastAsia="宋体" w:cs="Times New Roman"/>
      <w:kern w:val="2"/>
      <w:sz w:val="21"/>
      <w:szCs w:val="22"/>
      <w:lang w:val="en-US" w:eastAsia="zh-CN" w:bidi="ar-SA"/>
    </w:rPr>
  </w:style>
  <w:style w:type="paragraph" w:customStyle="1" w:styleId="25">
    <w:name w:val="修订5"/>
    <w:hidden/>
    <w:unhideWhenUsed/>
    <w:qFormat/>
    <w:uiPriority w:val="99"/>
    <w:rPr>
      <w:rFonts w:ascii="Calibri" w:hAnsi="Calibri" w:eastAsia="宋体" w:cs="Times New Roman"/>
      <w:kern w:val="2"/>
      <w:sz w:val="21"/>
      <w:szCs w:val="22"/>
      <w:lang w:val="en-US" w:eastAsia="zh-CN" w:bidi="ar-SA"/>
    </w:rPr>
  </w:style>
  <w:style w:type="paragraph" w:customStyle="1" w:styleId="26">
    <w:name w:val="修订6"/>
    <w:hidden/>
    <w:unhideWhenUsed/>
    <w:qFormat/>
    <w:uiPriority w:val="99"/>
    <w:rPr>
      <w:rFonts w:ascii="Calibri" w:hAnsi="Calibri" w:eastAsia="宋体" w:cs="Times New Roman"/>
      <w:kern w:val="2"/>
      <w:sz w:val="21"/>
      <w:szCs w:val="22"/>
      <w:lang w:val="en-US" w:eastAsia="zh-CN" w:bidi="ar-SA"/>
    </w:rPr>
  </w:style>
  <w:style w:type="paragraph" w:customStyle="1" w:styleId="27">
    <w:name w:val="修订7"/>
    <w:hidden/>
    <w:unhideWhenUsed/>
    <w:qFormat/>
    <w:uiPriority w:val="99"/>
    <w:rPr>
      <w:rFonts w:ascii="Calibri" w:hAnsi="Calibri" w:eastAsia="宋体" w:cs="Times New Roman"/>
      <w:kern w:val="2"/>
      <w:sz w:val="21"/>
      <w:szCs w:val="22"/>
      <w:lang w:val="en-US" w:eastAsia="zh-CN" w:bidi="ar-SA"/>
    </w:rPr>
  </w:style>
  <w:style w:type="paragraph" w:customStyle="1" w:styleId="28">
    <w:name w:val="修订8"/>
    <w:hidden/>
    <w:unhideWhenUsed/>
    <w:qFormat/>
    <w:uiPriority w:val="99"/>
    <w:rPr>
      <w:rFonts w:ascii="Calibri" w:hAnsi="Calibri" w:eastAsia="宋体" w:cs="Times New Roman"/>
      <w:kern w:val="2"/>
      <w:sz w:val="21"/>
      <w:szCs w:val="22"/>
      <w:lang w:val="en-US" w:eastAsia="zh-CN" w:bidi="ar-SA"/>
    </w:rPr>
  </w:style>
  <w:style w:type="paragraph" w:customStyle="1" w:styleId="29">
    <w:name w:val="修订9"/>
    <w:hidden/>
    <w:unhideWhenUsed/>
    <w:qFormat/>
    <w:uiPriority w:val="99"/>
    <w:rPr>
      <w:rFonts w:ascii="Calibri" w:hAnsi="Calibri" w:eastAsia="宋体" w:cs="Times New Roman"/>
      <w:kern w:val="2"/>
      <w:sz w:val="21"/>
      <w:szCs w:val="22"/>
      <w:lang w:val="en-US" w:eastAsia="zh-CN" w:bidi="ar-SA"/>
    </w:rPr>
  </w:style>
  <w:style w:type="paragraph" w:customStyle="1" w:styleId="30">
    <w:name w:val="Revision1"/>
    <w:hidden/>
    <w:unhideWhenUsed/>
    <w:qFormat/>
    <w:uiPriority w:val="99"/>
    <w:rPr>
      <w:rFonts w:ascii="Calibri" w:hAnsi="Calibri" w:eastAsia="宋体" w:cs="Times New Roman"/>
      <w:kern w:val="2"/>
      <w:sz w:val="21"/>
      <w:szCs w:val="22"/>
      <w:lang w:val="en-US" w:eastAsia="zh-CN" w:bidi="ar-SA"/>
    </w:rPr>
  </w:style>
  <w:style w:type="paragraph" w:customStyle="1" w:styleId="31">
    <w:name w:val="修订10"/>
    <w:hidden/>
    <w:unhideWhenUsed/>
    <w:qFormat/>
    <w:uiPriority w:val="99"/>
    <w:rPr>
      <w:rFonts w:ascii="Calibri" w:hAnsi="Calibri" w:eastAsia="宋体" w:cs="Times New Roman"/>
      <w:kern w:val="2"/>
      <w:sz w:val="21"/>
      <w:szCs w:val="22"/>
      <w:lang w:val="en-US" w:eastAsia="zh-CN" w:bidi="ar-SA"/>
    </w:rPr>
  </w:style>
  <w:style w:type="paragraph" w:customStyle="1" w:styleId="32">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10</Pages>
  <Words>5219</Words>
  <Characters>5989</Characters>
  <Lines>44</Lines>
  <Paragraphs>12</Paragraphs>
  <TotalTime>8</TotalTime>
  <ScaleCrop>false</ScaleCrop>
  <LinksUpToDate>false</LinksUpToDate>
  <CharactersWithSpaces>6047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2024-09-20T08:19:00Z</dcterms:created>
  <dc:creator>Microsoft</dc:creator>
  <cp:lastModifiedBy>YUANSU HU</cp:lastModifiedBy>
  <cp:lastPrinted>2024-09-19T09:09:00Z</cp:lastPrinted>
  <dcterms:modified xsi:type="dcterms:W3CDTF">2024-09-23T06:55:06Z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3F4EAA4B51494EE19B21F096EBEB655F_12</vt:lpwstr>
  </property>
  <property fmtid="{D5CDD505-2E9C-101B-9397-08002B2CF9AE}" pid="4" name="5B77E7CEEC58BC6AFAE8886BEB80DBEB">
    <vt:lpwstr>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</vt:lpwstr>
  </property>
</Properties>
</file>