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A096E-ADFC-4837-A13A-1A9046EBAD1E}">
  <ds:schemaRefs/>
</ds:datastoreItem>
</file>

<file path=docProps\app.xml><?xml version="1.0" encoding="utf-8"?>
<Properties xmlns="http://schemas.openxmlformats.org/officeDocument/2006/extended-properties" xmlns:vt="http://schemas.openxmlformats.org/officeDocument/2006/docPropsVTypes">
  <Template>Normal</Template>
  <Pages>5</Pages>
  <Words>1971</Words>
  <Characters>2155</Characters>
  <Lines>16</Lines>
  <Paragraphs>4</Paragraphs>
  <TotalTime>2</TotalTime>
  <ScaleCrop>false</ScaleCrop>
  <LinksUpToDate>false</LinksUpToDate>
  <CharactersWithSpaces>2183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2022-04-23T13:43:00Z</dcterms:created>
  <dc:creator>lenovo</dc:creator>
  <cp:lastModifiedBy>金建德</cp:lastModifiedBy>
  <cp:lastPrinted>2024-08-29T10:46:00Z</cp:lastPrinted>
  <dcterms:modified xsi:type="dcterms:W3CDTF">2024-08-30T01:40:58Z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D80842A02DAA4420AFB638CF8D0C21FD_12</vt:lpwstr>
  </property>
  <property fmtid="{5B77E7CE-EC58-BC6A-FAE8-886BEB80DBEB}" pid="4" name="5B77E7CEEC58BC6AFAE8886BEB80DBEB">
    <vt:lpwstr>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</vt:lpwstr>
  </property>
</Properti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E67E9">
      <w:pPr>
        <w:spacing w:line="360" w:lineRule="auto"/>
        <w:jc w:val="center"/>
        <w:rPr>
          <w:rFonts w:hint="default" w:ascii="黑体" w:hAnsi="黑体" w:eastAsia="黑体"/>
          <w:color w:val="000000"/>
          <w:highlight w:val="none"/>
          <w:lang w:val="en-US" w:eastAsia="zh-CN"/>
        </w:rPr>
      </w:pPr>
      <w:r>
        <w:rPr>
          <w:rFonts w:ascii="黑体" w:hAnsi="黑体" w:eastAsia="黑体"/>
          <w:color w:val="000000"/>
          <w:highlight w:val="none"/>
        </w:rPr>
        <w:t>股票代码：600188             股票简称：</w:t>
      </w:r>
      <w:r>
        <w:rPr>
          <w:rFonts w:hint="eastAsia" w:ascii="黑体" w:hAnsi="黑体" w:eastAsia="黑体"/>
          <w:color w:val="000000"/>
          <w:highlight w:val="none"/>
        </w:rPr>
        <w:t>兖矿能源</w:t>
      </w:r>
      <w:r>
        <w:rPr>
          <w:rFonts w:ascii="黑体" w:hAnsi="黑体" w:eastAsia="黑体"/>
          <w:color w:val="000000"/>
          <w:highlight w:val="none"/>
        </w:rPr>
        <w:t xml:space="preserve">             编号：临2</w:t>
      </w:r>
      <w:r>
        <w:rPr>
          <w:rFonts w:hint="eastAsia" w:ascii="黑体" w:hAnsi="黑体" w:eastAsia="黑体" w:cs="黑体"/>
          <w:color w:val="000000"/>
          <w:highlight w:val="none"/>
        </w:rPr>
        <w:t>024-</w:t>
      </w:r>
      <w:r>
        <w:rPr>
          <w:rFonts w:hint="eastAsia" w:ascii="黑体" w:hAnsi="黑体" w:eastAsia="黑体" w:cs="黑体"/>
          <w:color w:val="000000"/>
          <w:highlight w:val="none"/>
          <w:lang w:val="en-US" w:eastAsia="zh-CN"/>
        </w:rPr>
        <w:t>062</w:t>
      </w:r>
    </w:p>
    <w:p w14:paraId="3536F4C3">
      <w:pPr>
        <w:spacing w:line="500" w:lineRule="exact"/>
        <w:jc w:val="center"/>
        <w:rPr>
          <w:rFonts w:eastAsia="黑体"/>
          <w:color w:val="000000"/>
          <w:highlight w:val="none"/>
        </w:rPr>
      </w:pPr>
    </w:p>
    <w:p w14:paraId="1C52F4CD">
      <w:pPr>
        <w:spacing w:line="500" w:lineRule="exact"/>
        <w:jc w:val="center"/>
        <w:rPr>
          <w:rFonts w:ascii="黑体" w:eastAsia="黑体"/>
          <w:b/>
          <w:bCs/>
          <w:color w:val="FF0000"/>
          <w:sz w:val="36"/>
          <w:szCs w:val="36"/>
          <w:highlight w:val="none"/>
        </w:rPr>
      </w:pPr>
      <w:r>
        <w:rPr>
          <w:rFonts w:hint="eastAsia" w:ascii="黑体" w:eastAsia="黑体"/>
          <w:b/>
          <w:bCs/>
          <w:color w:val="FF0000"/>
          <w:sz w:val="36"/>
          <w:szCs w:val="36"/>
          <w:highlight w:val="none"/>
        </w:rPr>
        <w:t>兖矿能源集团</w:t>
      </w:r>
      <w:r>
        <w:rPr>
          <w:rFonts w:ascii="黑体" w:eastAsia="黑体"/>
          <w:b/>
          <w:bCs/>
          <w:color w:val="FF0000"/>
          <w:sz w:val="36"/>
          <w:szCs w:val="36"/>
          <w:highlight w:val="none"/>
        </w:rPr>
        <w:t>股份有限公司</w:t>
      </w:r>
    </w:p>
    <w:p w14:paraId="2124AEC9">
      <w:pPr>
        <w:spacing w:line="500" w:lineRule="exact"/>
        <w:jc w:val="center"/>
        <w:rPr>
          <w:b/>
          <w:bCs/>
          <w:color w:val="000000"/>
          <w:sz w:val="32"/>
          <w:highlight w:val="none"/>
        </w:rPr>
      </w:pPr>
      <w:r>
        <w:rPr>
          <w:rFonts w:hint="eastAsia" w:ascii="黑体" w:eastAsia="黑体"/>
          <w:b/>
          <w:bCs/>
          <w:color w:val="FF0000"/>
          <w:sz w:val="36"/>
          <w:szCs w:val="36"/>
          <w:highlight w:val="none"/>
        </w:rPr>
        <w:t>关于</w:t>
      </w:r>
      <w:r>
        <w:rPr>
          <w:rFonts w:hint="eastAsia" w:ascii="黑体" w:eastAsia="黑体"/>
          <w:b/>
          <w:bCs/>
          <w:color w:val="FF0000"/>
          <w:sz w:val="36"/>
          <w:szCs w:val="36"/>
          <w:highlight w:val="none"/>
          <w:lang w:val="en-US" w:eastAsia="zh-CN"/>
        </w:rPr>
        <w:t>向控股子公司提供财务资助</w:t>
      </w:r>
      <w:r>
        <w:rPr>
          <w:rFonts w:hint="eastAsia" w:ascii="黑体" w:eastAsia="黑体"/>
          <w:b/>
          <w:bCs/>
          <w:color w:val="FF0000"/>
          <w:sz w:val="36"/>
          <w:szCs w:val="36"/>
          <w:highlight w:val="none"/>
        </w:rPr>
        <w:t>的公告</w:t>
      </w:r>
    </w:p>
    <w:p w14:paraId="3BBDD628">
      <w:pPr>
        <w:snapToGrid w:val="0"/>
        <w:spacing w:line="560" w:lineRule="exact"/>
        <w:jc w:val="center"/>
        <w:rPr>
          <w:rFonts w:ascii="仿宋_GB2312" w:hAnsi="宋体" w:eastAsia="仿宋_GB2312"/>
          <w:color w:val="000000"/>
          <w:sz w:val="30"/>
          <w:szCs w:val="30"/>
        </w:rPr>
      </w:pPr>
    </w:p>
    <w:p w14:paraId="4E4216D2">
      <w:pPr>
        <w:pBdr>
          <w:top w:val="single" w:color="auto" w:sz="4" w:space="1"/>
          <w:left w:val="single" w:color="auto" w:sz="4" w:space="4"/>
          <w:bottom w:val="single" w:color="auto" w:sz="4" w:space="2"/>
          <w:right w:val="single" w:color="auto" w:sz="4" w:space="4"/>
        </w:pBdr>
        <w:adjustRightInd w:val="0"/>
        <w:spacing w:line="560" w:lineRule="exact"/>
        <w:ind w:firstLine="560" w:firstLineChars="200"/>
        <w:rPr>
          <w:rFonts w:ascii="仿宋_GB2312" w:hAnsi="宋体" w:eastAsia="仿宋_GB2312"/>
          <w:color w:val="000000"/>
          <w:sz w:val="30"/>
          <w:szCs w:val="30"/>
        </w:rPr>
      </w:pPr>
      <w:r>
        <w:rPr>
          <w:rFonts w:hint="eastAsia" w:ascii="Times New Roman" w:hAnsi="Times New Roman"/>
          <w:sz w:val="28"/>
          <w:szCs w:val="20"/>
        </w:rPr>
        <w:t>本公司董事会及全体董事保证本公告内容不存在任何虚假记载、误导性陈述或者重大遗漏，并对其内容的真实性、准确性和完整性承担法律责任。</w:t>
      </w:r>
    </w:p>
    <w:p w14:paraId="014A6AB9">
      <w:pPr>
        <w:adjustRightInd w:val="0"/>
        <w:snapToGrid w:val="0"/>
        <w:spacing w:line="560" w:lineRule="exact"/>
        <w:rPr>
          <w:rFonts w:ascii="仿宋_GB2312" w:hAnsi="宋体" w:eastAsia="仿宋_GB2312"/>
          <w:sz w:val="30"/>
          <w:szCs w:val="30"/>
        </w:rPr>
      </w:pPr>
    </w:p>
    <w:p w14:paraId="1EA71C31">
      <w:pPr>
        <w:keepNext w:val="0"/>
        <w:keepLines w:val="0"/>
        <w:pageBreakBefore w:val="0"/>
        <w:widowControl w:val="0"/>
        <w:kinsoku/>
        <w:wordWrap/>
        <w:overflowPunct/>
        <w:topLinePunct w:val="0"/>
        <w:bidi w:val="0"/>
        <w:adjustRightInd w:val="0"/>
        <w:snapToGrid w:val="0"/>
        <w:spacing w:line="52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重要内容提示：</w:t>
      </w:r>
    </w:p>
    <w:p w14:paraId="5C814FEE">
      <w:pPr>
        <w:pStyle w:val="12"/>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1020" w:hanging="420" w:firstLineChars="0"/>
        <w:textAlignment w:val="auto"/>
        <w:rPr>
          <w:rFonts w:hint="eastAsia" w:ascii="宋体" w:hAnsi="宋体" w:eastAsia="宋体" w:cs="宋体"/>
          <w:sz w:val="28"/>
          <w:szCs w:val="28"/>
        </w:rPr>
      </w:pPr>
      <w:r>
        <w:rPr>
          <w:rFonts w:hint="eastAsia" w:ascii="宋体" w:hAnsi="宋体" w:cs="宋体"/>
          <w:color w:val="000000"/>
          <w:sz w:val="28"/>
          <w:szCs w:val="28"/>
          <w:lang w:val="en-US" w:eastAsia="zh-CN"/>
        </w:rPr>
        <w:t>基本情况：兖矿能源集团股份有限公司（“兖矿能源”“公司”）拟向控股子公司——兖矿新疆能化有限公司（“新疆能化”）</w:t>
      </w:r>
      <w:r>
        <w:rPr>
          <w:rFonts w:hint="eastAsia" w:ascii="宋体" w:hAnsi="宋体" w:eastAsia="宋体" w:cs="宋体"/>
          <w:color w:val="000000"/>
          <w:sz w:val="28"/>
          <w:szCs w:val="28"/>
          <w:lang w:val="en-US" w:eastAsia="zh-CN"/>
        </w:rPr>
        <w:t>提供</w:t>
      </w:r>
      <w:r>
        <w:rPr>
          <w:rFonts w:hint="eastAsia" w:ascii="宋体" w:hAnsi="宋体" w:cs="宋体"/>
          <w:color w:val="000000"/>
          <w:sz w:val="28"/>
          <w:szCs w:val="28"/>
          <w:lang w:val="en-US" w:eastAsia="zh-CN"/>
        </w:rPr>
        <w:t>人民币</w:t>
      </w:r>
      <w:r>
        <w:rPr>
          <w:rFonts w:hint="eastAsia" w:ascii="宋体" w:hAnsi="宋体" w:eastAsia="宋体" w:cs="宋体"/>
          <w:color w:val="000000"/>
          <w:sz w:val="28"/>
          <w:szCs w:val="28"/>
          <w:lang w:val="en-US" w:eastAsia="zh-CN"/>
        </w:rPr>
        <w:t>50亿元内部借款，期限不超过3年，利率为新疆能化同期存续外部银行借款平均利率，每年调整一次，且不得低于公司资金成本。新疆能化以净值不低于借款金额的资产</w:t>
      </w:r>
      <w:r>
        <w:rPr>
          <w:rFonts w:hint="eastAsia" w:ascii="宋体" w:hAnsi="宋体" w:cs="宋体"/>
          <w:color w:val="000000"/>
          <w:sz w:val="28"/>
          <w:szCs w:val="28"/>
        </w:rPr>
        <w:t>向公司提供抵质押担保</w:t>
      </w:r>
      <w:r>
        <w:rPr>
          <w:rFonts w:hint="eastAsia" w:ascii="宋体" w:hAnsi="宋体" w:eastAsia="宋体" w:cs="宋体"/>
          <w:color w:val="000000"/>
          <w:sz w:val="28"/>
          <w:szCs w:val="28"/>
          <w:lang w:val="en-US" w:eastAsia="zh-CN"/>
        </w:rPr>
        <w:t>。</w:t>
      </w:r>
    </w:p>
    <w:p w14:paraId="2057994E">
      <w:pPr>
        <w:pStyle w:val="12"/>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1020" w:hanging="420" w:firstLineChars="0"/>
        <w:textAlignment w:val="auto"/>
        <w:rPr>
          <w:rFonts w:ascii="仿宋_GB2312" w:hAnsi="宋体" w:eastAsia="仿宋_GB2312" w:cs="黑体-WinCharSetFFFF-H"/>
          <w:kern w:val="0"/>
          <w:sz w:val="30"/>
          <w:szCs w:val="30"/>
        </w:rPr>
      </w:pPr>
      <w:r>
        <w:rPr>
          <w:rFonts w:hint="eastAsia" w:ascii="宋体" w:hAnsi="宋体" w:eastAsia="宋体" w:cs="宋体"/>
          <w:sz w:val="28"/>
          <w:szCs w:val="28"/>
        </w:rPr>
        <w:t>履行的审议程序</w:t>
      </w:r>
      <w:r>
        <w:rPr>
          <w:rFonts w:hint="eastAsia" w:ascii="宋体" w:hAnsi="宋体" w:cs="宋体"/>
          <w:sz w:val="28"/>
          <w:szCs w:val="28"/>
          <w:lang w:eastAsia="zh-CN"/>
        </w:rPr>
        <w:t>：</w:t>
      </w:r>
      <w:r>
        <w:rPr>
          <w:rFonts w:hint="eastAsia" w:ascii="宋体" w:hAnsi="宋体" w:cs="宋体"/>
          <w:sz w:val="28"/>
          <w:szCs w:val="28"/>
          <w:lang w:val="en-US" w:eastAsia="zh-CN"/>
        </w:rPr>
        <w:t>本次财务资助事项</w:t>
      </w:r>
      <w:r>
        <w:rPr>
          <w:rFonts w:hint="eastAsia" w:ascii="宋体" w:hAnsi="宋体" w:cs="宋体"/>
          <w:sz w:val="28"/>
          <w:szCs w:val="28"/>
          <w:lang w:eastAsia="zh-CN"/>
        </w:rPr>
        <w:t>已经公司第</w:t>
      </w:r>
      <w:r>
        <w:rPr>
          <w:rFonts w:hint="eastAsia" w:ascii="宋体" w:hAnsi="宋体" w:cs="宋体"/>
          <w:sz w:val="28"/>
          <w:szCs w:val="28"/>
          <w:lang w:val="en-US" w:eastAsia="zh-CN"/>
        </w:rPr>
        <w:t>九</w:t>
      </w:r>
      <w:r>
        <w:rPr>
          <w:rFonts w:hint="eastAsia" w:ascii="宋体" w:hAnsi="宋体" w:cs="宋体"/>
          <w:sz w:val="28"/>
          <w:szCs w:val="28"/>
          <w:lang w:eastAsia="zh-CN"/>
        </w:rPr>
        <w:t>届董事会第十次会议审议通过，</w:t>
      </w:r>
      <w:r>
        <w:rPr>
          <w:rFonts w:hint="eastAsia" w:ascii="宋体" w:hAnsi="宋体" w:cs="宋体"/>
          <w:sz w:val="28"/>
          <w:szCs w:val="28"/>
          <w:lang w:val="en-US" w:eastAsia="zh-CN"/>
        </w:rPr>
        <w:t>尚</w:t>
      </w:r>
      <w:r>
        <w:rPr>
          <w:rFonts w:hint="eastAsia" w:ascii="宋体" w:hAnsi="宋体" w:cs="宋体"/>
          <w:sz w:val="28"/>
          <w:szCs w:val="28"/>
          <w:lang w:eastAsia="zh-CN"/>
        </w:rPr>
        <w:t>需提交股东大会</w:t>
      </w:r>
      <w:r>
        <w:rPr>
          <w:rFonts w:hint="eastAsia" w:ascii="宋体" w:hAnsi="宋体" w:cs="宋体"/>
          <w:sz w:val="28"/>
          <w:szCs w:val="28"/>
          <w:lang w:val="en-US" w:eastAsia="zh-CN"/>
        </w:rPr>
        <w:t>讨论</w:t>
      </w:r>
      <w:r>
        <w:rPr>
          <w:rFonts w:hint="eastAsia" w:ascii="宋体" w:hAnsi="宋体" w:cs="宋体"/>
          <w:sz w:val="28"/>
          <w:szCs w:val="28"/>
          <w:lang w:eastAsia="zh-CN"/>
        </w:rPr>
        <w:t>审议。</w:t>
      </w:r>
    </w:p>
    <w:p w14:paraId="44BD385B">
      <w:pPr>
        <w:keepNext w:val="0"/>
        <w:keepLines w:val="0"/>
        <w:pageBreakBefore w:val="0"/>
        <w:widowControl w:val="0"/>
        <w:kinsoku/>
        <w:wordWrap/>
        <w:overflowPunct/>
        <w:topLinePunct w:val="0"/>
        <w:autoSpaceDE w:val="0"/>
        <w:autoSpaceDN w:val="0"/>
        <w:bidi w:val="0"/>
        <w:adjustRightInd w:val="0"/>
        <w:snapToGrid w:val="0"/>
        <w:spacing w:before="157" w:beforeLines="50" w:line="520" w:lineRule="exact"/>
        <w:ind w:firstLine="602" w:firstLineChars="200"/>
        <w:textAlignment w:val="auto"/>
        <w:rPr>
          <w:rFonts w:ascii="黑体" w:hAnsi="黑体" w:eastAsia="黑体"/>
          <w:b/>
          <w:sz w:val="30"/>
          <w:szCs w:val="30"/>
        </w:rPr>
      </w:pPr>
      <w:r>
        <w:rPr>
          <w:rFonts w:hint="eastAsia" w:ascii="黑体" w:hAnsi="黑体" w:eastAsia="黑体"/>
          <w:b/>
          <w:sz w:val="30"/>
          <w:szCs w:val="30"/>
        </w:rPr>
        <w:t>一、财务资助事项概述</w:t>
      </w:r>
    </w:p>
    <w:p w14:paraId="5F0728CD">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kern w:val="2"/>
          <w:sz w:val="28"/>
          <w:szCs w:val="28"/>
          <w:lang w:val="en-US" w:eastAsia="zh-CN" w:bidi="ar-SA"/>
        </w:rPr>
        <w:t>为满足新疆能化生产经营资金需求，公司拟向其</w:t>
      </w:r>
      <w:r>
        <w:rPr>
          <w:rFonts w:hint="eastAsia" w:ascii="宋体" w:hAnsi="宋体" w:eastAsia="宋体" w:cs="宋体"/>
          <w:color w:val="000000"/>
          <w:sz w:val="28"/>
          <w:szCs w:val="28"/>
          <w:lang w:val="en-US" w:eastAsia="zh-CN"/>
        </w:rPr>
        <w:t>提供</w:t>
      </w:r>
      <w:r>
        <w:rPr>
          <w:rFonts w:hint="eastAsia" w:ascii="宋体" w:hAnsi="宋体" w:cs="宋体"/>
          <w:color w:val="000000"/>
          <w:sz w:val="28"/>
          <w:szCs w:val="28"/>
          <w:lang w:val="en-US" w:eastAsia="zh-CN"/>
        </w:rPr>
        <w:t>人民币</w:t>
      </w:r>
      <w:r>
        <w:rPr>
          <w:rFonts w:hint="eastAsia" w:ascii="宋体" w:hAnsi="宋体" w:eastAsia="宋体" w:cs="宋体"/>
          <w:color w:val="000000"/>
          <w:sz w:val="28"/>
          <w:szCs w:val="28"/>
          <w:lang w:val="en-US" w:eastAsia="zh-CN"/>
        </w:rPr>
        <w:t>50亿元内部借款，期限不超过3年，利率为新疆能化同期存续外部银行借款平均利率，每年调整一次，且不得低于公司资金成本。新疆能化以净值不低于借款金额的资产</w:t>
      </w:r>
      <w:r>
        <w:rPr>
          <w:rFonts w:hint="eastAsia" w:ascii="宋体" w:hAnsi="宋体" w:cs="宋体"/>
          <w:color w:val="000000"/>
          <w:sz w:val="28"/>
          <w:szCs w:val="28"/>
        </w:rPr>
        <w:t>向公司提供抵质押担保，并将办理相关资产的抵质押手续</w:t>
      </w:r>
      <w:r>
        <w:rPr>
          <w:rFonts w:hint="eastAsia" w:ascii="宋体" w:hAnsi="宋体" w:eastAsia="宋体" w:cs="宋体"/>
          <w:color w:val="000000"/>
          <w:sz w:val="28"/>
          <w:szCs w:val="28"/>
          <w:lang w:val="en-US" w:eastAsia="zh-CN"/>
        </w:rPr>
        <w:t>。</w:t>
      </w:r>
    </w:p>
    <w:p w14:paraId="058587D5">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both"/>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根据上海证券交易所上市规则，本次财务资助事项不构成关联交易；构成需股东大会审批的财务资助。</w:t>
      </w:r>
    </w:p>
    <w:p w14:paraId="3414B170">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both"/>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根据香港联合交易所有限公司上市规则，本次内部借款事项构成公司与控股股东间的关联交易。根据交易金额测算，属公司董事会审批权限并且关联董事回避表决。</w:t>
      </w:r>
    </w:p>
    <w:p w14:paraId="1A4F68F5">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both"/>
        <w:textAlignment w:val="auto"/>
        <w:rPr>
          <w:rFonts w:hint="eastAsia" w:ascii="宋体" w:hAnsi="宋体" w:eastAsia="宋体" w:cs="宋体"/>
          <w:kern w:val="2"/>
          <w:sz w:val="28"/>
          <w:szCs w:val="28"/>
          <w:lang w:val="en-US" w:eastAsia="zh-CN" w:bidi="ar-SA"/>
        </w:rPr>
      </w:pPr>
      <w:r>
        <w:rPr>
          <w:rFonts w:hint="eastAsia" w:ascii="宋体" w:hAnsi="宋体" w:cs="宋体"/>
          <w:color w:val="000000"/>
          <w:sz w:val="28"/>
          <w:szCs w:val="28"/>
        </w:rPr>
        <w:t>2</w:t>
      </w:r>
      <w:r>
        <w:rPr>
          <w:rFonts w:ascii="宋体" w:hAnsi="宋体" w:cs="宋体"/>
          <w:color w:val="000000"/>
          <w:sz w:val="28"/>
          <w:szCs w:val="28"/>
        </w:rPr>
        <w:t>024</w:t>
      </w:r>
      <w:r>
        <w:rPr>
          <w:rFonts w:hint="eastAsia" w:ascii="宋体" w:hAnsi="宋体" w:cs="宋体"/>
          <w:color w:val="000000"/>
          <w:sz w:val="28"/>
          <w:szCs w:val="28"/>
        </w:rPr>
        <w:t>年8月3</w:t>
      </w:r>
      <w:r>
        <w:rPr>
          <w:rFonts w:ascii="宋体" w:hAnsi="宋体" w:cs="宋体"/>
          <w:color w:val="000000"/>
          <w:sz w:val="28"/>
          <w:szCs w:val="28"/>
        </w:rPr>
        <w:t>0</w:t>
      </w:r>
      <w:r>
        <w:rPr>
          <w:rFonts w:hint="eastAsia" w:ascii="宋体" w:hAnsi="宋体" w:cs="宋体"/>
          <w:color w:val="000000"/>
          <w:sz w:val="28"/>
          <w:szCs w:val="28"/>
        </w:rPr>
        <w:t>日，公司召开第九届董事会第十次会议，审议通过了《关于公司向控股子公司提供内部借款的议案》，</w:t>
      </w:r>
      <w:r>
        <w:rPr>
          <w:rFonts w:hint="eastAsia" w:ascii="宋体" w:hAnsi="宋体" w:cs="宋体"/>
          <w:color w:val="000000"/>
          <w:sz w:val="28"/>
          <w:szCs w:val="28"/>
          <w:lang w:val="en-US" w:eastAsia="zh-CN"/>
        </w:rPr>
        <w:t>4</w:t>
      </w:r>
      <w:r>
        <w:rPr>
          <w:rFonts w:hint="eastAsia" w:ascii="宋体" w:hAnsi="宋体" w:cs="宋体"/>
          <w:color w:val="000000"/>
          <w:sz w:val="28"/>
          <w:szCs w:val="28"/>
        </w:rPr>
        <w:t>名关联董事回避表决，其余</w:t>
      </w:r>
      <w:r>
        <w:rPr>
          <w:rFonts w:hint="eastAsia" w:ascii="宋体" w:hAnsi="宋体" w:cs="宋体"/>
          <w:color w:val="000000"/>
          <w:sz w:val="28"/>
          <w:szCs w:val="28"/>
          <w:lang w:val="en-US" w:eastAsia="zh-CN"/>
        </w:rPr>
        <w:t>7</w:t>
      </w:r>
      <w:r>
        <w:rPr>
          <w:rFonts w:hint="eastAsia" w:ascii="宋体" w:hAnsi="宋体" w:cs="宋体"/>
          <w:color w:val="000000"/>
          <w:sz w:val="28"/>
          <w:szCs w:val="28"/>
        </w:rPr>
        <w:t>名非关联董事一致赞成。本次财务资助事项尚需提交股东大会讨论审议。</w:t>
      </w:r>
    </w:p>
    <w:p w14:paraId="77E0CA4A">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本次提供财务资助事项不会影响公司正常业务开展及资金使用，不属于</w:t>
      </w:r>
      <w:r>
        <w:rPr>
          <w:rFonts w:hint="eastAsia" w:ascii="宋体" w:hAnsi="宋体" w:cs="宋体"/>
          <w:color w:val="000000"/>
          <w:sz w:val="28"/>
          <w:szCs w:val="28"/>
          <w:lang w:val="en-US" w:eastAsia="zh-CN"/>
        </w:rPr>
        <w:t>上海证券交易所上市规则</w:t>
      </w:r>
      <w:r>
        <w:rPr>
          <w:rFonts w:hint="eastAsia" w:ascii="宋体" w:hAnsi="宋体" w:eastAsia="宋体" w:cs="宋体"/>
          <w:kern w:val="2"/>
          <w:sz w:val="28"/>
          <w:szCs w:val="28"/>
          <w:lang w:val="en-US" w:eastAsia="zh-CN" w:bidi="ar-SA"/>
        </w:rPr>
        <w:t>等规定的不得提供财务资助的情形。</w:t>
      </w:r>
    </w:p>
    <w:p w14:paraId="591529E9">
      <w:pPr>
        <w:keepNext w:val="0"/>
        <w:keepLines w:val="0"/>
        <w:pageBreakBefore w:val="0"/>
        <w:widowControl w:val="0"/>
        <w:kinsoku/>
        <w:wordWrap/>
        <w:overflowPunct/>
        <w:topLinePunct w:val="0"/>
        <w:autoSpaceDE w:val="0"/>
        <w:autoSpaceDN w:val="0"/>
        <w:bidi w:val="0"/>
        <w:adjustRightInd w:val="0"/>
        <w:spacing w:line="520" w:lineRule="exact"/>
        <w:ind w:firstLine="602" w:firstLineChars="200"/>
        <w:jc w:val="both"/>
        <w:textAlignment w:val="auto"/>
        <w:rPr>
          <w:rFonts w:ascii="仿宋_GB2312" w:hAnsi="宋体" w:eastAsia="仿宋_GB2312"/>
          <w:color w:val="000000"/>
          <w:kern w:val="0"/>
          <w:sz w:val="30"/>
          <w:szCs w:val="30"/>
        </w:rPr>
      </w:pPr>
      <w:r>
        <w:rPr>
          <w:rFonts w:hint="eastAsia" w:ascii="黑体" w:hAnsi="黑体" w:eastAsia="黑体" w:cs="宋体-WinCharSetFFFF-H"/>
          <w:b/>
          <w:color w:val="000000"/>
          <w:kern w:val="0"/>
          <w:sz w:val="30"/>
          <w:szCs w:val="30"/>
        </w:rPr>
        <w:t>二、</w:t>
      </w:r>
      <w:r>
        <w:rPr>
          <w:rFonts w:hint="eastAsia" w:ascii="黑体" w:hAnsi="黑体" w:eastAsia="黑体" w:cs="宋体-WinCharSetFFFF-H"/>
          <w:b/>
          <w:color w:val="000000"/>
          <w:kern w:val="0"/>
          <w:sz w:val="30"/>
          <w:szCs w:val="30"/>
          <w:lang w:val="en-US" w:eastAsia="zh-CN"/>
        </w:rPr>
        <w:t>新疆能化</w:t>
      </w:r>
      <w:r>
        <w:rPr>
          <w:rFonts w:hint="eastAsia" w:ascii="黑体" w:hAnsi="黑体" w:eastAsia="黑体" w:cs="宋体-WinCharSetFFFF-H"/>
          <w:b/>
          <w:color w:val="000000"/>
          <w:kern w:val="0"/>
          <w:sz w:val="30"/>
          <w:szCs w:val="30"/>
        </w:rPr>
        <w:t>基本情况</w:t>
      </w:r>
    </w:p>
    <w:p w14:paraId="4FFAAF53">
      <w:pPr>
        <w:keepNext w:val="0"/>
        <w:keepLines w:val="0"/>
        <w:pageBreakBefore w:val="0"/>
        <w:widowControl w:val="0"/>
        <w:kinsoku/>
        <w:wordWrap/>
        <w:overflowPunct/>
        <w:topLinePunct w:val="0"/>
        <w:autoSpaceDE w:val="0"/>
        <w:autoSpaceDN w:val="0"/>
        <w:bidi w:val="0"/>
        <w:adjustRightInd w:val="0"/>
        <w:spacing w:line="520" w:lineRule="exact"/>
        <w:ind w:firstLine="540" w:firstLineChars="192"/>
        <w:jc w:val="both"/>
        <w:textAlignment w:val="auto"/>
        <w:rPr>
          <w:rFonts w:hint="eastAsia" w:ascii="楷体_GB2312" w:hAnsi="楷体_GB2312" w:eastAsia="楷体_GB2312" w:cs="楷体_GB2312"/>
          <w:b/>
          <w:bCs/>
          <w:color w:val="000000"/>
          <w:sz w:val="28"/>
          <w:szCs w:val="28"/>
          <w:lang w:val="en-US" w:eastAsia="zh-CN"/>
        </w:rPr>
      </w:pPr>
      <w:r>
        <w:rPr>
          <w:rFonts w:hint="eastAsia" w:ascii="楷体_GB2312" w:hAnsi="楷体_GB2312" w:eastAsia="楷体_GB2312" w:cs="楷体_GB2312"/>
          <w:b/>
          <w:bCs/>
          <w:color w:val="000000"/>
          <w:sz w:val="28"/>
          <w:szCs w:val="28"/>
          <w:lang w:val="en-US" w:eastAsia="zh-CN"/>
        </w:rPr>
        <w:t>（一）公司简介</w:t>
      </w:r>
    </w:p>
    <w:p w14:paraId="269C6750">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新疆能化于2007年8月在乌鲁木齐市注册成立，统一社会信用代码91650100663634039B，法定代表人为王绪友，注册资本</w:t>
      </w:r>
      <w:r>
        <w:rPr>
          <w:rFonts w:hint="eastAsia" w:ascii="宋体" w:hAnsi="宋体" w:cs="宋体"/>
          <w:color w:val="000000"/>
          <w:sz w:val="28"/>
          <w:szCs w:val="28"/>
          <w:lang w:val="en-US" w:eastAsia="zh-CN"/>
        </w:rPr>
        <w:t>人民币</w:t>
      </w:r>
      <w:r>
        <w:rPr>
          <w:rFonts w:hint="eastAsia" w:ascii="宋体" w:hAnsi="宋体" w:eastAsia="宋体" w:cs="宋体"/>
          <w:color w:val="000000"/>
          <w:sz w:val="28"/>
          <w:szCs w:val="28"/>
          <w:lang w:val="en-US" w:eastAsia="zh-CN"/>
        </w:rPr>
        <w:t>30</w:t>
      </w:r>
      <w:r>
        <w:rPr>
          <w:rFonts w:hint="eastAsia" w:ascii="宋体" w:hAnsi="宋体" w:cs="宋体"/>
          <w:color w:val="000000"/>
          <w:sz w:val="28"/>
          <w:szCs w:val="28"/>
          <w:lang w:val="en-US" w:eastAsia="zh-CN"/>
        </w:rPr>
        <w:t>亿</w:t>
      </w:r>
      <w:r>
        <w:rPr>
          <w:rFonts w:hint="eastAsia" w:ascii="宋体" w:hAnsi="宋体" w:eastAsia="宋体" w:cs="宋体"/>
          <w:color w:val="000000"/>
          <w:sz w:val="28"/>
          <w:szCs w:val="28"/>
          <w:lang w:val="en-US" w:eastAsia="zh-CN"/>
        </w:rPr>
        <w:t>元，住所为新疆乌鲁木齐高新区(新市区)宁泰巷97号兖矿大厦7层，主要从事煤炭开采、洗选与销售，煤化工等煤炭产业链上下游业务</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为兖矿能源控股子公司，其主要财务指标如下（按中国会计准则编制）：</w:t>
      </w:r>
    </w:p>
    <w:p w14:paraId="72582389">
      <w:pPr>
        <w:keepNext w:val="0"/>
        <w:keepLines w:val="0"/>
        <w:pageBreakBefore w:val="0"/>
        <w:widowControl w:val="0"/>
        <w:kinsoku/>
        <w:wordWrap/>
        <w:overflowPunct/>
        <w:topLinePunct w:val="0"/>
        <w:autoSpaceDE/>
        <w:autoSpaceDN/>
        <w:bidi w:val="0"/>
        <w:adjustRightInd/>
        <w:snapToGrid/>
        <w:spacing w:line="500" w:lineRule="exact"/>
        <w:ind w:firstLine="5104" w:firstLineChars="2200"/>
        <w:textAlignment w:val="auto"/>
        <w:rPr>
          <w:rFonts w:hint="eastAsia" w:ascii="宋体" w:hAnsi="宋体"/>
          <w:spacing w:val="-4"/>
          <w:sz w:val="24"/>
          <w:szCs w:val="24"/>
          <w:highlight w:val="none"/>
        </w:rPr>
      </w:pPr>
      <w:r>
        <w:rPr>
          <w:rFonts w:hint="eastAsia" w:ascii="宋体" w:hAnsi="宋体"/>
          <w:spacing w:val="-4"/>
          <w:sz w:val="24"/>
          <w:szCs w:val="24"/>
          <w:highlight w:val="none"/>
        </w:rPr>
        <w:t>币种</w:t>
      </w:r>
      <w:r>
        <w:rPr>
          <w:rFonts w:ascii="宋体" w:hAnsi="宋体"/>
          <w:spacing w:val="-4"/>
          <w:sz w:val="24"/>
          <w:szCs w:val="24"/>
          <w:highlight w:val="none"/>
        </w:rPr>
        <w:t xml:space="preserve">:人民币  </w:t>
      </w:r>
      <w:r>
        <w:rPr>
          <w:rFonts w:hint="eastAsia" w:ascii="宋体" w:hAnsi="宋体"/>
          <w:spacing w:val="-4"/>
          <w:sz w:val="24"/>
          <w:szCs w:val="24"/>
          <w:highlight w:val="none"/>
        </w:rPr>
        <w:t>单位：千元</w:t>
      </w:r>
    </w:p>
    <w:tbl>
      <w:tblPr>
        <w:tblStyle w:val="7"/>
        <w:tblW w:w="4988" w:type="pct"/>
        <w:jc w:val="center"/>
        <w:tblLayout w:type="autofit"/>
        <w:tblCellMar>
          <w:top w:w="0" w:type="dxa"/>
          <w:left w:w="108" w:type="dxa"/>
          <w:bottom w:w="0" w:type="dxa"/>
          <w:right w:w="108" w:type="dxa"/>
        </w:tblCellMar>
      </w:tblPr>
      <w:tblGrid>
        <w:gridCol w:w="2766"/>
        <w:gridCol w:w="2936"/>
        <w:gridCol w:w="2800"/>
      </w:tblGrid>
      <w:tr w14:paraId="572940BE">
        <w:tblPrEx>
          <w:tblCellMar>
            <w:top w:w="0" w:type="dxa"/>
            <w:left w:w="108" w:type="dxa"/>
            <w:bottom w:w="0" w:type="dxa"/>
            <w:right w:w="108" w:type="dxa"/>
          </w:tblCellMar>
        </w:tblPrEx>
        <w:trPr>
          <w:trHeight w:val="562" w:hRule="atLeast"/>
          <w:jc w:val="center"/>
        </w:trPr>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14:paraId="53F122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1726" w:type="pct"/>
            <w:tcBorders>
              <w:top w:val="single" w:color="auto" w:sz="4" w:space="0"/>
              <w:left w:val="nil"/>
              <w:bottom w:val="single" w:color="auto" w:sz="4" w:space="0"/>
              <w:right w:val="single" w:color="auto" w:sz="4" w:space="0"/>
            </w:tcBorders>
            <w:shd w:val="clear" w:color="auto" w:fill="auto"/>
            <w:vAlign w:val="center"/>
          </w:tcPr>
          <w:p w14:paraId="392397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2024年6月30日</w:t>
            </w:r>
          </w:p>
          <w:p w14:paraId="5A8F2E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未经审计</w:t>
            </w:r>
            <w:r>
              <w:rPr>
                <w:rFonts w:hint="eastAsia" w:ascii="宋体" w:hAnsi="宋体" w:cs="宋体"/>
                <w:sz w:val="24"/>
                <w:szCs w:val="24"/>
                <w:lang w:eastAsia="zh-CN"/>
              </w:rPr>
              <w:t>）</w:t>
            </w:r>
          </w:p>
        </w:tc>
        <w:tc>
          <w:tcPr>
            <w:tcW w:w="1646" w:type="pct"/>
            <w:tcBorders>
              <w:top w:val="single" w:color="auto" w:sz="4" w:space="0"/>
              <w:left w:val="nil"/>
              <w:bottom w:val="single" w:color="auto" w:sz="4" w:space="0"/>
              <w:right w:val="single" w:color="auto" w:sz="4" w:space="0"/>
            </w:tcBorders>
            <w:shd w:val="clear" w:color="auto" w:fill="auto"/>
            <w:vAlign w:val="center"/>
          </w:tcPr>
          <w:p w14:paraId="22BE27E7">
            <w:pPr>
              <w:keepNext w:val="0"/>
              <w:keepLines w:val="0"/>
              <w:pageBreakBefore w:val="0"/>
              <w:widowControl w:val="0"/>
              <w:kinsoku/>
              <w:wordWrap/>
              <w:overflowPunct/>
              <w:topLinePunct w:val="0"/>
              <w:autoSpaceDE/>
              <w:autoSpaceDN/>
              <w:bidi w:val="0"/>
              <w:adjustRightInd/>
              <w:snapToGrid/>
              <w:spacing w:line="400" w:lineRule="exact"/>
              <w:ind w:left="-73" w:leftChars="-35"/>
              <w:jc w:val="center"/>
              <w:textAlignment w:val="auto"/>
              <w:rPr>
                <w:rFonts w:hint="eastAsia" w:ascii="宋体" w:hAnsi="宋体" w:eastAsia="宋体" w:cs="宋体"/>
                <w:sz w:val="24"/>
                <w:szCs w:val="24"/>
              </w:rPr>
            </w:pPr>
            <w:r>
              <w:rPr>
                <w:rFonts w:hint="eastAsia" w:ascii="宋体" w:hAnsi="宋体" w:eastAsia="宋体" w:cs="宋体"/>
                <w:sz w:val="24"/>
                <w:szCs w:val="24"/>
              </w:rPr>
              <w:t>2023年12月31日</w:t>
            </w:r>
          </w:p>
          <w:p w14:paraId="29336280">
            <w:pPr>
              <w:keepNext w:val="0"/>
              <w:keepLines w:val="0"/>
              <w:pageBreakBefore w:val="0"/>
              <w:widowControl w:val="0"/>
              <w:kinsoku/>
              <w:wordWrap/>
              <w:overflowPunct/>
              <w:topLinePunct w:val="0"/>
              <w:autoSpaceDE/>
              <w:autoSpaceDN/>
              <w:bidi w:val="0"/>
              <w:adjustRightInd/>
              <w:snapToGrid/>
              <w:spacing w:line="400" w:lineRule="exact"/>
              <w:ind w:left="-73" w:leftChars="-35"/>
              <w:jc w:val="center"/>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经审计</w:t>
            </w:r>
            <w:r>
              <w:rPr>
                <w:rFonts w:hint="eastAsia" w:ascii="宋体" w:hAnsi="宋体" w:cs="宋体"/>
                <w:sz w:val="24"/>
                <w:szCs w:val="24"/>
                <w:lang w:eastAsia="zh-CN"/>
              </w:rPr>
              <w:t>）</w:t>
            </w:r>
          </w:p>
        </w:tc>
      </w:tr>
      <w:tr w14:paraId="7754746A">
        <w:tblPrEx>
          <w:tblCellMar>
            <w:top w:w="0" w:type="dxa"/>
            <w:left w:w="108" w:type="dxa"/>
            <w:bottom w:w="0" w:type="dxa"/>
            <w:right w:w="108" w:type="dxa"/>
          </w:tblCellMar>
        </w:tblPrEx>
        <w:trPr>
          <w:trHeight w:val="454" w:hRule="atLeast"/>
          <w:jc w:val="center"/>
        </w:trPr>
        <w:tc>
          <w:tcPr>
            <w:tcW w:w="1626" w:type="pct"/>
            <w:tcBorders>
              <w:top w:val="nil"/>
              <w:left w:val="single" w:color="auto" w:sz="4" w:space="0"/>
              <w:bottom w:val="single" w:color="auto" w:sz="4" w:space="0"/>
              <w:right w:val="single" w:color="auto" w:sz="4" w:space="0"/>
            </w:tcBorders>
            <w:shd w:val="clear" w:color="auto" w:fill="auto"/>
            <w:vAlign w:val="center"/>
          </w:tcPr>
          <w:p w14:paraId="53094A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资产总额</w:t>
            </w:r>
          </w:p>
        </w:tc>
        <w:tc>
          <w:tcPr>
            <w:tcW w:w="1726" w:type="pct"/>
            <w:tcBorders>
              <w:top w:val="nil"/>
              <w:left w:val="nil"/>
              <w:bottom w:val="single" w:color="auto" w:sz="4" w:space="0"/>
              <w:right w:val="single" w:color="auto" w:sz="4" w:space="0"/>
            </w:tcBorders>
            <w:shd w:val="clear" w:color="auto" w:fill="auto"/>
          </w:tcPr>
          <w:p w14:paraId="4B4DA66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17</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815</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64</w:t>
            </w:r>
            <w:r>
              <w:rPr>
                <w:rFonts w:hint="eastAsia" w:ascii="宋体" w:hAnsi="宋体" w:cs="宋体"/>
                <w:color w:val="000000"/>
                <w:sz w:val="24"/>
                <w:szCs w:val="24"/>
                <w:lang w:val="en-US" w:eastAsia="zh-CN"/>
              </w:rPr>
              <w:t>8</w:t>
            </w:r>
          </w:p>
        </w:tc>
        <w:tc>
          <w:tcPr>
            <w:tcW w:w="1646" w:type="pct"/>
            <w:tcBorders>
              <w:top w:val="single" w:color="auto" w:sz="4" w:space="0"/>
              <w:left w:val="nil"/>
              <w:bottom w:val="single" w:color="auto" w:sz="4" w:space="0"/>
              <w:right w:val="single" w:color="auto" w:sz="4" w:space="0"/>
            </w:tcBorders>
            <w:shd w:val="clear" w:color="auto" w:fill="auto"/>
            <w:vAlign w:val="top"/>
          </w:tcPr>
          <w:p w14:paraId="1236DE4C">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17,678,52</w:t>
            </w:r>
            <w:r>
              <w:rPr>
                <w:rFonts w:hint="eastAsia" w:ascii="宋体" w:hAnsi="宋体" w:cs="宋体"/>
                <w:color w:val="000000"/>
                <w:sz w:val="24"/>
                <w:szCs w:val="24"/>
                <w:highlight w:val="none"/>
                <w:lang w:val="en-US" w:eastAsia="zh-CN"/>
              </w:rPr>
              <w:t>7</w:t>
            </w:r>
          </w:p>
        </w:tc>
      </w:tr>
      <w:tr w14:paraId="66BDBB85">
        <w:tblPrEx>
          <w:tblCellMar>
            <w:top w:w="0" w:type="dxa"/>
            <w:left w:w="108" w:type="dxa"/>
            <w:bottom w:w="0" w:type="dxa"/>
            <w:right w:w="108" w:type="dxa"/>
          </w:tblCellMar>
        </w:tblPrEx>
        <w:trPr>
          <w:trHeight w:val="454" w:hRule="atLeast"/>
          <w:jc w:val="center"/>
        </w:trPr>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14:paraId="4034AE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负债总额</w:t>
            </w:r>
          </w:p>
        </w:tc>
        <w:tc>
          <w:tcPr>
            <w:tcW w:w="1726" w:type="pct"/>
            <w:tcBorders>
              <w:top w:val="single" w:color="auto" w:sz="4" w:space="0"/>
              <w:left w:val="nil"/>
              <w:bottom w:val="single" w:color="auto" w:sz="4" w:space="0"/>
              <w:right w:val="single" w:color="auto" w:sz="4" w:space="0"/>
            </w:tcBorders>
            <w:shd w:val="clear" w:color="auto" w:fill="auto"/>
          </w:tcPr>
          <w:p w14:paraId="0DBAD38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15</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711</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55</w:t>
            </w:r>
            <w:r>
              <w:rPr>
                <w:rFonts w:hint="eastAsia" w:ascii="宋体" w:hAnsi="宋体" w:cs="宋体"/>
                <w:color w:val="000000"/>
                <w:sz w:val="24"/>
                <w:szCs w:val="24"/>
                <w:lang w:val="en-US" w:eastAsia="zh-CN"/>
              </w:rPr>
              <w:t>9</w:t>
            </w:r>
          </w:p>
        </w:tc>
        <w:tc>
          <w:tcPr>
            <w:tcW w:w="1646" w:type="pct"/>
            <w:tcBorders>
              <w:top w:val="single" w:color="auto" w:sz="4" w:space="0"/>
              <w:left w:val="nil"/>
              <w:bottom w:val="single" w:color="auto" w:sz="4" w:space="0"/>
              <w:right w:val="single" w:color="auto" w:sz="4" w:space="0"/>
            </w:tcBorders>
            <w:shd w:val="clear" w:color="auto" w:fill="auto"/>
            <w:vAlign w:val="top"/>
          </w:tcPr>
          <w:p w14:paraId="27572D9B">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16,044,08</w:t>
            </w:r>
            <w:r>
              <w:rPr>
                <w:rFonts w:hint="eastAsia" w:ascii="宋体" w:hAnsi="宋体" w:cs="宋体"/>
                <w:color w:val="000000"/>
                <w:sz w:val="24"/>
                <w:szCs w:val="24"/>
                <w:highlight w:val="none"/>
                <w:lang w:val="en-US" w:eastAsia="zh-CN"/>
              </w:rPr>
              <w:t>7</w:t>
            </w:r>
          </w:p>
        </w:tc>
      </w:tr>
      <w:tr w14:paraId="35F44484">
        <w:tblPrEx>
          <w:tblCellMar>
            <w:top w:w="0" w:type="dxa"/>
            <w:left w:w="108" w:type="dxa"/>
            <w:bottom w:w="0" w:type="dxa"/>
            <w:right w:w="108" w:type="dxa"/>
          </w:tblCellMar>
        </w:tblPrEx>
        <w:trPr>
          <w:trHeight w:val="454" w:hRule="atLeast"/>
          <w:jc w:val="center"/>
        </w:trPr>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14:paraId="3EEA0E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净资产</w:t>
            </w:r>
          </w:p>
        </w:tc>
        <w:tc>
          <w:tcPr>
            <w:tcW w:w="1726" w:type="pct"/>
            <w:tcBorders>
              <w:top w:val="single" w:color="auto" w:sz="4" w:space="0"/>
              <w:left w:val="nil"/>
              <w:bottom w:val="single" w:color="auto" w:sz="4" w:space="0"/>
              <w:right w:val="single" w:color="auto" w:sz="4" w:space="0"/>
            </w:tcBorders>
            <w:shd w:val="clear" w:color="auto" w:fill="auto"/>
          </w:tcPr>
          <w:p w14:paraId="457535C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104</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08</w:t>
            </w:r>
            <w:r>
              <w:rPr>
                <w:rFonts w:hint="eastAsia" w:ascii="宋体" w:hAnsi="宋体" w:cs="宋体"/>
                <w:color w:val="000000"/>
                <w:sz w:val="24"/>
                <w:szCs w:val="24"/>
                <w:lang w:val="en-US" w:eastAsia="zh-CN"/>
              </w:rPr>
              <w:t>9</w:t>
            </w:r>
          </w:p>
        </w:tc>
        <w:tc>
          <w:tcPr>
            <w:tcW w:w="1646" w:type="pct"/>
            <w:tcBorders>
              <w:top w:val="single" w:color="auto" w:sz="4" w:space="0"/>
              <w:left w:val="nil"/>
              <w:bottom w:val="single" w:color="auto" w:sz="4" w:space="0"/>
              <w:right w:val="single" w:color="auto" w:sz="4" w:space="0"/>
            </w:tcBorders>
            <w:shd w:val="clear" w:color="auto" w:fill="auto"/>
            <w:vAlign w:val="top"/>
          </w:tcPr>
          <w:p w14:paraId="4211560E">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1,634,4</w:t>
            </w:r>
            <w:r>
              <w:rPr>
                <w:rFonts w:hint="eastAsia" w:ascii="宋体" w:hAnsi="宋体" w:cs="宋体"/>
                <w:color w:val="000000"/>
                <w:sz w:val="24"/>
                <w:szCs w:val="24"/>
                <w:highlight w:val="none"/>
                <w:lang w:val="en-US" w:eastAsia="zh-CN"/>
              </w:rPr>
              <w:t>40</w:t>
            </w:r>
          </w:p>
        </w:tc>
      </w:tr>
      <w:tr w14:paraId="5E7D3925">
        <w:tblPrEx>
          <w:tblCellMar>
            <w:top w:w="0" w:type="dxa"/>
            <w:left w:w="108" w:type="dxa"/>
            <w:bottom w:w="0" w:type="dxa"/>
            <w:right w:w="108" w:type="dxa"/>
          </w:tblCellMar>
        </w:tblPrEx>
        <w:trPr>
          <w:trHeight w:val="454" w:hRule="atLeast"/>
          <w:jc w:val="center"/>
        </w:trPr>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14:paraId="6FAAD2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资产负债率</w:t>
            </w:r>
          </w:p>
        </w:tc>
        <w:tc>
          <w:tcPr>
            <w:tcW w:w="1726" w:type="pct"/>
            <w:tcBorders>
              <w:top w:val="single" w:color="auto" w:sz="4" w:space="0"/>
              <w:left w:val="nil"/>
              <w:bottom w:val="single" w:color="auto" w:sz="4" w:space="0"/>
              <w:right w:val="single" w:color="auto" w:sz="4" w:space="0"/>
            </w:tcBorders>
            <w:shd w:val="clear" w:color="auto" w:fill="auto"/>
            <w:vAlign w:val="center"/>
          </w:tcPr>
          <w:p w14:paraId="2AF3F218">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88</w:t>
            </w: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w:t>
            </w:r>
          </w:p>
        </w:tc>
        <w:tc>
          <w:tcPr>
            <w:tcW w:w="1646" w:type="pct"/>
            <w:tcBorders>
              <w:top w:val="single" w:color="auto" w:sz="4" w:space="0"/>
              <w:left w:val="nil"/>
              <w:bottom w:val="single" w:color="auto" w:sz="4" w:space="0"/>
              <w:right w:val="single" w:color="auto" w:sz="4" w:space="0"/>
            </w:tcBorders>
            <w:shd w:val="clear" w:color="auto" w:fill="auto"/>
            <w:vAlign w:val="center"/>
          </w:tcPr>
          <w:p w14:paraId="433AA94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90.75%</w:t>
            </w:r>
          </w:p>
        </w:tc>
      </w:tr>
      <w:tr w14:paraId="73D156CD">
        <w:tblPrEx>
          <w:tblCellMar>
            <w:top w:w="0" w:type="dxa"/>
            <w:left w:w="108" w:type="dxa"/>
            <w:bottom w:w="0" w:type="dxa"/>
            <w:right w:w="108" w:type="dxa"/>
          </w:tblCellMar>
        </w:tblPrEx>
        <w:trPr>
          <w:trHeight w:val="510" w:hRule="atLeast"/>
          <w:jc w:val="center"/>
        </w:trPr>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14:paraId="7AA194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1726" w:type="pct"/>
            <w:tcBorders>
              <w:top w:val="single" w:color="auto" w:sz="4" w:space="0"/>
              <w:left w:val="single" w:color="auto" w:sz="4" w:space="0"/>
              <w:bottom w:val="single" w:color="auto" w:sz="4" w:space="0"/>
              <w:right w:val="single" w:color="auto" w:sz="4" w:space="0"/>
            </w:tcBorders>
            <w:shd w:val="clear" w:color="auto" w:fill="auto"/>
            <w:vAlign w:val="center"/>
          </w:tcPr>
          <w:p w14:paraId="5E324D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2024年1-6月</w:t>
            </w:r>
          </w:p>
          <w:p w14:paraId="4B30FC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未经审计</w:t>
            </w:r>
            <w:r>
              <w:rPr>
                <w:rFonts w:hint="eastAsia" w:ascii="宋体" w:hAnsi="宋体" w:cs="宋体"/>
                <w:sz w:val="24"/>
                <w:szCs w:val="24"/>
                <w:lang w:eastAsia="zh-CN"/>
              </w:rPr>
              <w:t>）</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14:paraId="670416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2023年度</w:t>
            </w:r>
          </w:p>
          <w:p w14:paraId="76FB0F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经审计</w:t>
            </w:r>
            <w:r>
              <w:rPr>
                <w:rFonts w:hint="eastAsia" w:ascii="宋体" w:hAnsi="宋体" w:cs="宋体"/>
                <w:sz w:val="24"/>
                <w:szCs w:val="24"/>
                <w:lang w:eastAsia="zh-CN"/>
              </w:rPr>
              <w:t>）</w:t>
            </w:r>
          </w:p>
        </w:tc>
      </w:tr>
      <w:tr w14:paraId="6DB0CACB">
        <w:tblPrEx>
          <w:tblCellMar>
            <w:top w:w="0" w:type="dxa"/>
            <w:left w:w="108" w:type="dxa"/>
            <w:bottom w:w="0" w:type="dxa"/>
            <w:right w:w="108" w:type="dxa"/>
          </w:tblCellMar>
        </w:tblPrEx>
        <w:trPr>
          <w:trHeight w:val="454" w:hRule="atLeast"/>
          <w:jc w:val="center"/>
        </w:trPr>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14:paraId="7B7402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营业收入</w:t>
            </w:r>
          </w:p>
        </w:tc>
        <w:tc>
          <w:tcPr>
            <w:tcW w:w="1726" w:type="pct"/>
            <w:tcBorders>
              <w:top w:val="single" w:color="auto" w:sz="4" w:space="0"/>
              <w:left w:val="single" w:color="auto" w:sz="4" w:space="0"/>
              <w:bottom w:val="single" w:color="auto" w:sz="4" w:space="0"/>
              <w:right w:val="single" w:color="auto" w:sz="4" w:space="0"/>
            </w:tcBorders>
            <w:shd w:val="clear" w:color="auto" w:fill="auto"/>
          </w:tcPr>
          <w:p w14:paraId="5EBDB9D8">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364</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70</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top"/>
          </w:tcPr>
          <w:p w14:paraId="5EB9818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sz w:val="24"/>
                <w:szCs w:val="24"/>
              </w:rPr>
            </w:pPr>
            <w:r>
              <w:rPr>
                <w:rFonts w:hint="eastAsia" w:ascii="宋体" w:hAnsi="宋体" w:cs="宋体"/>
                <w:color w:val="000000"/>
                <w:sz w:val="24"/>
                <w:szCs w:val="24"/>
                <w:highlight w:val="none"/>
                <w:lang w:val="en-US" w:eastAsia="zh-CN"/>
              </w:rPr>
              <w:t>5,088,410</w:t>
            </w:r>
          </w:p>
        </w:tc>
      </w:tr>
      <w:tr w14:paraId="65F76517">
        <w:tblPrEx>
          <w:tblCellMar>
            <w:top w:w="0" w:type="dxa"/>
            <w:left w:w="108" w:type="dxa"/>
            <w:bottom w:w="0" w:type="dxa"/>
            <w:right w:w="108" w:type="dxa"/>
          </w:tblCellMar>
        </w:tblPrEx>
        <w:trPr>
          <w:trHeight w:val="454" w:hRule="atLeast"/>
          <w:jc w:val="center"/>
        </w:trPr>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14:paraId="62D434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利润总额</w:t>
            </w:r>
          </w:p>
        </w:tc>
        <w:tc>
          <w:tcPr>
            <w:tcW w:w="1726" w:type="pct"/>
            <w:tcBorders>
              <w:top w:val="single" w:color="auto" w:sz="4" w:space="0"/>
              <w:left w:val="nil"/>
              <w:bottom w:val="single" w:color="auto" w:sz="4" w:space="0"/>
              <w:right w:val="single" w:color="auto" w:sz="4" w:space="0"/>
            </w:tcBorders>
            <w:shd w:val="clear" w:color="auto" w:fill="auto"/>
          </w:tcPr>
          <w:p w14:paraId="6211A1B7">
            <w:pPr>
              <w:keepNext w:val="0"/>
              <w:keepLines w:val="0"/>
              <w:pageBreakBefore w:val="0"/>
              <w:widowControl w:val="0"/>
              <w:kinsoku/>
              <w:wordWrap/>
              <w:overflowPunct/>
              <w:topLinePunct w:val="0"/>
              <w:autoSpaceDE/>
              <w:autoSpaceDN/>
              <w:bidi w:val="0"/>
              <w:adjustRightInd/>
              <w:snapToGrid/>
              <w:spacing w:line="400" w:lineRule="exact"/>
              <w:ind w:right="105"/>
              <w:jc w:val="righ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279</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257</w:t>
            </w:r>
          </w:p>
        </w:tc>
        <w:tc>
          <w:tcPr>
            <w:tcW w:w="1646" w:type="pct"/>
            <w:tcBorders>
              <w:top w:val="single" w:color="auto" w:sz="4" w:space="0"/>
              <w:left w:val="nil"/>
              <w:bottom w:val="single" w:color="auto" w:sz="4" w:space="0"/>
              <w:right w:val="single" w:color="auto" w:sz="4" w:space="0"/>
            </w:tcBorders>
            <w:shd w:val="clear" w:color="auto" w:fill="auto"/>
            <w:vAlign w:val="top"/>
          </w:tcPr>
          <w:p w14:paraId="3242837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sz w:val="24"/>
                <w:szCs w:val="24"/>
              </w:rPr>
            </w:pPr>
            <w:r>
              <w:rPr>
                <w:rFonts w:hint="eastAsia" w:ascii="宋体" w:hAnsi="宋体" w:cs="宋体"/>
                <w:color w:val="000000"/>
                <w:sz w:val="24"/>
                <w:szCs w:val="24"/>
                <w:highlight w:val="none"/>
                <w:lang w:val="en-US" w:eastAsia="zh-CN"/>
              </w:rPr>
              <w:t>589,555</w:t>
            </w:r>
          </w:p>
        </w:tc>
      </w:tr>
      <w:tr w14:paraId="5D66AD9C">
        <w:tblPrEx>
          <w:tblCellMar>
            <w:top w:w="0" w:type="dxa"/>
            <w:left w:w="108" w:type="dxa"/>
            <w:bottom w:w="0" w:type="dxa"/>
            <w:right w:w="108" w:type="dxa"/>
          </w:tblCellMar>
        </w:tblPrEx>
        <w:trPr>
          <w:trHeight w:val="454" w:hRule="atLeast"/>
          <w:jc w:val="center"/>
        </w:trPr>
        <w:tc>
          <w:tcPr>
            <w:tcW w:w="1626" w:type="pct"/>
            <w:tcBorders>
              <w:top w:val="single" w:color="auto" w:sz="4" w:space="0"/>
              <w:left w:val="single" w:color="auto" w:sz="4" w:space="0"/>
              <w:bottom w:val="single" w:color="auto" w:sz="4" w:space="0"/>
              <w:right w:val="single" w:color="auto" w:sz="4" w:space="0"/>
            </w:tcBorders>
            <w:shd w:val="clear" w:color="auto" w:fill="auto"/>
            <w:vAlign w:val="center"/>
          </w:tcPr>
          <w:p w14:paraId="144CF325">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净利润</w:t>
            </w:r>
          </w:p>
        </w:tc>
        <w:tc>
          <w:tcPr>
            <w:tcW w:w="1726" w:type="pct"/>
            <w:tcBorders>
              <w:top w:val="single" w:color="auto" w:sz="4" w:space="0"/>
              <w:left w:val="single" w:color="auto" w:sz="4" w:space="0"/>
              <w:bottom w:val="single" w:color="auto" w:sz="4" w:space="0"/>
              <w:right w:val="single" w:color="auto" w:sz="4" w:space="0"/>
            </w:tcBorders>
            <w:shd w:val="clear" w:color="auto" w:fill="auto"/>
          </w:tcPr>
          <w:p w14:paraId="34F0F1F6">
            <w:pPr>
              <w:wordWrap w:val="0"/>
              <w:spacing w:line="500" w:lineRule="exact"/>
              <w:jc w:val="right"/>
              <w:rPr>
                <w:rFonts w:hint="eastAsia" w:ascii="宋体" w:hAnsi="宋体" w:eastAsia="宋体" w:cs="宋体"/>
                <w:sz w:val="24"/>
                <w:szCs w:val="24"/>
                <w:lang w:eastAsia="zh-CN"/>
              </w:rPr>
            </w:pPr>
            <w:r>
              <w:rPr>
                <w:rFonts w:hint="eastAsia" w:ascii="宋体" w:hAnsi="宋体" w:eastAsia="宋体" w:cs="宋体"/>
                <w:color w:val="000000"/>
                <w:sz w:val="24"/>
                <w:szCs w:val="24"/>
              </w:rPr>
              <w:t>211</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020</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top"/>
          </w:tcPr>
          <w:p w14:paraId="5786BF20">
            <w:pPr>
              <w:spacing w:line="500" w:lineRule="exact"/>
              <w:jc w:val="right"/>
              <w:rPr>
                <w:rFonts w:hint="eastAsia" w:ascii="宋体" w:hAnsi="宋体" w:eastAsia="宋体" w:cs="宋体"/>
                <w:color w:val="000000"/>
                <w:sz w:val="24"/>
                <w:szCs w:val="24"/>
              </w:rPr>
            </w:pPr>
            <w:r>
              <w:rPr>
                <w:rFonts w:hint="eastAsia" w:ascii="宋体" w:hAnsi="宋体" w:cs="宋体"/>
                <w:color w:val="000000"/>
                <w:sz w:val="24"/>
                <w:szCs w:val="24"/>
                <w:highlight w:val="none"/>
                <w:lang w:val="en-US" w:eastAsia="zh-CN"/>
              </w:rPr>
              <w:t>372,940</w:t>
            </w:r>
          </w:p>
        </w:tc>
      </w:tr>
    </w:tbl>
    <w:p w14:paraId="42DA0D91">
      <w:pPr>
        <w:keepNext w:val="0"/>
        <w:keepLines w:val="0"/>
        <w:pageBreakBefore w:val="0"/>
        <w:widowControl w:val="0"/>
        <w:kinsoku/>
        <w:wordWrap/>
        <w:overflowPunct/>
        <w:topLinePunct w:val="0"/>
        <w:autoSpaceDE w:val="0"/>
        <w:autoSpaceDN w:val="0"/>
        <w:bidi w:val="0"/>
        <w:adjustRightInd w:val="0"/>
        <w:spacing w:line="520" w:lineRule="exact"/>
        <w:ind w:firstLine="540" w:firstLineChars="192"/>
        <w:jc w:val="both"/>
        <w:textAlignment w:val="auto"/>
        <w:rPr>
          <w:rFonts w:hint="default" w:ascii="楷体_GB2312" w:hAnsi="楷体_GB2312" w:eastAsia="楷体_GB2312" w:cs="楷体_GB2312"/>
          <w:b/>
          <w:bCs/>
          <w:color w:val="000000"/>
          <w:sz w:val="28"/>
          <w:szCs w:val="28"/>
          <w:lang w:val="en-US" w:eastAsia="zh-CN"/>
        </w:rPr>
      </w:pPr>
      <w:r>
        <w:rPr>
          <w:rFonts w:hint="eastAsia" w:ascii="楷体_GB2312" w:hAnsi="楷体_GB2312" w:eastAsia="楷体_GB2312" w:cs="楷体_GB2312"/>
          <w:b/>
          <w:bCs/>
          <w:color w:val="000000"/>
          <w:sz w:val="28"/>
          <w:szCs w:val="28"/>
          <w:lang w:val="en-US" w:eastAsia="zh-CN"/>
        </w:rPr>
        <w:t>（二）资信情况</w:t>
      </w:r>
    </w:p>
    <w:p w14:paraId="63CBA79F">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新疆能化资信状况良好，未被列入失信被执行人名单，具备履约能力。</w:t>
      </w:r>
    </w:p>
    <w:p w14:paraId="3447EB38">
      <w:pPr>
        <w:keepNext w:val="0"/>
        <w:keepLines w:val="0"/>
        <w:pageBreakBefore w:val="0"/>
        <w:widowControl w:val="0"/>
        <w:kinsoku/>
        <w:wordWrap/>
        <w:overflowPunct/>
        <w:topLinePunct w:val="0"/>
        <w:autoSpaceDE w:val="0"/>
        <w:autoSpaceDN w:val="0"/>
        <w:bidi w:val="0"/>
        <w:adjustRightInd w:val="0"/>
        <w:spacing w:line="520" w:lineRule="exact"/>
        <w:ind w:firstLine="540" w:firstLineChars="192"/>
        <w:jc w:val="both"/>
        <w:textAlignment w:val="auto"/>
        <w:rPr>
          <w:rFonts w:hint="eastAsia" w:ascii="楷体_GB2312" w:hAnsi="楷体_GB2312" w:eastAsia="楷体_GB2312" w:cs="楷体_GB2312"/>
          <w:b/>
          <w:bCs/>
          <w:color w:val="000000"/>
          <w:sz w:val="28"/>
          <w:szCs w:val="28"/>
          <w:lang w:val="en-US" w:eastAsia="zh-CN"/>
        </w:rPr>
      </w:pPr>
      <w:r>
        <w:rPr>
          <w:rFonts w:hint="eastAsia" w:ascii="楷体_GB2312" w:hAnsi="楷体_GB2312" w:eastAsia="楷体_GB2312" w:cs="楷体_GB2312"/>
          <w:b/>
          <w:bCs/>
          <w:color w:val="000000"/>
          <w:sz w:val="28"/>
          <w:szCs w:val="28"/>
          <w:lang w:val="en-US" w:eastAsia="zh-CN"/>
        </w:rPr>
        <w:t>（三）上一会计年度财务资助情况</w:t>
      </w:r>
    </w:p>
    <w:p w14:paraId="4E0C2FEE">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本次财务资助前，公司未向新疆能化提供财务资助。</w:t>
      </w:r>
    </w:p>
    <w:p w14:paraId="3979247C">
      <w:pPr>
        <w:keepNext w:val="0"/>
        <w:keepLines w:val="0"/>
        <w:pageBreakBefore w:val="0"/>
        <w:widowControl w:val="0"/>
        <w:kinsoku/>
        <w:wordWrap/>
        <w:overflowPunct/>
        <w:topLinePunct w:val="0"/>
        <w:autoSpaceDE w:val="0"/>
        <w:autoSpaceDN w:val="0"/>
        <w:bidi w:val="0"/>
        <w:adjustRightInd w:val="0"/>
        <w:spacing w:line="520" w:lineRule="exact"/>
        <w:ind w:firstLine="540" w:firstLineChars="192"/>
        <w:jc w:val="both"/>
        <w:textAlignment w:val="auto"/>
        <w:rPr>
          <w:rFonts w:hint="default" w:ascii="楷体_GB2312" w:hAnsi="楷体_GB2312" w:eastAsia="楷体_GB2312" w:cs="楷体_GB2312"/>
          <w:b/>
          <w:bCs/>
          <w:color w:val="000000"/>
          <w:sz w:val="28"/>
          <w:szCs w:val="28"/>
          <w:lang w:val="en-US" w:eastAsia="zh-CN"/>
        </w:rPr>
      </w:pPr>
      <w:r>
        <w:rPr>
          <w:rFonts w:hint="eastAsia" w:ascii="楷体_GB2312" w:hAnsi="楷体_GB2312" w:eastAsia="楷体_GB2312" w:cs="楷体_GB2312"/>
          <w:b/>
          <w:bCs/>
          <w:color w:val="000000"/>
          <w:sz w:val="28"/>
          <w:szCs w:val="28"/>
          <w:lang w:val="en-US" w:eastAsia="zh-CN"/>
        </w:rPr>
        <w:t>（四）其他股东未按出资比例提供财务资助的说明</w:t>
      </w:r>
    </w:p>
    <w:p w14:paraId="22346EB7">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新疆能化为公司控股子公司，由公司持股51%，由公司控股股东山东能源集团有限公司的全资子公司新汶矿业集团有限责任公司持股49%。公司对其具有实质的控制和影响，公司按照现行财务、内控制度要求，加强对控股子公司业务、资金管理的风险控制，确保公司资金安全。</w:t>
      </w:r>
    </w:p>
    <w:p w14:paraId="17E11B7A">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本次财务资助事项，其他股东未同比例向新疆能化提供财务资助。公司根据实际借款金额及使用期限向新疆能化收取利息，新疆能化以净值不低于借款金额的资产向公司提供抵质押担保，不存在向关联方输送利益的情形，不存在损害公司及股东利益的情形。</w:t>
      </w:r>
    </w:p>
    <w:p w14:paraId="6420E6E9">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黑体" w:hAnsi="黑体" w:eastAsia="黑体" w:cs="黑体"/>
          <w:b w:val="0"/>
          <w:bCs/>
          <w:color w:val="000000"/>
          <w:kern w:val="0"/>
          <w:sz w:val="28"/>
          <w:szCs w:val="28"/>
          <w:highlight w:val="none"/>
        </w:rPr>
      </w:pPr>
      <w:r>
        <w:rPr>
          <w:rFonts w:hint="eastAsia" w:ascii="黑体" w:hAnsi="黑体" w:eastAsia="黑体" w:cs="黑体"/>
          <w:b w:val="0"/>
          <w:bCs/>
          <w:color w:val="000000"/>
          <w:kern w:val="0"/>
          <w:sz w:val="28"/>
          <w:szCs w:val="28"/>
          <w:highlight w:val="none"/>
        </w:rPr>
        <w:t>三、借款协议的主要内容</w:t>
      </w:r>
    </w:p>
    <w:p w14:paraId="4241BA9F">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firstLine="56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highlight w:val="none"/>
        </w:rPr>
        <w:t>签约方：</w:t>
      </w:r>
    </w:p>
    <w:p w14:paraId="282EF60D">
      <w:pPr>
        <w:keepNext w:val="0"/>
        <w:keepLines w:val="0"/>
        <w:pageBreakBefore w:val="0"/>
        <w:widowControl w:val="0"/>
        <w:kinsoku/>
        <w:wordWrap/>
        <w:overflowPunct/>
        <w:topLinePunct w:val="0"/>
        <w:autoSpaceDE w:val="0"/>
        <w:autoSpaceDN w:val="0"/>
        <w:bidi w:val="0"/>
        <w:adjustRightInd w:val="0"/>
        <w:snapToGrid/>
        <w:spacing w:line="520" w:lineRule="exact"/>
        <w:ind w:left="56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highlight w:val="none"/>
        </w:rPr>
        <w:t>出借人：</w:t>
      </w:r>
      <w:r>
        <w:rPr>
          <w:rFonts w:hint="eastAsia" w:ascii="宋体" w:hAnsi="宋体" w:eastAsia="宋体" w:cs="宋体"/>
          <w:color w:val="000000"/>
          <w:sz w:val="28"/>
          <w:szCs w:val="28"/>
        </w:rPr>
        <w:t>兖矿能源集团股份有限公司</w:t>
      </w:r>
    </w:p>
    <w:p w14:paraId="3B3B0682">
      <w:pPr>
        <w:keepNext w:val="0"/>
        <w:keepLines w:val="0"/>
        <w:pageBreakBefore w:val="0"/>
        <w:widowControl w:val="0"/>
        <w:kinsoku/>
        <w:wordWrap/>
        <w:overflowPunct/>
        <w:topLinePunct w:val="0"/>
        <w:autoSpaceDE w:val="0"/>
        <w:autoSpaceDN w:val="0"/>
        <w:bidi w:val="0"/>
        <w:adjustRightInd w:val="0"/>
        <w:snapToGrid/>
        <w:spacing w:line="520" w:lineRule="exact"/>
        <w:ind w:left="560" w:firstLineChars="0"/>
        <w:jc w:val="left"/>
        <w:textAlignment w:val="auto"/>
        <w:rPr>
          <w:rFonts w:hint="eastAsia" w:ascii="宋体" w:hAnsi="宋体" w:eastAsia="宋体" w:cs="宋体"/>
          <w:color w:val="000000"/>
          <w:sz w:val="28"/>
          <w:szCs w:val="28"/>
          <w:highlight w:val="yellow"/>
        </w:rPr>
      </w:pPr>
      <w:r>
        <w:rPr>
          <w:rFonts w:hint="eastAsia" w:ascii="宋体" w:hAnsi="宋体" w:eastAsia="宋体" w:cs="宋体"/>
          <w:color w:val="000000"/>
          <w:sz w:val="28"/>
          <w:szCs w:val="28"/>
          <w:highlight w:val="none"/>
        </w:rPr>
        <w:t>借款人：</w:t>
      </w:r>
      <w:r>
        <w:rPr>
          <w:rFonts w:hint="eastAsia" w:ascii="宋体" w:hAnsi="宋体" w:eastAsia="宋体" w:cs="宋体"/>
          <w:color w:val="000000"/>
          <w:sz w:val="28"/>
          <w:szCs w:val="28"/>
        </w:rPr>
        <w:t>兖矿新疆能化有限公司</w:t>
      </w:r>
    </w:p>
    <w:p w14:paraId="09FC69F9">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借款金额：人民币50亿元</w:t>
      </w:r>
    </w:p>
    <w:p w14:paraId="4E373435">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借款期限：</w:t>
      </w:r>
      <w:r>
        <w:rPr>
          <w:rFonts w:hint="eastAsia" w:ascii="宋体" w:hAnsi="宋体" w:eastAsia="宋体" w:cs="宋体"/>
          <w:color w:val="000000"/>
          <w:sz w:val="28"/>
          <w:szCs w:val="28"/>
        </w:rPr>
        <w:t>2024年8月30日至2027年8月29日</w:t>
      </w:r>
    </w:p>
    <w:p w14:paraId="04BE551B">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借款利率：</w:t>
      </w:r>
      <w:r>
        <w:rPr>
          <w:rFonts w:hint="eastAsia" w:ascii="宋体" w:hAnsi="宋体" w:eastAsia="宋体" w:cs="宋体"/>
          <w:color w:val="000000"/>
          <w:sz w:val="28"/>
          <w:szCs w:val="28"/>
        </w:rPr>
        <w:t>新疆能化同期存续外部银行借款平均利率，每年调整一次，且不得低于公司资金成本</w:t>
      </w:r>
      <w:r>
        <w:rPr>
          <w:rFonts w:hint="eastAsia" w:ascii="宋体" w:hAnsi="宋体" w:eastAsia="宋体" w:cs="宋体"/>
          <w:color w:val="000000"/>
          <w:sz w:val="28"/>
          <w:szCs w:val="28"/>
          <w:highlight w:val="none"/>
        </w:rPr>
        <w:t>。</w:t>
      </w:r>
    </w:p>
    <w:p w14:paraId="6435A436">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资金用途：</w:t>
      </w:r>
      <w:r>
        <w:rPr>
          <w:rFonts w:hint="eastAsia" w:ascii="宋体" w:hAnsi="宋体" w:eastAsia="宋体" w:cs="宋体"/>
          <w:color w:val="000000"/>
          <w:sz w:val="28"/>
          <w:szCs w:val="28"/>
        </w:rPr>
        <w:t>补充流动资金及偿还权属公司有息债务。</w:t>
      </w:r>
    </w:p>
    <w:p w14:paraId="4E5F1AEE">
      <w:pPr>
        <w:keepNext w:val="0"/>
        <w:keepLines w:val="0"/>
        <w:pageBreakBefore w:val="0"/>
        <w:widowControl w:val="0"/>
        <w:kinsoku/>
        <w:wordWrap/>
        <w:overflowPunct/>
        <w:topLinePunct w:val="0"/>
        <w:autoSpaceDE w:val="0"/>
        <w:autoSpaceDN w:val="0"/>
        <w:bidi w:val="0"/>
        <w:adjustRightInd w:val="0"/>
        <w:snapToGrid/>
        <w:spacing w:line="520" w:lineRule="exact"/>
        <w:ind w:firstLine="537" w:firstLineChars="192"/>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highlight w:val="none"/>
        </w:rPr>
        <w:t>担保措施：新疆能化以净值不低于借款金额的资产向公司提供抵质押担保，并将办理相关资产的抵质押手续。</w:t>
      </w:r>
    </w:p>
    <w:p w14:paraId="2C882716">
      <w:pPr>
        <w:keepNext w:val="0"/>
        <w:keepLines w:val="0"/>
        <w:pageBreakBefore w:val="0"/>
        <w:widowControl w:val="0"/>
        <w:kinsoku/>
        <w:wordWrap/>
        <w:overflowPunct/>
        <w:topLinePunct w:val="0"/>
        <w:autoSpaceDE w:val="0"/>
        <w:autoSpaceDN w:val="0"/>
        <w:bidi w:val="0"/>
        <w:adjustRightInd w:val="0"/>
        <w:spacing w:line="520" w:lineRule="exact"/>
        <w:ind w:firstLine="602" w:firstLineChars="200"/>
        <w:jc w:val="both"/>
        <w:textAlignment w:val="auto"/>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lang w:val="en-US" w:eastAsia="zh-CN"/>
        </w:rPr>
        <w:t>四</w:t>
      </w:r>
      <w:r>
        <w:rPr>
          <w:rFonts w:hint="eastAsia" w:ascii="黑体" w:hAnsi="黑体" w:eastAsia="黑体" w:cs="宋体-WinCharSetFFFF-H"/>
          <w:b/>
          <w:color w:val="000000"/>
          <w:kern w:val="0"/>
          <w:sz w:val="30"/>
          <w:szCs w:val="30"/>
        </w:rPr>
        <w:t>、财务资助风险分析及风控措施</w:t>
      </w:r>
    </w:p>
    <w:p w14:paraId="091AE163">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both"/>
        <w:textAlignment w:val="auto"/>
        <w:rPr>
          <w:rFonts w:ascii="仿宋_GB2312" w:hAnsi="宋体" w:eastAsia="仿宋_GB2312"/>
          <w:color w:val="000000"/>
          <w:kern w:val="0"/>
          <w:sz w:val="30"/>
          <w:szCs w:val="30"/>
        </w:rPr>
      </w:pPr>
      <w:r>
        <w:rPr>
          <w:rFonts w:hint="eastAsia" w:ascii="宋体" w:hAnsi="宋体" w:eastAsia="宋体" w:cs="宋体"/>
          <w:color w:val="000000"/>
          <w:sz w:val="28"/>
          <w:szCs w:val="28"/>
          <w:lang w:val="en-US" w:eastAsia="zh-CN"/>
        </w:rPr>
        <w:t>新疆能化以净值不低于借款金额的资产向公司办理抵质押手续，另外，公司能够对其业务、财务、资金管理等方面实施全面有效的风险控制。公司将加强对新疆能化的日常经营管理，密切关注其生产经营、资产负债情况等方面的变化，加强对其财务、资金管理等风险控制，确保公司的资金安全。本次财务资助事项的风险处于公司可控范围之内，有利于公司总体经营目标的实现，不会对公司的日常经营产生重大影响，不会损害公司及全体股东、特别是中小股东的利益。</w:t>
      </w:r>
    </w:p>
    <w:p w14:paraId="775233F0">
      <w:pPr>
        <w:keepNext w:val="0"/>
        <w:keepLines w:val="0"/>
        <w:pageBreakBefore w:val="0"/>
        <w:widowControl w:val="0"/>
        <w:kinsoku/>
        <w:wordWrap/>
        <w:overflowPunct/>
        <w:topLinePunct w:val="0"/>
        <w:autoSpaceDE w:val="0"/>
        <w:autoSpaceDN w:val="0"/>
        <w:bidi w:val="0"/>
        <w:adjustRightInd w:val="0"/>
        <w:spacing w:line="520" w:lineRule="exact"/>
        <w:ind w:firstLine="602" w:firstLineChars="200"/>
        <w:jc w:val="both"/>
        <w:textAlignment w:val="auto"/>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lang w:val="en-US" w:eastAsia="zh-CN"/>
        </w:rPr>
        <w:t>五</w:t>
      </w:r>
      <w:r>
        <w:rPr>
          <w:rFonts w:hint="eastAsia" w:ascii="黑体" w:hAnsi="黑体" w:eastAsia="黑体" w:cs="宋体-WinCharSetFFFF-H"/>
          <w:b/>
          <w:color w:val="000000"/>
          <w:kern w:val="0"/>
          <w:sz w:val="30"/>
          <w:szCs w:val="30"/>
        </w:rPr>
        <w:t>、董事会意见</w:t>
      </w:r>
    </w:p>
    <w:p w14:paraId="2D337BA6">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both"/>
        <w:textAlignment w:val="auto"/>
        <w:rPr>
          <w:rFonts w:ascii="仿宋_GB2312" w:hAnsi="宋体" w:eastAsia="仿宋_GB2312"/>
          <w:color w:val="000000"/>
          <w:kern w:val="0"/>
          <w:sz w:val="30"/>
          <w:szCs w:val="30"/>
        </w:rPr>
      </w:pPr>
      <w:r>
        <w:rPr>
          <w:rFonts w:hint="eastAsia" w:ascii="宋体" w:hAnsi="宋体" w:eastAsia="宋体" w:cs="宋体"/>
          <w:color w:val="000000"/>
          <w:sz w:val="28"/>
          <w:szCs w:val="28"/>
          <w:lang w:val="en-US" w:eastAsia="zh-CN"/>
        </w:rPr>
        <w:t>董事会认为，公司为新疆能化提供财务资助，主要为</w:t>
      </w:r>
      <w:r>
        <w:rPr>
          <w:rFonts w:hint="eastAsia" w:ascii="宋体" w:hAnsi="宋体" w:cs="宋体"/>
          <w:color w:val="000000"/>
          <w:sz w:val="28"/>
          <w:szCs w:val="28"/>
          <w:lang w:val="en-US" w:eastAsia="zh-CN"/>
        </w:rPr>
        <w:t>满</w:t>
      </w:r>
      <w:r>
        <w:rPr>
          <w:rFonts w:hint="eastAsia" w:ascii="宋体" w:hAnsi="宋体" w:eastAsia="宋体" w:cs="宋体"/>
          <w:color w:val="000000"/>
          <w:sz w:val="28"/>
          <w:szCs w:val="28"/>
          <w:lang w:val="en-US" w:eastAsia="zh-CN"/>
        </w:rPr>
        <w:t>足其生产经营资金需求，符合公司整体利益。在控制风险的前提下，公司对新疆能化提供财务资助有利于提高公司整体资金使用效率，同意向新疆能化提供财务资助。</w:t>
      </w:r>
    </w:p>
    <w:p w14:paraId="6D233879">
      <w:pPr>
        <w:keepNext w:val="0"/>
        <w:keepLines w:val="0"/>
        <w:pageBreakBefore w:val="0"/>
        <w:widowControl w:val="0"/>
        <w:kinsoku/>
        <w:wordWrap/>
        <w:overflowPunct/>
        <w:topLinePunct w:val="0"/>
        <w:autoSpaceDE w:val="0"/>
        <w:autoSpaceDN w:val="0"/>
        <w:bidi w:val="0"/>
        <w:adjustRightInd w:val="0"/>
        <w:spacing w:line="520" w:lineRule="exact"/>
        <w:ind w:firstLine="562" w:firstLineChars="200"/>
        <w:jc w:val="both"/>
        <w:textAlignment w:val="auto"/>
        <w:rPr>
          <w:rFonts w:ascii="仿宋_GB2312" w:hAnsi="宋体" w:eastAsia="仿宋_GB2312"/>
          <w:color w:val="000000"/>
          <w:kern w:val="0"/>
          <w:sz w:val="28"/>
          <w:szCs w:val="28"/>
        </w:rPr>
      </w:pPr>
      <w:r>
        <w:rPr>
          <w:rFonts w:hint="eastAsia" w:ascii="黑体" w:hAnsi="黑体" w:eastAsia="黑体" w:cs="宋体-WinCharSetFFFF-H"/>
          <w:b/>
          <w:color w:val="000000"/>
          <w:kern w:val="0"/>
          <w:sz w:val="28"/>
          <w:szCs w:val="28"/>
          <w:lang w:val="en-US" w:eastAsia="zh-CN"/>
        </w:rPr>
        <w:t>六</w:t>
      </w:r>
      <w:r>
        <w:rPr>
          <w:rFonts w:hint="eastAsia" w:ascii="黑体" w:hAnsi="黑体" w:eastAsia="黑体" w:cs="宋体-WinCharSetFFFF-H"/>
          <w:b/>
          <w:color w:val="000000"/>
          <w:kern w:val="0"/>
          <w:sz w:val="28"/>
          <w:szCs w:val="28"/>
        </w:rPr>
        <w:t>、累计提供财务资助金额及逾期金额</w:t>
      </w:r>
    </w:p>
    <w:p w14:paraId="5F9226D5">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本次提供财务资助后，公司及其控股子公司向</w:t>
      </w:r>
      <w:r>
        <w:rPr>
          <w:rFonts w:hint="eastAsia" w:ascii="宋体" w:hAnsi="宋体" w:cs="宋体"/>
          <w:color w:val="000000"/>
          <w:sz w:val="28"/>
          <w:szCs w:val="28"/>
          <w:lang w:val="en-US" w:eastAsia="zh-CN"/>
        </w:rPr>
        <w:t>合并报表内单位</w:t>
      </w:r>
      <w:r>
        <w:rPr>
          <w:rFonts w:hint="eastAsia" w:ascii="宋体" w:hAnsi="宋体" w:eastAsia="宋体" w:cs="宋体"/>
          <w:color w:val="000000"/>
          <w:sz w:val="28"/>
          <w:szCs w:val="28"/>
          <w:lang w:val="en-US" w:eastAsia="zh-CN"/>
        </w:rPr>
        <w:t>提供财务资助余额为</w:t>
      </w:r>
      <w:r>
        <w:rPr>
          <w:rFonts w:hint="eastAsia" w:ascii="宋体" w:hAnsi="宋体" w:cs="宋体"/>
          <w:color w:val="000000"/>
          <w:sz w:val="28"/>
          <w:szCs w:val="28"/>
          <w:lang w:val="en-US" w:eastAsia="zh-CN"/>
        </w:rPr>
        <w:t>人民币</w:t>
      </w:r>
      <w:r>
        <w:rPr>
          <w:rFonts w:hint="eastAsia" w:ascii="宋体" w:hAnsi="宋体" w:cs="宋体"/>
          <w:color w:val="auto"/>
          <w:sz w:val="28"/>
          <w:szCs w:val="28"/>
          <w:u w:val="none"/>
        </w:rPr>
        <w:t>523.78</w:t>
      </w:r>
      <w:r>
        <w:rPr>
          <w:rFonts w:hint="eastAsia" w:ascii="宋体" w:hAnsi="宋体" w:eastAsia="宋体" w:cs="宋体"/>
          <w:color w:val="000000"/>
          <w:sz w:val="28"/>
          <w:szCs w:val="28"/>
          <w:lang w:val="en-US" w:eastAsia="zh-CN"/>
        </w:rPr>
        <w:t>亿元，占公司最近一期经审计净资产的</w:t>
      </w:r>
      <w:r>
        <w:rPr>
          <w:rFonts w:hint="eastAsia" w:ascii="宋体" w:hAnsi="宋体" w:cs="宋体"/>
          <w:color w:val="000000"/>
          <w:sz w:val="28"/>
          <w:szCs w:val="28"/>
          <w:lang w:val="en-US" w:eastAsia="zh-CN"/>
        </w:rPr>
        <w:t>72.05</w:t>
      </w:r>
      <w:r>
        <w:rPr>
          <w:rFonts w:hint="eastAsia" w:ascii="宋体" w:hAnsi="宋体" w:eastAsia="宋体" w:cs="宋体"/>
          <w:color w:val="000000"/>
          <w:sz w:val="28"/>
          <w:szCs w:val="28"/>
          <w:lang w:val="en-US" w:eastAsia="zh-CN"/>
        </w:rPr>
        <w:t>%；公司及其控股子公司不存在对合并报</w:t>
      </w:r>
      <w:bookmarkStart w:id="0" w:name="_GoBack"/>
      <w:bookmarkEnd w:id="0"/>
      <w:r>
        <w:rPr>
          <w:rFonts w:hint="eastAsia" w:ascii="宋体" w:hAnsi="宋体" w:eastAsia="宋体" w:cs="宋体"/>
          <w:color w:val="000000"/>
          <w:sz w:val="28"/>
          <w:szCs w:val="28"/>
          <w:lang w:val="en-US" w:eastAsia="zh-CN"/>
        </w:rPr>
        <w:t>表外单位提供财务资助的情况，不存在逾期未收回的金额的相关情况。</w:t>
      </w:r>
    </w:p>
    <w:p w14:paraId="446717C5">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ascii="仿宋_GB2312" w:hAnsi="宋体" w:eastAsia="仿宋_GB2312"/>
          <w:color w:val="000000"/>
          <w:kern w:val="0"/>
          <w:sz w:val="30"/>
          <w:szCs w:val="30"/>
        </w:rPr>
      </w:pPr>
    </w:p>
    <w:p w14:paraId="49488C73">
      <w:pPr>
        <w:keepNext w:val="0"/>
        <w:keepLines w:val="0"/>
        <w:pageBreakBefore w:val="0"/>
        <w:widowControl w:val="0"/>
        <w:kinsoku/>
        <w:wordWrap/>
        <w:overflowPunct/>
        <w:topLinePunct w:val="0"/>
        <w:autoSpaceDE w:val="0"/>
        <w:autoSpaceDN w:val="0"/>
        <w:bidi w:val="0"/>
        <w:adjustRightInd w:val="0"/>
        <w:spacing w:line="520" w:lineRule="exact"/>
        <w:ind w:firstLine="537" w:firstLineChars="192"/>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特此公告。</w:t>
      </w:r>
    </w:p>
    <w:p w14:paraId="1131DEE4">
      <w:pPr>
        <w:keepNext w:val="0"/>
        <w:keepLines w:val="0"/>
        <w:pageBreakBefore w:val="0"/>
        <w:widowControl w:val="0"/>
        <w:kinsoku/>
        <w:wordWrap/>
        <w:overflowPunct/>
        <w:topLinePunct w:val="0"/>
        <w:autoSpaceDE w:val="0"/>
        <w:autoSpaceDN w:val="0"/>
        <w:bidi w:val="0"/>
        <w:adjustRightInd w:val="0"/>
        <w:spacing w:line="520" w:lineRule="exact"/>
        <w:ind w:firstLine="576" w:firstLineChars="192"/>
        <w:jc w:val="left"/>
        <w:textAlignment w:val="auto"/>
        <w:rPr>
          <w:rFonts w:ascii="仿宋_GB2312" w:hAnsi="宋体" w:eastAsia="仿宋_GB2312" w:cs="宋体-WinCharSetFFFF-H"/>
          <w:color w:val="000000"/>
          <w:kern w:val="0"/>
          <w:sz w:val="30"/>
          <w:szCs w:val="30"/>
        </w:rPr>
      </w:pPr>
    </w:p>
    <w:p w14:paraId="0F129970">
      <w:pPr>
        <w:keepNext w:val="0"/>
        <w:keepLines w:val="0"/>
        <w:pageBreakBefore w:val="0"/>
        <w:widowControl w:val="0"/>
        <w:kinsoku/>
        <w:wordWrap/>
        <w:overflowPunct/>
        <w:topLinePunct w:val="0"/>
        <w:autoSpaceDE w:val="0"/>
        <w:autoSpaceDN w:val="0"/>
        <w:bidi w:val="0"/>
        <w:adjustRightInd w:val="0"/>
        <w:spacing w:line="520" w:lineRule="exact"/>
        <w:ind w:firstLine="576" w:firstLineChars="192"/>
        <w:jc w:val="left"/>
        <w:textAlignment w:val="auto"/>
        <w:rPr>
          <w:rFonts w:ascii="仿宋_GB2312" w:hAnsi="宋体" w:eastAsia="仿宋_GB2312" w:cs="宋体-WinCharSetFFFF-H"/>
          <w:color w:val="000000"/>
          <w:kern w:val="0"/>
          <w:sz w:val="30"/>
          <w:szCs w:val="30"/>
        </w:rPr>
      </w:pPr>
    </w:p>
    <w:p w14:paraId="3E9647FA">
      <w:pPr>
        <w:keepNext w:val="0"/>
        <w:keepLines w:val="0"/>
        <w:pageBreakBefore w:val="0"/>
        <w:widowControl w:val="0"/>
        <w:kinsoku/>
        <w:wordWrap/>
        <w:overflowPunct/>
        <w:topLinePunct w:val="0"/>
        <w:bidi w:val="0"/>
        <w:adjustRightInd w:val="0"/>
        <w:snapToGrid w:val="0"/>
        <w:spacing w:line="520" w:lineRule="exact"/>
        <w:ind w:firstLine="3640" w:firstLineChars="1300"/>
        <w:textAlignment w:val="auto"/>
        <w:rPr>
          <w:rFonts w:ascii="宋体" w:hAnsi="宋体"/>
          <w:sz w:val="28"/>
          <w:szCs w:val="28"/>
          <w:highlight w:val="none"/>
        </w:rPr>
      </w:pPr>
      <w:r>
        <w:rPr>
          <w:rFonts w:hint="eastAsia" w:ascii="宋体" w:hAnsi="宋体"/>
          <w:sz w:val="28"/>
          <w:szCs w:val="28"/>
          <w:highlight w:val="none"/>
        </w:rPr>
        <w:t>兖矿能源集团股份有限公司董事会</w:t>
      </w:r>
    </w:p>
    <w:p w14:paraId="3E6ACE1B">
      <w:pPr>
        <w:keepNext w:val="0"/>
        <w:keepLines w:val="0"/>
        <w:pageBreakBefore w:val="0"/>
        <w:widowControl w:val="0"/>
        <w:kinsoku/>
        <w:wordWrap/>
        <w:overflowPunct/>
        <w:topLinePunct w:val="0"/>
        <w:bidi w:val="0"/>
        <w:adjustRightInd w:val="0"/>
        <w:snapToGrid w:val="0"/>
        <w:spacing w:line="520" w:lineRule="exact"/>
        <w:ind w:firstLine="4760" w:firstLineChars="1700"/>
        <w:textAlignment w:val="auto"/>
        <w:rPr>
          <w:rFonts w:ascii="宋体" w:hAnsi="宋体" w:cs="宋体"/>
          <w:color w:val="000000"/>
          <w:sz w:val="28"/>
          <w:szCs w:val="28"/>
          <w:highlight w:val="none"/>
        </w:rPr>
      </w:pPr>
      <w:r>
        <w:rPr>
          <w:rFonts w:hint="eastAsia" w:ascii="宋体" w:hAnsi="宋体" w:cs="宋体"/>
          <w:color w:val="000000"/>
          <w:sz w:val="28"/>
          <w:szCs w:val="28"/>
          <w:highlight w:val="none"/>
        </w:rPr>
        <w:t>2024年</w:t>
      </w:r>
      <w:r>
        <w:rPr>
          <w:rFonts w:hint="eastAsia" w:ascii="宋体" w:hAnsi="宋体" w:cs="宋体"/>
          <w:color w:val="000000"/>
          <w:sz w:val="28"/>
          <w:szCs w:val="28"/>
          <w:highlight w:val="none"/>
          <w:lang w:val="en-US" w:eastAsia="zh-CN"/>
        </w:rPr>
        <w:t>8</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30</w:t>
      </w:r>
      <w:r>
        <w:rPr>
          <w:rFonts w:hint="eastAsia" w:ascii="宋体" w:hAnsi="宋体" w:cs="宋体"/>
          <w:color w:val="000000"/>
          <w:sz w:val="28"/>
          <w:szCs w:val="28"/>
          <w:highlight w:val="none"/>
        </w:rPr>
        <w:t>日</w:t>
      </w:r>
    </w:p>
    <w:p w14:paraId="067DF7CD">
      <w:pPr>
        <w:spacing w:line="560" w:lineRule="exact"/>
        <w:jc w:val="right"/>
        <w:rPr>
          <w:rFonts w:ascii="仿宋_GB2312" w:hAnsi="宋体" w:eastAsia="仿宋_GB2312" w:cs="宋体-WinCharSetFFFF-H"/>
          <w:color w:val="000000"/>
          <w:kern w:val="0"/>
          <w:sz w:val="30"/>
          <w:szCs w:val="30"/>
        </w:rPr>
      </w:pPr>
    </w:p>
    <w:p w14:paraId="78287A35">
      <w:pPr>
        <w:spacing w:line="560" w:lineRule="exact"/>
        <w:jc w:val="right"/>
        <w:rPr>
          <w:rFonts w:ascii="仿宋_GB2312" w:hAnsi="宋体" w:eastAsia="仿宋_GB2312" w:cs="宋体-WinCharSetFFFF-H"/>
          <w:color w:val="000000"/>
          <w:kern w:val="0"/>
          <w:sz w:val="30"/>
          <w:szCs w:val="30"/>
        </w:rPr>
      </w:pPr>
    </w:p>
    <w:p w14:paraId="17B6C87E">
      <w:pPr>
        <w:pStyle w:val="12"/>
        <w:widowControl/>
        <w:numPr>
          <w:ilvl w:val="0"/>
          <w:numId w:val="3"/>
        </w:numPr>
        <w:adjustRightInd w:val="0"/>
        <w:snapToGrid w:val="0"/>
        <w:spacing w:line="560" w:lineRule="exact"/>
        <w:ind w:firstLineChars="0"/>
        <w:rPr>
          <w:rFonts w:ascii="宋体" w:hAnsi="宋体" w:cs="宋体"/>
          <w:color w:val="000000"/>
          <w:sz w:val="28"/>
          <w:szCs w:val="28"/>
          <w:highlight w:val="none"/>
          <w:lang w:eastAsia="zh-Hans"/>
        </w:rPr>
      </w:pPr>
      <w:r>
        <w:rPr>
          <w:rFonts w:hint="eastAsia" w:ascii="宋体" w:hAnsi="宋体" w:cs="宋体"/>
          <w:color w:val="000000"/>
          <w:sz w:val="28"/>
          <w:szCs w:val="28"/>
          <w:highlight w:val="none"/>
          <w:lang w:eastAsia="zh-Hans"/>
        </w:rPr>
        <w:t>报备文件</w:t>
      </w:r>
    </w:p>
    <w:p w14:paraId="0E7EEF40">
      <w:pPr>
        <w:widowControl/>
        <w:adjustRightInd w:val="0"/>
        <w:snapToGrid w:val="0"/>
        <w:spacing w:line="560" w:lineRule="exact"/>
        <w:ind w:firstLine="840" w:firstLineChars="300"/>
        <w:rPr>
          <w:rFonts w:ascii="宋体" w:hAnsi="宋体" w:cs="宋体"/>
          <w:color w:val="000000"/>
          <w:sz w:val="28"/>
          <w:szCs w:val="28"/>
          <w:highlight w:val="none"/>
        </w:rPr>
      </w:pPr>
      <w:r>
        <w:rPr>
          <w:rFonts w:hint="eastAsia" w:ascii="宋体" w:hAnsi="宋体" w:cs="宋体"/>
          <w:color w:val="000000"/>
          <w:sz w:val="28"/>
          <w:szCs w:val="28"/>
          <w:highlight w:val="none"/>
        </w:rPr>
        <w:t>财务资助协议</w:t>
      </w:r>
    </w:p>
    <w:p w14:paraId="0B39E2E5">
      <w:pPr>
        <w:spacing w:line="560" w:lineRule="exact"/>
        <w:jc w:val="right"/>
        <w:rPr>
          <w:rFonts w:ascii="仿宋_GB2312" w:hAnsi="宋体" w:eastAsia="仿宋_GB2312" w:cs="宋体-WinCharSetFFFF-H"/>
          <w:color w:val="000000"/>
          <w:kern w:val="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黑体-WinCharSetFFFF-H">
    <w:altName w:val="方正舒体"/>
    <w:panose1 w:val="00000000000000000000"/>
    <w:charset w:val="86"/>
    <w:family w:val="auto"/>
    <w:pitch w:val="default"/>
    <w:sig w:usb0="00000000" w:usb1="00000000" w:usb2="00000010" w:usb3="00000000" w:csb0="00040000" w:csb1="00000000"/>
  </w:font>
  <w:font w:name="宋体-WinCharSetFFFF-H">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docPartObj>
        <w:docPartGallery w:val="autotext"/>
      </w:docPartObj>
    </w:sdtPr>
    <w:sdtContent>
      <w:p w14:paraId="22FDD15B">
        <w:pPr>
          <w:pStyle w:val="4"/>
          <w:jc w:val="center"/>
        </w:pPr>
        <w:r>
          <w:fldChar w:fldCharType="begin"/>
        </w:r>
        <w:r>
          <w:instrText xml:space="preserve"> PAGE   \* MERGEFORMAT </w:instrText>
        </w:r>
        <w:r>
          <w:fldChar w:fldCharType="separate"/>
        </w:r>
        <w:r>
          <w:rPr>
            <w:lang w:val="zh-CN"/>
          </w:rPr>
          <w:t>1</w:t>
        </w:r>
        <w:r>
          <w:fldChar w:fldCharType="end"/>
        </w:r>
      </w:p>
    </w:sdtContent>
  </w:sdt>
  <w:p w14:paraId="5EBC5F6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815D9"/>
    <w:multiLevelType w:val="multilevel"/>
    <w:tmpl w:val="24E815D9"/>
    <w:lvl w:ilvl="0" w:tentative="0">
      <w:start w:val="1"/>
      <w:numFmt w:val="chineseCountingThousand"/>
      <w:suff w:val="nothing"/>
      <w:lvlText w:val="(%1)"/>
      <w:lvlJc w:val="left"/>
      <w:pPr>
        <w:ind w:left="978" w:hanging="440"/>
      </w:pPr>
      <w:rPr>
        <w:rFonts w:hint="eastAsia"/>
      </w:rPr>
    </w:lvl>
    <w:lvl w:ilvl="1" w:tentative="0">
      <w:start w:val="1"/>
      <w:numFmt w:val="lowerLetter"/>
      <w:lvlText w:val="%2)"/>
      <w:lvlJc w:val="left"/>
      <w:pPr>
        <w:ind w:left="1418" w:hanging="440"/>
      </w:pPr>
    </w:lvl>
    <w:lvl w:ilvl="2" w:tentative="0">
      <w:start w:val="1"/>
      <w:numFmt w:val="lowerRoman"/>
      <w:lvlText w:val="%3."/>
      <w:lvlJc w:val="right"/>
      <w:pPr>
        <w:ind w:left="1858" w:hanging="440"/>
      </w:pPr>
    </w:lvl>
    <w:lvl w:ilvl="3" w:tentative="0">
      <w:start w:val="1"/>
      <w:numFmt w:val="decimal"/>
      <w:lvlText w:val="%4."/>
      <w:lvlJc w:val="left"/>
      <w:pPr>
        <w:ind w:left="2298" w:hanging="440"/>
      </w:pPr>
    </w:lvl>
    <w:lvl w:ilvl="4" w:tentative="0">
      <w:start w:val="1"/>
      <w:numFmt w:val="lowerLetter"/>
      <w:lvlText w:val="%5)"/>
      <w:lvlJc w:val="left"/>
      <w:pPr>
        <w:ind w:left="2738" w:hanging="440"/>
      </w:pPr>
    </w:lvl>
    <w:lvl w:ilvl="5" w:tentative="0">
      <w:start w:val="1"/>
      <w:numFmt w:val="lowerRoman"/>
      <w:lvlText w:val="%6."/>
      <w:lvlJc w:val="right"/>
      <w:pPr>
        <w:ind w:left="3178" w:hanging="440"/>
      </w:pPr>
    </w:lvl>
    <w:lvl w:ilvl="6" w:tentative="0">
      <w:start w:val="1"/>
      <w:numFmt w:val="decimal"/>
      <w:lvlText w:val="%7."/>
      <w:lvlJc w:val="left"/>
      <w:pPr>
        <w:ind w:left="3618" w:hanging="440"/>
      </w:pPr>
    </w:lvl>
    <w:lvl w:ilvl="7" w:tentative="0">
      <w:start w:val="1"/>
      <w:numFmt w:val="lowerLetter"/>
      <w:lvlText w:val="%8)"/>
      <w:lvlJc w:val="left"/>
      <w:pPr>
        <w:ind w:left="4058" w:hanging="440"/>
      </w:pPr>
    </w:lvl>
    <w:lvl w:ilvl="8" w:tentative="0">
      <w:start w:val="1"/>
      <w:numFmt w:val="lowerRoman"/>
      <w:lvlText w:val="%9."/>
      <w:lvlJc w:val="right"/>
      <w:pPr>
        <w:ind w:left="4498" w:hanging="440"/>
      </w:pPr>
    </w:lvl>
  </w:abstractNum>
  <w:abstractNum w:abstractNumId="1">
    <w:nsid w:val="524854AA"/>
    <w:multiLevelType w:val="multilevel"/>
    <w:tmpl w:val="524854AA"/>
    <w:lvl w:ilvl="0" w:tentative="0">
      <w:start w:val="1"/>
      <w:numFmt w:val="bullet"/>
      <w:lvlText w:val=""/>
      <w:lvlJc w:val="left"/>
      <w:pPr>
        <w:ind w:left="1271" w:hanging="420"/>
      </w:pPr>
      <w:rPr>
        <w:rFonts w:hint="default" w:ascii="Wingdings" w:hAnsi="Wingdings"/>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2">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lkYjY4NWZjNGUwOWY3OTRkMDNlZjYzMDMxMGNmNTUifQ=="/>
  </w:docVars>
  <w:rsids>
    <w:rsidRoot w:val="00BF2ECD"/>
    <w:rsid w:val="00000558"/>
    <w:rsid w:val="00042CB2"/>
    <w:rsid w:val="00076DF0"/>
    <w:rsid w:val="000C4169"/>
    <w:rsid w:val="000C596D"/>
    <w:rsid w:val="000E7FC7"/>
    <w:rsid w:val="000F70FC"/>
    <w:rsid w:val="00112568"/>
    <w:rsid w:val="00115763"/>
    <w:rsid w:val="00126188"/>
    <w:rsid w:val="00131901"/>
    <w:rsid w:val="001368F4"/>
    <w:rsid w:val="00172689"/>
    <w:rsid w:val="001C112E"/>
    <w:rsid w:val="001E0CA9"/>
    <w:rsid w:val="002317AE"/>
    <w:rsid w:val="00267E1D"/>
    <w:rsid w:val="002E7CF6"/>
    <w:rsid w:val="00310CD9"/>
    <w:rsid w:val="003111D2"/>
    <w:rsid w:val="00313A26"/>
    <w:rsid w:val="00320A89"/>
    <w:rsid w:val="003351AE"/>
    <w:rsid w:val="00357875"/>
    <w:rsid w:val="00364B6E"/>
    <w:rsid w:val="003660B0"/>
    <w:rsid w:val="00375B84"/>
    <w:rsid w:val="0039024B"/>
    <w:rsid w:val="003A5AFD"/>
    <w:rsid w:val="003C0678"/>
    <w:rsid w:val="003D52A6"/>
    <w:rsid w:val="003E05E1"/>
    <w:rsid w:val="003F11E0"/>
    <w:rsid w:val="00412966"/>
    <w:rsid w:val="00432CBD"/>
    <w:rsid w:val="00450486"/>
    <w:rsid w:val="00484D96"/>
    <w:rsid w:val="004D700B"/>
    <w:rsid w:val="004F12D0"/>
    <w:rsid w:val="0050105A"/>
    <w:rsid w:val="005125CB"/>
    <w:rsid w:val="0052017B"/>
    <w:rsid w:val="005239D3"/>
    <w:rsid w:val="00532663"/>
    <w:rsid w:val="0054554E"/>
    <w:rsid w:val="0054627B"/>
    <w:rsid w:val="00550687"/>
    <w:rsid w:val="00561CC0"/>
    <w:rsid w:val="00575211"/>
    <w:rsid w:val="005762A0"/>
    <w:rsid w:val="00590C36"/>
    <w:rsid w:val="00594AC3"/>
    <w:rsid w:val="005A170C"/>
    <w:rsid w:val="005E6612"/>
    <w:rsid w:val="005E7DB1"/>
    <w:rsid w:val="00600533"/>
    <w:rsid w:val="00622EEA"/>
    <w:rsid w:val="00631267"/>
    <w:rsid w:val="00641BE3"/>
    <w:rsid w:val="006754DD"/>
    <w:rsid w:val="0068174A"/>
    <w:rsid w:val="00690B69"/>
    <w:rsid w:val="006B45CE"/>
    <w:rsid w:val="006E4809"/>
    <w:rsid w:val="006E6DF6"/>
    <w:rsid w:val="00701647"/>
    <w:rsid w:val="00721253"/>
    <w:rsid w:val="0077236C"/>
    <w:rsid w:val="00775848"/>
    <w:rsid w:val="007A7C41"/>
    <w:rsid w:val="007C16C0"/>
    <w:rsid w:val="007C41F8"/>
    <w:rsid w:val="007F434E"/>
    <w:rsid w:val="0080126D"/>
    <w:rsid w:val="00857298"/>
    <w:rsid w:val="008723D0"/>
    <w:rsid w:val="0089016F"/>
    <w:rsid w:val="008E2FF0"/>
    <w:rsid w:val="009212F3"/>
    <w:rsid w:val="00933E74"/>
    <w:rsid w:val="00947E5C"/>
    <w:rsid w:val="00952ACC"/>
    <w:rsid w:val="009641A7"/>
    <w:rsid w:val="00985004"/>
    <w:rsid w:val="009A5698"/>
    <w:rsid w:val="009D7F94"/>
    <w:rsid w:val="009E69C2"/>
    <w:rsid w:val="00A07F36"/>
    <w:rsid w:val="00A10620"/>
    <w:rsid w:val="00A1145A"/>
    <w:rsid w:val="00A14D3B"/>
    <w:rsid w:val="00A317FA"/>
    <w:rsid w:val="00A52A73"/>
    <w:rsid w:val="00A67D30"/>
    <w:rsid w:val="00AA1DF6"/>
    <w:rsid w:val="00AC6182"/>
    <w:rsid w:val="00AF26B0"/>
    <w:rsid w:val="00AF5F5D"/>
    <w:rsid w:val="00B01444"/>
    <w:rsid w:val="00B26D4E"/>
    <w:rsid w:val="00B3338B"/>
    <w:rsid w:val="00B4222C"/>
    <w:rsid w:val="00B844CB"/>
    <w:rsid w:val="00B875C2"/>
    <w:rsid w:val="00BB4C60"/>
    <w:rsid w:val="00BF2ECD"/>
    <w:rsid w:val="00C0789A"/>
    <w:rsid w:val="00C13FC2"/>
    <w:rsid w:val="00C578DC"/>
    <w:rsid w:val="00C83F71"/>
    <w:rsid w:val="00CA5606"/>
    <w:rsid w:val="00CD0630"/>
    <w:rsid w:val="00CF749F"/>
    <w:rsid w:val="00D14999"/>
    <w:rsid w:val="00D70DBF"/>
    <w:rsid w:val="00D74002"/>
    <w:rsid w:val="00DD5045"/>
    <w:rsid w:val="00DD5D73"/>
    <w:rsid w:val="00E0137B"/>
    <w:rsid w:val="00E0788E"/>
    <w:rsid w:val="00E479F4"/>
    <w:rsid w:val="00E660F3"/>
    <w:rsid w:val="00E70493"/>
    <w:rsid w:val="00EE17C8"/>
    <w:rsid w:val="00EE43B7"/>
    <w:rsid w:val="00EE53CD"/>
    <w:rsid w:val="00F14C65"/>
    <w:rsid w:val="00F54EC4"/>
    <w:rsid w:val="00FD5ED9"/>
    <w:rsid w:val="00FE2EED"/>
    <w:rsid w:val="06CA7103"/>
    <w:rsid w:val="07A51144"/>
    <w:rsid w:val="094C0767"/>
    <w:rsid w:val="0CEB0C75"/>
    <w:rsid w:val="0DE815E4"/>
    <w:rsid w:val="1AE70B4C"/>
    <w:rsid w:val="20722BFF"/>
    <w:rsid w:val="2F66238A"/>
    <w:rsid w:val="2FF5294F"/>
    <w:rsid w:val="402E4AA0"/>
    <w:rsid w:val="477261B8"/>
    <w:rsid w:val="5F45115B"/>
    <w:rsid w:val="638471E5"/>
    <w:rsid w:val="66FD5D1C"/>
    <w:rsid w:val="6CEB2E9C"/>
    <w:rsid w:val="6EBE2EEA"/>
    <w:rsid w:val="713E7A4C"/>
    <w:rsid w:val="749F2029"/>
    <w:rsid w:val="78F50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semiHidden/>
    <w:qFormat/>
    <w:uiPriority w:val="0"/>
    <w:pPr>
      <w:jc w:val="left"/>
    </w:pPr>
    <w:rPr>
      <w:rFonts w:ascii="Times New Roman" w:hAnsi="Times New Roman"/>
      <w:szCs w:val="24"/>
    </w:rPr>
  </w:style>
  <w:style w:type="paragraph" w:styleId="3">
    <w:name w:val="Balloon Text"/>
    <w:basedOn w:val="1"/>
    <w:link w:val="15"/>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rFonts w:ascii="Calibri" w:hAnsi="Calibri"/>
      <w:b/>
      <w:bCs/>
      <w:szCs w:val="22"/>
    </w:rPr>
  </w:style>
  <w:style w:type="character" w:styleId="9">
    <w:name w:val="page number"/>
    <w:basedOn w:val="8"/>
    <w:autoRedefine/>
    <w:qFormat/>
    <w:uiPriority w:val="0"/>
  </w:style>
  <w:style w:type="character" w:styleId="10">
    <w:name w:val="annotation reference"/>
    <w:autoRedefine/>
    <w:semiHidden/>
    <w:qFormat/>
    <w:uiPriority w:val="0"/>
    <w:rPr>
      <w:sz w:val="21"/>
      <w:szCs w:val="21"/>
    </w:rPr>
  </w:style>
  <w:style w:type="character" w:customStyle="1" w:styleId="11">
    <w:name w:val="页脚 字符"/>
    <w:basedOn w:val="8"/>
    <w:link w:val="4"/>
    <w:autoRedefine/>
    <w:qFormat/>
    <w:uiPriority w:val="99"/>
    <w:rPr>
      <w:rFonts w:ascii="Calibri" w:hAnsi="Calibri"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页眉 字符"/>
    <w:basedOn w:val="8"/>
    <w:link w:val="5"/>
    <w:autoRedefine/>
    <w:qFormat/>
    <w:uiPriority w:val="99"/>
    <w:rPr>
      <w:rFonts w:ascii="Calibri" w:hAnsi="Calibri" w:eastAsia="宋体" w:cs="Times New Roman"/>
      <w:sz w:val="18"/>
      <w:szCs w:val="18"/>
    </w:rPr>
  </w:style>
  <w:style w:type="character" w:customStyle="1" w:styleId="14">
    <w:name w:val="批注文字 字符"/>
    <w:basedOn w:val="8"/>
    <w:link w:val="2"/>
    <w:autoRedefine/>
    <w:semiHidden/>
    <w:qFormat/>
    <w:uiPriority w:val="0"/>
    <w:rPr>
      <w:rFonts w:ascii="Times New Roman" w:hAnsi="Times New Roman" w:eastAsia="宋体" w:cs="Times New Roman"/>
      <w:szCs w:val="24"/>
    </w:rPr>
  </w:style>
  <w:style w:type="character" w:customStyle="1" w:styleId="15">
    <w:name w:val="批注框文本 字符"/>
    <w:basedOn w:val="8"/>
    <w:link w:val="3"/>
    <w:autoRedefine/>
    <w:semiHidden/>
    <w:qFormat/>
    <w:uiPriority w:val="99"/>
    <w:rPr>
      <w:rFonts w:ascii="Calibri" w:hAnsi="Calibri" w:eastAsia="宋体" w:cs="Times New Roman"/>
      <w:sz w:val="18"/>
      <w:szCs w:val="18"/>
    </w:rPr>
  </w:style>
  <w:style w:type="character" w:customStyle="1" w:styleId="16">
    <w:name w:val="批注主题 字符"/>
    <w:basedOn w:val="14"/>
    <w:link w:val="6"/>
    <w:autoRedefine/>
    <w:semiHidden/>
    <w:qFormat/>
    <w:uiPriority w:val="99"/>
    <w:rPr>
      <w:rFonts w:ascii="Calibri" w:hAnsi="Calibri" w:eastAsia="宋体" w:cs="Times New Roman"/>
      <w:b/>
      <w:bCs/>
      <w:szCs w:val="24"/>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