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Pages>3</Pages>
  <Words>849</Words>
  <Characters>1160</Characters>
  <Lines>45</Lines>
  <Paragraphs>12</Paragraphs>
  <TotalTime>33</TotalTime>
  <ScaleCrop>false</ScaleCrop>
  <LinksUpToDate>false</LinksUpToDate>
  <CharactersWithSpaces>1285</CharactersWithSpaces>
  <Application>WPS Office_11.1.0.14309_F1E327BC-269C-435d-A152-05C5408002CA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2022-03-02T00:46:00Z</dcterms:created>
  <dc:creator>lenovo</dc:creator>
  <cp:lastModifiedBy>YUANSU HU</cp:lastModifiedBy>
  <cp:lastPrinted>2024-08-20T08:36:00Z</cp:lastPrinted>
  <dcterms:modified xsi:type="dcterms:W3CDTF">2024-08-20T13:27:05Z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A1F92B0610524970992F36B1C9B6864B_13</vt:lpwstr>
  </property>
  <property fmtid="{D5CDD505-2E9C-101B-9397-08002B2CF9AE}" pid="4" name="commondata">
    <vt:lpwstr>eyJoZGlkIjoiNGQxMzIwNmQ1ZWRlMGUxNzdkYmMyYjllZjJiOWUwZDgifQ==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color w:val="000000"/>
          <w:highlight w:val="none"/>
        </w:rPr>
      </w:pPr>
    </w:p>
    <w:p>
      <w:pPr>
        <w:spacing w:line="360" w:lineRule="auto"/>
        <w:jc w:val="center"/>
        <w:rPr>
          <w:rFonts w:hint="default" w:ascii="黑体" w:hAnsi="黑体" w:eastAsia="黑体"/>
          <w:color w:val="000000"/>
          <w:highlight w:val="none"/>
          <w:lang w:val="en-US" w:eastAsia="zh-CN"/>
        </w:rPr>
      </w:pPr>
      <w:r>
        <w:rPr>
          <w:rFonts w:ascii="黑体" w:hAnsi="黑体" w:eastAsia="黑体"/>
          <w:color w:val="000000"/>
          <w:highlight w:val="none"/>
        </w:rPr>
        <w:t>股票代码：600188             股票简称：</w:t>
      </w:r>
      <w:r>
        <w:rPr>
          <w:rFonts w:hint="eastAsia" w:ascii="黑体" w:hAnsi="黑体" w:eastAsia="黑体"/>
          <w:color w:val="000000"/>
          <w:highlight w:val="none"/>
        </w:rPr>
        <w:t>兖矿能源</w:t>
      </w:r>
      <w:r>
        <w:rPr>
          <w:rFonts w:ascii="黑体" w:hAnsi="黑体" w:eastAsia="黑体"/>
          <w:color w:val="000000"/>
          <w:highlight w:val="none"/>
        </w:rPr>
        <w:t xml:space="preserve">             编号：临202</w:t>
      </w:r>
      <w:r>
        <w:rPr>
          <w:rFonts w:hint="eastAsia" w:ascii="黑体" w:hAnsi="黑体" w:eastAsia="黑体"/>
          <w:color w:val="000000"/>
          <w:highlight w:val="none"/>
        </w:rPr>
        <w:t>4</w:t>
      </w:r>
      <w:r>
        <w:rPr>
          <w:rFonts w:ascii="黑体" w:hAnsi="黑体" w:eastAsia="黑体"/>
          <w:color w:val="000000"/>
          <w:highlight w:val="none"/>
        </w:rPr>
        <w:t>-</w:t>
      </w:r>
      <w:r>
        <w:rPr>
          <w:rFonts w:hint="eastAsia" w:ascii="黑体" w:hAnsi="黑体" w:eastAsia="黑体"/>
          <w:color w:val="000000"/>
          <w:highlight w:val="none"/>
          <w:lang w:val="en-US" w:eastAsia="zh-CN"/>
        </w:rPr>
        <w:t>053</w:t>
      </w:r>
    </w:p>
    <w:p>
      <w:pPr>
        <w:spacing w:line="500" w:lineRule="exact"/>
        <w:jc w:val="center"/>
        <w:rPr>
          <w:rFonts w:eastAsia="黑体"/>
          <w:color w:val="000000"/>
          <w:highlight w:val="none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</w:rPr>
        <w:t>兖矿能源集团</w:t>
      </w:r>
      <w:r>
        <w:rPr>
          <w:rFonts w:ascii="黑体" w:eastAsia="黑体"/>
          <w:b/>
          <w:bCs/>
          <w:color w:val="FF0000"/>
          <w:sz w:val="36"/>
          <w:szCs w:val="36"/>
          <w:highlight w:val="none"/>
        </w:rPr>
        <w:t>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  <w:highlight w:val="none"/>
          <w:lang w:eastAsia="zh-CN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  <w:lang w:val="en-US" w:eastAsia="zh-CN"/>
        </w:rPr>
        <w:t>2024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</w:rPr>
        <w:t>年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  <w:lang w:val="en-US" w:eastAsia="zh-CN"/>
        </w:rPr>
        <w:t>半年度业绩快报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</w:rPr>
        <w:t>公告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  <w:lang w:eastAsia="zh-CN"/>
        </w:rPr>
        <w:t>（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  <w:lang w:val="en-US" w:eastAsia="zh-CN"/>
        </w:rPr>
        <w:t>更正版</w:t>
      </w:r>
      <w:r>
        <w:rPr>
          <w:rFonts w:hint="eastAsia" w:ascii="黑体" w:eastAsia="黑体"/>
          <w:b/>
          <w:bCs/>
          <w:color w:val="FF0000"/>
          <w:sz w:val="36"/>
          <w:szCs w:val="36"/>
          <w:highlight w:val="none"/>
          <w:lang w:eastAsia="zh-CN"/>
        </w:rPr>
        <w:t>）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520" w:lineRule="exact"/>
        <w:ind w:firstLine="540"/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重要内容提示：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本公告所载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年半年度主要财务数据为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按中国会计准则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初步核算数据，未经会计师事务所审计，具体数据以公司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年半年度报告中披露的数据为准，提请投资者注意投资风险。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jc w:val="left"/>
        <w:rPr>
          <w:rFonts w:ascii="黑体" w:hAnsi="黑体" w:eastAsia="黑体"/>
          <w:b/>
          <w:kern w:val="0"/>
          <w:sz w:val="30"/>
          <w:szCs w:val="30"/>
          <w:highlight w:val="none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rPr>
          <w:rFonts w:ascii="黑体" w:hAnsi="黑体" w:eastAsia="黑体"/>
          <w:b/>
          <w:kern w:val="0"/>
          <w:sz w:val="28"/>
          <w:szCs w:val="28"/>
          <w:highlight w:val="none"/>
        </w:rPr>
      </w:pPr>
      <w:r>
        <w:rPr>
          <w:rFonts w:ascii="黑体" w:hAnsi="黑体" w:eastAsia="黑体"/>
          <w:b/>
          <w:kern w:val="0"/>
          <w:sz w:val="28"/>
          <w:szCs w:val="28"/>
          <w:highlight w:val="none"/>
        </w:rPr>
        <w:t>一、</w:t>
      </w:r>
      <w:r>
        <w:rPr>
          <w:rFonts w:hint="eastAsia" w:ascii="黑体" w:hAnsi="黑体" w:eastAsia="黑体"/>
          <w:b/>
          <w:kern w:val="0"/>
          <w:sz w:val="28"/>
          <w:szCs w:val="28"/>
          <w:highlight w:val="none"/>
          <w:lang w:val="en-US" w:eastAsia="zh-CN"/>
        </w:rPr>
        <w:t>2024</w:t>
      </w:r>
      <w:r>
        <w:rPr>
          <w:rFonts w:ascii="黑体" w:hAnsi="黑体" w:eastAsia="黑体"/>
          <w:b/>
          <w:kern w:val="0"/>
          <w:sz w:val="28"/>
          <w:szCs w:val="28"/>
          <w:highlight w:val="none"/>
        </w:rPr>
        <w:t>年度半年度主要财务数据和指标</w:t>
      </w:r>
    </w:p>
    <w:p>
      <w:pPr>
        <w:adjustRightInd w:val="0"/>
        <w:snapToGrid w:val="0"/>
        <w:spacing w:line="360" w:lineRule="auto"/>
        <w:ind w:left="239" w:leftChars="114" w:firstLine="240" w:firstLineChars="100"/>
        <w:jc w:val="left"/>
        <w:rPr>
          <w:rFonts w:hint="default" w:ascii="Times New Roman" w:hAnsi="Times New Roman" w:eastAsia="宋体"/>
          <w:kern w:val="0"/>
          <w:sz w:val="24"/>
          <w:highlight w:val="none"/>
          <w:lang w:val="en-US" w:eastAsia="zh-CN"/>
        </w:rPr>
      </w:pPr>
      <w:r>
        <w:rPr>
          <w:rFonts w:ascii="Times New Roman" w:hAnsi="Times New Roman"/>
          <w:sz w:val="24"/>
          <w:highlight w:val="none"/>
        </w:rPr>
        <w:t xml:space="preserve">                                                 </w:t>
      </w:r>
      <w:r>
        <w:rPr>
          <w:rFonts w:ascii="Times New Roman" w:hAnsi="Times New Roman"/>
          <w:kern w:val="0"/>
          <w:sz w:val="24"/>
          <w:highlight w:val="none"/>
        </w:rPr>
        <w:t>单位：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人民币千元</w:t>
      </w:r>
    </w:p>
    <w:tbl>
      <w:tblPr>
        <w:tblStyle w:val="13"/>
        <w:tblW w:w="8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800"/>
        <w:gridCol w:w="234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本报告期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上年同期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增减变动幅度（％）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营业总收入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imes New Roman" w:hAnsi="Times New Roman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72,311,580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95,230,574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营业利润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13,469,610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20,180,465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利润总额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13,888,867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20,272,949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归属于上市公司股东的净利润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（“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净利润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”）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7,568,315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11,072,063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归属于上市公司股东的扣除非经常性损益的净利润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7,298,383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10,049,371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基本每股收益（元）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1.02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1.51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加权平均净资产收益率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10.04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12.16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本报告期末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本报告期初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增减变动幅度（％）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总 资 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359,462,870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354,465,263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归属于上市公司股东的所有者权益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75,841,653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72,827,965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股    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7,722,970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7,439,371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归属于上市公司股东的每股净资产（元）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9.82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9.79 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楷体"/>
          <w:kern w:val="0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楷体"/>
          <w:kern w:val="0"/>
          <w:sz w:val="24"/>
          <w:highlight w:val="none"/>
        </w:rPr>
        <w:t xml:space="preserve"> </w:t>
      </w:r>
      <w:r>
        <w:rPr>
          <w:rFonts w:ascii="Times New Roman" w:hAnsi="Times New Roman" w:eastAsia="楷体"/>
          <w:kern w:val="0"/>
          <w:sz w:val="28"/>
          <w:szCs w:val="28"/>
          <w:highlight w:val="none"/>
        </w:rPr>
        <w:t>注：</w:t>
      </w:r>
      <w:r>
        <w:rPr>
          <w:rFonts w:ascii="Times New Roman" w:hAnsi="Times New Roman" w:eastAsia="楷体"/>
          <w:kern w:val="0"/>
          <w:sz w:val="28"/>
          <w:szCs w:val="28"/>
          <w:highlight w:val="none"/>
          <w:lang w:val="en-US" w:eastAsia="zh-CN"/>
        </w:rPr>
        <w:t>上表以公司合并报表数据填制。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rPr>
          <w:rFonts w:ascii="黑体" w:hAnsi="黑体" w:eastAsia="黑体"/>
          <w:b/>
          <w:kern w:val="0"/>
          <w:sz w:val="28"/>
          <w:szCs w:val="28"/>
          <w:highlight w:val="none"/>
        </w:rPr>
      </w:pPr>
      <w:r>
        <w:rPr>
          <w:rFonts w:ascii="黑体" w:hAnsi="黑体" w:eastAsia="黑体"/>
          <w:b/>
          <w:kern w:val="0"/>
          <w:sz w:val="28"/>
          <w:szCs w:val="28"/>
          <w:highlight w:val="none"/>
        </w:rPr>
        <w:t>二、经营业绩和财务状况情况说明</w:t>
      </w:r>
    </w:p>
    <w:p>
      <w:pPr>
        <w:adjustRightInd w:val="0"/>
        <w:snapToGrid w:val="0"/>
        <w:spacing w:line="520" w:lineRule="exact"/>
        <w:ind w:firstLine="539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报告期内，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公司通过科学合理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优化生产组织，实现产能有效提升；通过加强精益管理，实现最大限度挖潜降本增效；有效对冲了煤炭价格下降的不利影响。相关举措在第二季度发挥了较好成效，二季度净利润环比一季度提升，实现逆势增长。</w:t>
      </w:r>
    </w:p>
    <w:p>
      <w:pPr>
        <w:adjustRightInd w:val="0"/>
        <w:snapToGrid w:val="0"/>
        <w:spacing w:line="520" w:lineRule="exact"/>
        <w:ind w:firstLine="539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2024年上半年，公司实现营业收入723.12亿元；净利润75.68亿元。其中，二季度净利润为38.12亿元，环比一季度增加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0.55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亿元，增幅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1.46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%，环比增长幅度优于同行业平均水平。截至2024年6月30日，资产总额3,594.63亿元，较上年末增加49.98亿元，增幅1.41%；归属于上市公司股东的所有者权益758.42亿元，较上年末增加30.14亿元，增幅4.14%。</w:t>
      </w:r>
    </w:p>
    <w:p>
      <w:pPr>
        <w:autoSpaceDE w:val="0"/>
        <w:autoSpaceDN w:val="0"/>
        <w:adjustRightInd w:val="0"/>
        <w:spacing w:line="560" w:lineRule="exact"/>
        <w:ind w:firstLine="562" w:firstLineChars="200"/>
        <w:jc w:val="left"/>
        <w:rPr>
          <w:rFonts w:hint="eastAsia" w:ascii="黑体" w:hAnsi="黑体" w:eastAsia="黑体" w:cs="黑体"/>
          <w:b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highlight w:val="none"/>
        </w:rPr>
        <w:t>三、风险提示</w:t>
      </w:r>
    </w:p>
    <w:p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  <w:lang w:val="en-US" w:eastAsia="zh-CN"/>
        </w:rPr>
        <w:t>本公告所载2024年半年度主要财务数据为初步核算数据，未经会计师事务所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审计,可能会与公司2024年半年度报告中披露的数据存在差异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但预计上述差异幅度不会超过10%。请投资者注意投资风险。</w:t>
      </w:r>
    </w:p>
    <w:p>
      <w:pPr>
        <w:autoSpaceDE w:val="0"/>
        <w:autoSpaceDN w:val="0"/>
        <w:adjustRightInd w:val="0"/>
        <w:spacing w:line="560" w:lineRule="exact"/>
        <w:ind w:firstLine="562" w:firstLineChars="200"/>
        <w:jc w:val="left"/>
        <w:rPr>
          <w:rFonts w:hint="default" w:ascii="黑体" w:hAnsi="黑体" w:eastAsia="黑体" w:cs="黑体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/>
          <w:kern w:val="0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/>
          <w:kern w:val="0"/>
          <w:sz w:val="28"/>
          <w:szCs w:val="28"/>
          <w:highlight w:val="none"/>
          <w:lang w:val="en-US" w:eastAsia="zh-CN"/>
        </w:rPr>
        <w:t>备查文件</w:t>
      </w:r>
    </w:p>
    <w:p>
      <w:pPr>
        <w:adjustRightInd w:val="0"/>
        <w:snapToGrid w:val="0"/>
        <w:spacing w:line="520" w:lineRule="exact"/>
        <w:ind w:firstLine="539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经公司现任法定代表人、主管会计工作的负责人、会计机构负责人签字并盖章的比较式资产负债表和利润表。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Times New Roman" w:eastAsia="仿宋_GB2312"/>
          <w:kern w:val="0"/>
          <w:sz w:val="24"/>
          <w:highlight w:val="none"/>
        </w:rPr>
      </w:pPr>
    </w:p>
    <w:p>
      <w:pPr>
        <w:adjustRightInd w:val="0"/>
        <w:snapToGrid w:val="0"/>
        <w:spacing w:line="520" w:lineRule="exact"/>
        <w:ind w:firstLine="539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特此公告。</w:t>
      </w:r>
    </w:p>
    <w:p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560" w:lineRule="exact"/>
        <w:ind w:left="5030" w:leftChars="1862" w:hanging="1120" w:hangingChars="400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兖矿能源集团股份有限公司董事会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2024年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kern w:val="0"/>
          <w:sz w:val="24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857938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22525"/>
    <w:multiLevelType w:val="multilevel"/>
    <w:tmpl w:val="61722525"/>
    <w:lvl w:ilvl="0" w:tentative="0">
      <w:start w:val="1"/>
      <w:numFmt w:val="bullet"/>
      <w:lvlText w:val=""/>
      <w:lvlJc w:val="left"/>
      <w:pPr>
        <w:ind w:left="9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e8ac40fa-c199-4c2e-a65b-6ab57cdbe05c"/>
  </w:docVars>
  <w:rsids>
    <w:rsidRoot w:val="00884DF9"/>
    <w:rsid w:val="000015A4"/>
    <w:rsid w:val="000103F0"/>
    <w:rsid w:val="000126A7"/>
    <w:rsid w:val="00020685"/>
    <w:rsid w:val="000206DD"/>
    <w:rsid w:val="00031F40"/>
    <w:rsid w:val="00036005"/>
    <w:rsid w:val="00046320"/>
    <w:rsid w:val="000C5A23"/>
    <w:rsid w:val="000D3D6F"/>
    <w:rsid w:val="000D7BDE"/>
    <w:rsid w:val="000E358B"/>
    <w:rsid w:val="000E72C7"/>
    <w:rsid w:val="000F3DEF"/>
    <w:rsid w:val="000F564C"/>
    <w:rsid w:val="000F71E4"/>
    <w:rsid w:val="00100851"/>
    <w:rsid w:val="001025EC"/>
    <w:rsid w:val="001103AC"/>
    <w:rsid w:val="0011341F"/>
    <w:rsid w:val="00117A60"/>
    <w:rsid w:val="00122D1A"/>
    <w:rsid w:val="00134972"/>
    <w:rsid w:val="001374D5"/>
    <w:rsid w:val="001435F0"/>
    <w:rsid w:val="00161016"/>
    <w:rsid w:val="00166861"/>
    <w:rsid w:val="001867E3"/>
    <w:rsid w:val="001A514D"/>
    <w:rsid w:val="001A67B7"/>
    <w:rsid w:val="001B138E"/>
    <w:rsid w:val="001B4D28"/>
    <w:rsid w:val="001C106B"/>
    <w:rsid w:val="001C23A9"/>
    <w:rsid w:val="001C7845"/>
    <w:rsid w:val="001D0917"/>
    <w:rsid w:val="001F21F7"/>
    <w:rsid w:val="001F389B"/>
    <w:rsid w:val="001F577A"/>
    <w:rsid w:val="00200BD7"/>
    <w:rsid w:val="00210DDE"/>
    <w:rsid w:val="00223462"/>
    <w:rsid w:val="002623FE"/>
    <w:rsid w:val="00275016"/>
    <w:rsid w:val="002772BD"/>
    <w:rsid w:val="00285DE0"/>
    <w:rsid w:val="002861D3"/>
    <w:rsid w:val="00293493"/>
    <w:rsid w:val="002A1708"/>
    <w:rsid w:val="002D69F4"/>
    <w:rsid w:val="002E2CFD"/>
    <w:rsid w:val="002F055B"/>
    <w:rsid w:val="002F5298"/>
    <w:rsid w:val="0030594D"/>
    <w:rsid w:val="00307B97"/>
    <w:rsid w:val="00312A6A"/>
    <w:rsid w:val="003169A6"/>
    <w:rsid w:val="00344FC4"/>
    <w:rsid w:val="00361843"/>
    <w:rsid w:val="00367068"/>
    <w:rsid w:val="003779A3"/>
    <w:rsid w:val="003866B5"/>
    <w:rsid w:val="003A1F68"/>
    <w:rsid w:val="003A3E68"/>
    <w:rsid w:val="003B4A3E"/>
    <w:rsid w:val="003B7961"/>
    <w:rsid w:val="003C01AB"/>
    <w:rsid w:val="003D3EA8"/>
    <w:rsid w:val="003F26E6"/>
    <w:rsid w:val="003F3770"/>
    <w:rsid w:val="00410708"/>
    <w:rsid w:val="004138D5"/>
    <w:rsid w:val="004225E9"/>
    <w:rsid w:val="00423BDB"/>
    <w:rsid w:val="00423DA0"/>
    <w:rsid w:val="004275A2"/>
    <w:rsid w:val="00432ADD"/>
    <w:rsid w:val="00434E24"/>
    <w:rsid w:val="004533A6"/>
    <w:rsid w:val="004563C8"/>
    <w:rsid w:val="004729A9"/>
    <w:rsid w:val="00485131"/>
    <w:rsid w:val="00494742"/>
    <w:rsid w:val="00494835"/>
    <w:rsid w:val="004A56A7"/>
    <w:rsid w:val="004A6CE1"/>
    <w:rsid w:val="004B2B14"/>
    <w:rsid w:val="004C44D2"/>
    <w:rsid w:val="004C5123"/>
    <w:rsid w:val="004C5EB8"/>
    <w:rsid w:val="004C6C37"/>
    <w:rsid w:val="004C72DA"/>
    <w:rsid w:val="004D4051"/>
    <w:rsid w:val="004D73C2"/>
    <w:rsid w:val="004F1095"/>
    <w:rsid w:val="004F1CC8"/>
    <w:rsid w:val="005168D0"/>
    <w:rsid w:val="00535226"/>
    <w:rsid w:val="00540377"/>
    <w:rsid w:val="005436AD"/>
    <w:rsid w:val="00550E5C"/>
    <w:rsid w:val="0055322C"/>
    <w:rsid w:val="0055743E"/>
    <w:rsid w:val="00564E60"/>
    <w:rsid w:val="005833AD"/>
    <w:rsid w:val="00592D9C"/>
    <w:rsid w:val="00596957"/>
    <w:rsid w:val="00597B44"/>
    <w:rsid w:val="005A757E"/>
    <w:rsid w:val="005C7927"/>
    <w:rsid w:val="005D7E9F"/>
    <w:rsid w:val="005E1D2A"/>
    <w:rsid w:val="005F197E"/>
    <w:rsid w:val="00612526"/>
    <w:rsid w:val="0064244B"/>
    <w:rsid w:val="00653994"/>
    <w:rsid w:val="00655DB6"/>
    <w:rsid w:val="00656080"/>
    <w:rsid w:val="0066019F"/>
    <w:rsid w:val="006608B9"/>
    <w:rsid w:val="006609BF"/>
    <w:rsid w:val="00666F14"/>
    <w:rsid w:val="00672B3D"/>
    <w:rsid w:val="00673E87"/>
    <w:rsid w:val="00681848"/>
    <w:rsid w:val="0068598B"/>
    <w:rsid w:val="00685B76"/>
    <w:rsid w:val="00691996"/>
    <w:rsid w:val="006C0665"/>
    <w:rsid w:val="006C7AAF"/>
    <w:rsid w:val="006C7F53"/>
    <w:rsid w:val="006D0882"/>
    <w:rsid w:val="006D2B44"/>
    <w:rsid w:val="006D3842"/>
    <w:rsid w:val="006D3B0E"/>
    <w:rsid w:val="006D6B36"/>
    <w:rsid w:val="006F1FDB"/>
    <w:rsid w:val="006F3B7B"/>
    <w:rsid w:val="006F4656"/>
    <w:rsid w:val="006F480E"/>
    <w:rsid w:val="0070104F"/>
    <w:rsid w:val="007225B1"/>
    <w:rsid w:val="00726BBF"/>
    <w:rsid w:val="00730EF0"/>
    <w:rsid w:val="00733E97"/>
    <w:rsid w:val="00735257"/>
    <w:rsid w:val="007463FD"/>
    <w:rsid w:val="007547D7"/>
    <w:rsid w:val="00755002"/>
    <w:rsid w:val="0076362D"/>
    <w:rsid w:val="00765404"/>
    <w:rsid w:val="00777F1B"/>
    <w:rsid w:val="00782CAF"/>
    <w:rsid w:val="00786221"/>
    <w:rsid w:val="0078716D"/>
    <w:rsid w:val="00793E38"/>
    <w:rsid w:val="007B16EC"/>
    <w:rsid w:val="007B572C"/>
    <w:rsid w:val="007C17AE"/>
    <w:rsid w:val="007C23EA"/>
    <w:rsid w:val="007C5BE7"/>
    <w:rsid w:val="007C77C8"/>
    <w:rsid w:val="007D239C"/>
    <w:rsid w:val="007D30EF"/>
    <w:rsid w:val="007E09D9"/>
    <w:rsid w:val="007E1145"/>
    <w:rsid w:val="00803461"/>
    <w:rsid w:val="0080385C"/>
    <w:rsid w:val="00803A39"/>
    <w:rsid w:val="00810EFF"/>
    <w:rsid w:val="008161F3"/>
    <w:rsid w:val="008177C2"/>
    <w:rsid w:val="00827DDA"/>
    <w:rsid w:val="008314AE"/>
    <w:rsid w:val="00834B12"/>
    <w:rsid w:val="008359CE"/>
    <w:rsid w:val="00841623"/>
    <w:rsid w:val="008458D0"/>
    <w:rsid w:val="0085465F"/>
    <w:rsid w:val="008601CF"/>
    <w:rsid w:val="00862661"/>
    <w:rsid w:val="0086788E"/>
    <w:rsid w:val="0087096A"/>
    <w:rsid w:val="00884DF9"/>
    <w:rsid w:val="00886BE9"/>
    <w:rsid w:val="0089151A"/>
    <w:rsid w:val="008B582B"/>
    <w:rsid w:val="008B6FBB"/>
    <w:rsid w:val="008E7F6A"/>
    <w:rsid w:val="008F3193"/>
    <w:rsid w:val="00902C76"/>
    <w:rsid w:val="0090311A"/>
    <w:rsid w:val="009070F6"/>
    <w:rsid w:val="00925CB5"/>
    <w:rsid w:val="009300C7"/>
    <w:rsid w:val="009611F3"/>
    <w:rsid w:val="009722C3"/>
    <w:rsid w:val="00973B9A"/>
    <w:rsid w:val="009869B4"/>
    <w:rsid w:val="009973CD"/>
    <w:rsid w:val="009A1CA0"/>
    <w:rsid w:val="009A2695"/>
    <w:rsid w:val="009A28D6"/>
    <w:rsid w:val="009C081C"/>
    <w:rsid w:val="009C7BE5"/>
    <w:rsid w:val="009D59BE"/>
    <w:rsid w:val="009F50DE"/>
    <w:rsid w:val="009F7A0B"/>
    <w:rsid w:val="00A04348"/>
    <w:rsid w:val="00A0458D"/>
    <w:rsid w:val="00A12990"/>
    <w:rsid w:val="00A13161"/>
    <w:rsid w:val="00A13990"/>
    <w:rsid w:val="00A161C4"/>
    <w:rsid w:val="00A16278"/>
    <w:rsid w:val="00A17DAE"/>
    <w:rsid w:val="00A359AA"/>
    <w:rsid w:val="00A4706C"/>
    <w:rsid w:val="00A5683D"/>
    <w:rsid w:val="00A60225"/>
    <w:rsid w:val="00A83808"/>
    <w:rsid w:val="00A87C77"/>
    <w:rsid w:val="00A95954"/>
    <w:rsid w:val="00AA2310"/>
    <w:rsid w:val="00AA5F8C"/>
    <w:rsid w:val="00AB248A"/>
    <w:rsid w:val="00AB3AEE"/>
    <w:rsid w:val="00AD3592"/>
    <w:rsid w:val="00B03469"/>
    <w:rsid w:val="00B067F6"/>
    <w:rsid w:val="00B10CA0"/>
    <w:rsid w:val="00B250B6"/>
    <w:rsid w:val="00B26AD9"/>
    <w:rsid w:val="00B33CA0"/>
    <w:rsid w:val="00B40215"/>
    <w:rsid w:val="00B41030"/>
    <w:rsid w:val="00B43D72"/>
    <w:rsid w:val="00B4401D"/>
    <w:rsid w:val="00B475F9"/>
    <w:rsid w:val="00B54E32"/>
    <w:rsid w:val="00B60808"/>
    <w:rsid w:val="00B61E64"/>
    <w:rsid w:val="00B63BDE"/>
    <w:rsid w:val="00B71A9B"/>
    <w:rsid w:val="00B73294"/>
    <w:rsid w:val="00B75153"/>
    <w:rsid w:val="00B7642B"/>
    <w:rsid w:val="00B804D3"/>
    <w:rsid w:val="00B83CC4"/>
    <w:rsid w:val="00BB0DEC"/>
    <w:rsid w:val="00BC533B"/>
    <w:rsid w:val="00BC66AF"/>
    <w:rsid w:val="00BE4F2E"/>
    <w:rsid w:val="00C001E9"/>
    <w:rsid w:val="00C2439F"/>
    <w:rsid w:val="00C24618"/>
    <w:rsid w:val="00C3199E"/>
    <w:rsid w:val="00C339BF"/>
    <w:rsid w:val="00C348DD"/>
    <w:rsid w:val="00C360AD"/>
    <w:rsid w:val="00C43BFA"/>
    <w:rsid w:val="00C47A3F"/>
    <w:rsid w:val="00C56BFF"/>
    <w:rsid w:val="00C600F6"/>
    <w:rsid w:val="00C61F8D"/>
    <w:rsid w:val="00C72F1A"/>
    <w:rsid w:val="00C74034"/>
    <w:rsid w:val="00C75D1F"/>
    <w:rsid w:val="00C76948"/>
    <w:rsid w:val="00C85EE8"/>
    <w:rsid w:val="00CB056E"/>
    <w:rsid w:val="00CC19A1"/>
    <w:rsid w:val="00CD19A4"/>
    <w:rsid w:val="00CD38B2"/>
    <w:rsid w:val="00CD714C"/>
    <w:rsid w:val="00CE534C"/>
    <w:rsid w:val="00CF024E"/>
    <w:rsid w:val="00CF495C"/>
    <w:rsid w:val="00D009CD"/>
    <w:rsid w:val="00D0619B"/>
    <w:rsid w:val="00D073EC"/>
    <w:rsid w:val="00D124B6"/>
    <w:rsid w:val="00D15774"/>
    <w:rsid w:val="00D1609C"/>
    <w:rsid w:val="00D32A1F"/>
    <w:rsid w:val="00D4727F"/>
    <w:rsid w:val="00D521C4"/>
    <w:rsid w:val="00D53E2A"/>
    <w:rsid w:val="00D64908"/>
    <w:rsid w:val="00D750D4"/>
    <w:rsid w:val="00DB543A"/>
    <w:rsid w:val="00DC2779"/>
    <w:rsid w:val="00DC6222"/>
    <w:rsid w:val="00DE2519"/>
    <w:rsid w:val="00DE3994"/>
    <w:rsid w:val="00DF45DE"/>
    <w:rsid w:val="00DF4DB1"/>
    <w:rsid w:val="00DF632A"/>
    <w:rsid w:val="00E02019"/>
    <w:rsid w:val="00E03629"/>
    <w:rsid w:val="00E063ED"/>
    <w:rsid w:val="00E06879"/>
    <w:rsid w:val="00E13AC1"/>
    <w:rsid w:val="00E21D65"/>
    <w:rsid w:val="00E243BD"/>
    <w:rsid w:val="00E322FF"/>
    <w:rsid w:val="00E33753"/>
    <w:rsid w:val="00E37DEE"/>
    <w:rsid w:val="00E466C0"/>
    <w:rsid w:val="00E522CB"/>
    <w:rsid w:val="00E54DB6"/>
    <w:rsid w:val="00E66B84"/>
    <w:rsid w:val="00E66F74"/>
    <w:rsid w:val="00E743B4"/>
    <w:rsid w:val="00E8494D"/>
    <w:rsid w:val="00E92069"/>
    <w:rsid w:val="00E97E97"/>
    <w:rsid w:val="00EA38A4"/>
    <w:rsid w:val="00EA5E12"/>
    <w:rsid w:val="00EB5FF6"/>
    <w:rsid w:val="00EB7824"/>
    <w:rsid w:val="00EC3253"/>
    <w:rsid w:val="00EF0180"/>
    <w:rsid w:val="00EF295D"/>
    <w:rsid w:val="00EF31E9"/>
    <w:rsid w:val="00EF47A6"/>
    <w:rsid w:val="00EF6734"/>
    <w:rsid w:val="00EF6E84"/>
    <w:rsid w:val="00F01C00"/>
    <w:rsid w:val="00F142C0"/>
    <w:rsid w:val="00F17F52"/>
    <w:rsid w:val="00F229F6"/>
    <w:rsid w:val="00F23B51"/>
    <w:rsid w:val="00F25398"/>
    <w:rsid w:val="00F36F98"/>
    <w:rsid w:val="00F626F7"/>
    <w:rsid w:val="00F73950"/>
    <w:rsid w:val="00F76A40"/>
    <w:rsid w:val="00F82DF1"/>
    <w:rsid w:val="00F90B9D"/>
    <w:rsid w:val="00FA4766"/>
    <w:rsid w:val="00FA725E"/>
    <w:rsid w:val="00FE31D5"/>
    <w:rsid w:val="014D2AC6"/>
    <w:rsid w:val="05682DA0"/>
    <w:rsid w:val="07CF4038"/>
    <w:rsid w:val="0A6C4EC8"/>
    <w:rsid w:val="0CD63834"/>
    <w:rsid w:val="0D8E5A14"/>
    <w:rsid w:val="0ED527B6"/>
    <w:rsid w:val="10ED2754"/>
    <w:rsid w:val="140D6614"/>
    <w:rsid w:val="172066A6"/>
    <w:rsid w:val="1FDF621F"/>
    <w:rsid w:val="21413899"/>
    <w:rsid w:val="2ADE7050"/>
    <w:rsid w:val="2BD95E71"/>
    <w:rsid w:val="2ECE61C1"/>
    <w:rsid w:val="30731044"/>
    <w:rsid w:val="30FD0CC4"/>
    <w:rsid w:val="338D61E8"/>
    <w:rsid w:val="3A9011AE"/>
    <w:rsid w:val="3D086A41"/>
    <w:rsid w:val="3EF33EF9"/>
    <w:rsid w:val="41A3206A"/>
    <w:rsid w:val="42895EAD"/>
    <w:rsid w:val="47001274"/>
    <w:rsid w:val="49B77E87"/>
    <w:rsid w:val="4A060421"/>
    <w:rsid w:val="54745B1B"/>
    <w:rsid w:val="56657111"/>
    <w:rsid w:val="56A01DC6"/>
    <w:rsid w:val="5906339C"/>
    <w:rsid w:val="5DC776C3"/>
    <w:rsid w:val="5FA2300D"/>
    <w:rsid w:val="6C7173C7"/>
    <w:rsid w:val="6FF76D14"/>
    <w:rsid w:val="71C360C7"/>
    <w:rsid w:val="73110421"/>
    <w:rsid w:val="738937A7"/>
    <w:rsid w:val="74792059"/>
    <w:rsid w:val="78303008"/>
    <w:rsid w:val="784E34DE"/>
    <w:rsid w:val="7AD52585"/>
    <w:rsid w:val="7F9E28E9"/>
    <w:rsid w:val="7FDEACBC"/>
    <w:rsid w:val="B1FFA420"/>
    <w:rsid w:val="F3EEC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line="415" w:lineRule="auto"/>
      <w:jc w:val="center"/>
      <w:outlineLvl w:val="1"/>
    </w:pPr>
    <w:rPr>
      <w:rFonts w:ascii="黑体" w:hAnsi="黑体" w:eastAsia="黑体" w:cstheme="majorBidi"/>
      <w:b/>
      <w:bCs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0"/>
    <w:pPr>
      <w:jc w:val="left"/>
    </w:pPr>
  </w:style>
  <w:style w:type="paragraph" w:styleId="5">
    <w:name w:val="Body Text Indent"/>
    <w:basedOn w:val="1"/>
    <w:link w:val="31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6">
    <w:name w:val="Body Text Indent 2"/>
    <w:basedOn w:val="1"/>
    <w:link w:val="29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sz w:val="30"/>
      <w:szCs w:val="30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paragraph" w:styleId="12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8">
    <w:name w:val="标题 字符"/>
    <w:basedOn w:val="14"/>
    <w:link w:val="11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9">
    <w:name w:val="页眉 字符"/>
    <w:basedOn w:val="14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批注框文本 字符"/>
    <w:basedOn w:val="14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字符"/>
    <w:basedOn w:val="14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3">
    <w:name w:val="批注主题 字符"/>
    <w:basedOn w:val="22"/>
    <w:link w:val="12"/>
    <w:semiHidden/>
    <w:qFormat/>
    <w:uiPriority w:val="99"/>
    <w:rPr>
      <w:rFonts w:ascii="Calibri" w:hAnsi="Calibri" w:eastAsia="宋体" w:cs="Times New Roman"/>
      <w:b/>
      <w:bCs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标题 1 字符"/>
    <w:basedOn w:val="1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7">
    <w:name w:val="标题 1 字符1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正文文本缩进 2 字符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正文文本缩进 2 字符1"/>
    <w:basedOn w:val="14"/>
    <w:link w:val="6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30">
    <w:name w:val="正文文本缩进 字符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正文文本缩进 字符1"/>
    <w:basedOn w:val="14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文字 Char"/>
    <w:basedOn w:val="14"/>
    <w:qFormat/>
    <w:uiPriority w:val="0"/>
    <w:rPr>
      <w:kern w:val="2"/>
      <w:sz w:val="21"/>
      <w:szCs w:val="24"/>
    </w:rPr>
  </w:style>
  <w:style w:type="character" w:customStyle="1" w:styleId="33">
    <w:name w:val="标题 2 字符"/>
    <w:basedOn w:val="14"/>
    <w:link w:val="3"/>
    <w:qFormat/>
    <w:uiPriority w:val="9"/>
    <w:rPr>
      <w:rFonts w:ascii="黑体" w:hAnsi="黑体" w:eastAsia="黑体" w:cstheme="majorBidi"/>
      <w:b/>
      <w:bCs/>
      <w:sz w:val="36"/>
      <w:szCs w:val="36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