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w:t>
      </w:r>
      <w:r>
        <w:rPr>
          <w:rFonts w:hint="eastAsia" w:ascii="黑体" w:hAnsi="黑体" w:eastAsia="黑体" w:cs="Times New Roman"/>
          <w:sz w:val="21"/>
          <w:szCs w:val="21"/>
          <w:lang w:val="en-US" w:eastAsia="zh-CN"/>
        </w:rPr>
        <w:t>4</w:t>
      </w:r>
      <w:r>
        <w:rPr>
          <w:rFonts w:hint="eastAsia" w:ascii="黑体" w:hAnsi="黑体" w:eastAsia="黑体" w:cs="Times New Roman"/>
          <w:sz w:val="21"/>
          <w:szCs w:val="21"/>
        </w:rPr>
        <w:t>-</w:t>
      </w:r>
      <w:r>
        <w:rPr>
          <w:rFonts w:hint="eastAsia" w:ascii="黑体" w:hAnsi="黑体" w:eastAsia="黑体" w:cs="Times New Roman"/>
          <w:sz w:val="21"/>
          <w:szCs w:val="21"/>
          <w:lang w:val="en-US" w:eastAsia="zh-CN"/>
        </w:rPr>
        <w:t>047</w:t>
      </w:r>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hint="default" w:cs="Times New Roman" w:asciiTheme="minorEastAsia" w:hAnsiTheme="minorEastAsia" w:eastAsiaTheme="minorEastAsia"/>
          <w:b/>
          <w:bCs/>
          <w:color w:val="FF0000"/>
          <w:sz w:val="36"/>
          <w:szCs w:val="32"/>
          <w:lang w:val="en-US" w:eastAsia="zh-CN"/>
        </w:rPr>
      </w:pPr>
      <w:r>
        <w:rPr>
          <w:rFonts w:cs="Times New Roman" w:asciiTheme="minorEastAsia" w:hAnsiTheme="minorEastAsia" w:eastAsiaTheme="minorEastAsia"/>
          <w:b/>
          <w:bCs/>
          <w:color w:val="FF0000"/>
          <w:sz w:val="36"/>
          <w:szCs w:val="32"/>
        </w:rPr>
        <w:t>关于控股股东增持计划</w:t>
      </w:r>
      <w:r>
        <w:rPr>
          <w:rFonts w:hint="eastAsia" w:cs="Times New Roman" w:asciiTheme="minorEastAsia" w:hAnsiTheme="minorEastAsia" w:eastAsiaTheme="minorEastAsia"/>
          <w:b/>
          <w:bCs/>
          <w:color w:val="FF0000"/>
          <w:sz w:val="36"/>
          <w:szCs w:val="32"/>
          <w:lang w:val="en-US" w:eastAsia="zh-CN"/>
        </w:rPr>
        <w:t>实施进展暨权益变动的</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hint="eastAsia" w:cs="Times New Roman" w:asciiTheme="minorEastAsia" w:hAnsiTheme="minorEastAsia" w:eastAsiaTheme="minorEastAsia"/>
          <w:b/>
          <w:bCs/>
          <w:color w:val="FF0000"/>
          <w:sz w:val="36"/>
          <w:szCs w:val="32"/>
          <w:lang w:val="en-US" w:eastAsia="zh-CN"/>
        </w:rPr>
        <w:t>提示性</w:t>
      </w:r>
      <w:r>
        <w:rPr>
          <w:rFonts w:cs="Times New Roman" w:asciiTheme="minorEastAsia" w:hAnsiTheme="minorEastAsia" w:eastAsiaTheme="minorEastAsia"/>
          <w:b/>
          <w:bCs/>
          <w:color w:val="FF0000"/>
          <w:sz w:val="36"/>
          <w:szCs w:val="32"/>
        </w:rPr>
        <w:t xml:space="preserve">公告 </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520" w:lineRule="exact"/>
        <w:jc w:val="both"/>
        <w:rPr>
          <w:rFonts w:hint="eastAsia" w:asciiTheme="minorEastAsia" w:hAnsiTheme="minorEastAsia" w:eastAsiaTheme="minorEastAsia" w:cstheme="minorEastAsia"/>
          <w:sz w:val="28"/>
          <w:szCs w:val="28"/>
        </w:rPr>
      </w:pPr>
      <w:r>
        <w:rPr>
          <w:rFonts w:hint="eastAsia" w:cs="Times New Roman" w:asciiTheme="minorEastAsia" w:hAnsiTheme="minorEastAsia" w:eastAsiaTheme="minorEastAsia"/>
          <w:sz w:val="28"/>
          <w:szCs w:val="28"/>
          <w:lang w:val="en-US" w:eastAsia="zh-CN"/>
        </w:rPr>
        <w:t xml:space="preserve"> </w:t>
      </w:r>
      <w:r>
        <w:rPr>
          <w:rFonts w:hint="eastAsia" w:cs="Times New Roman" w:asciiTheme="minorEastAsia" w:hAnsiTheme="minorEastAsia" w:eastAsiaTheme="minorEastAsia"/>
          <w:sz w:val="28"/>
          <w:szCs w:val="28"/>
        </w:rPr>
        <w:t>增持计划基本情况：兖矿能源集团股份有限公司（“公司”）于2023年11月29日披露了《兖矿能源集团股份有限公司关于控股股东增持公司股份计划的公告》，控股股东山东能源集团有限公司（“山东能源”）计划在未来12个月内，通过上海证券交易所交易系统及香港联合交易所有限公司交易系统，以集中竞价、大宗交易或场内交易等方式增持公司A股和H股股份，A股股份累计增持金额不低于人民币1亿</w:t>
      </w:r>
      <w:r>
        <w:rPr>
          <w:rFonts w:hint="eastAsia" w:asciiTheme="minorEastAsia" w:hAnsiTheme="minorEastAsia" w:eastAsiaTheme="minorEastAsia" w:cstheme="minorEastAsia"/>
          <w:sz w:val="28"/>
          <w:szCs w:val="28"/>
        </w:rPr>
        <w:t>元，不超过人民币2亿元；H股股份累计增持金额不低于人民币2亿元，不超过人民币4亿元。</w:t>
      </w:r>
    </w:p>
    <w:p>
      <w:pPr>
        <w:numPr>
          <w:ilvl w:val="0"/>
          <w:numId w:val="1"/>
        </w:numPr>
        <w:adjustRightInd w:val="0"/>
        <w:snapToGrid w:val="0"/>
        <w:spacing w:line="52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增持计划</w:t>
      </w:r>
      <w:r>
        <w:rPr>
          <w:rFonts w:hint="eastAsia" w:asciiTheme="minorEastAsia" w:hAnsiTheme="minorEastAsia" w:eastAsiaTheme="minorEastAsia" w:cstheme="minorEastAsia"/>
          <w:sz w:val="28"/>
          <w:szCs w:val="28"/>
          <w:lang w:val="en-US" w:eastAsia="zh-CN"/>
        </w:rPr>
        <w:t>实施完成</w:t>
      </w:r>
      <w:r>
        <w:rPr>
          <w:rFonts w:hint="eastAsia" w:asciiTheme="minorEastAsia" w:hAnsiTheme="minorEastAsia" w:eastAsiaTheme="minorEastAsia" w:cstheme="minorEastAsia"/>
          <w:sz w:val="28"/>
          <w:szCs w:val="28"/>
        </w:rPr>
        <w:t>情况：公司于202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cs="宋体"/>
          <w:sz w:val="28"/>
          <w:szCs w:val="28"/>
          <w:lang w:val="en-US" w:eastAsia="zh-CN"/>
        </w:rPr>
        <w:t>7</w:t>
      </w:r>
      <w:r>
        <w:rPr>
          <w:rFonts w:hint="eastAsia" w:asciiTheme="minorEastAsia" w:hAnsiTheme="minorEastAsia" w:eastAsiaTheme="minorEastAsia" w:cstheme="minorEastAsia"/>
          <w:sz w:val="28"/>
          <w:szCs w:val="28"/>
        </w:rPr>
        <w:t>月</w:t>
      </w:r>
      <w:r>
        <w:rPr>
          <w:rFonts w:hint="eastAsia" w:cs="宋体"/>
          <w:sz w:val="28"/>
          <w:szCs w:val="28"/>
          <w:lang w:val="en-US" w:eastAsia="zh-CN"/>
        </w:rPr>
        <w:t>19</w:t>
      </w:r>
      <w:r>
        <w:rPr>
          <w:rFonts w:hint="eastAsia" w:asciiTheme="minorEastAsia" w:hAnsiTheme="minorEastAsia" w:eastAsiaTheme="minorEastAsia" w:cstheme="minorEastAsia"/>
          <w:sz w:val="28"/>
          <w:szCs w:val="28"/>
        </w:rPr>
        <w:t>日收到山东能源通知，</w:t>
      </w:r>
      <w:r>
        <w:rPr>
          <w:rFonts w:hint="eastAsia" w:asciiTheme="minorEastAsia" w:hAnsiTheme="minorEastAsia" w:eastAsiaTheme="minorEastAsia" w:cstheme="minorEastAsia"/>
          <w:sz w:val="28"/>
          <w:szCs w:val="28"/>
          <w:lang w:val="en-US" w:eastAsia="zh-CN"/>
        </w:rPr>
        <w:t>截至</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cs="宋体"/>
          <w:sz w:val="28"/>
          <w:szCs w:val="28"/>
          <w:lang w:val="en-US" w:eastAsia="zh-CN"/>
        </w:rPr>
        <w:t>7</w:t>
      </w:r>
      <w:r>
        <w:rPr>
          <w:rFonts w:hint="eastAsia" w:asciiTheme="minorEastAsia" w:hAnsiTheme="minorEastAsia" w:eastAsiaTheme="minorEastAsia" w:cstheme="minorEastAsia"/>
          <w:sz w:val="28"/>
          <w:szCs w:val="28"/>
        </w:rPr>
        <w:t>月</w:t>
      </w:r>
      <w:r>
        <w:rPr>
          <w:rFonts w:hint="eastAsia" w:cs="宋体"/>
          <w:sz w:val="28"/>
          <w:szCs w:val="28"/>
          <w:lang w:val="en-US" w:eastAsia="zh-CN"/>
        </w:rPr>
        <w:t>19</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山东能源累计</w:t>
      </w:r>
      <w:r>
        <w:rPr>
          <w:rFonts w:hint="eastAsia" w:asciiTheme="minorEastAsia" w:hAnsiTheme="minorEastAsia" w:eastAsiaTheme="minorEastAsia" w:cstheme="minorEastAsia"/>
          <w:sz w:val="28"/>
          <w:szCs w:val="28"/>
        </w:rPr>
        <w:t>增持公司</w:t>
      </w:r>
      <w:r>
        <w:rPr>
          <w:rFonts w:hint="eastAsia" w:asciiTheme="minorEastAsia" w:hAnsiTheme="minorEastAsia" w:eastAsiaTheme="minorEastAsia" w:cstheme="minorEastAsia"/>
          <w:sz w:val="28"/>
          <w:szCs w:val="28"/>
          <w:lang w:val="en-US" w:eastAsia="zh-CN"/>
        </w:rPr>
        <w:t>A股股份金额人民币100,086,567.70</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H股股份金额人民币154,832,989.83</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H股股份以港币增持，其中</w:t>
      </w:r>
      <w:r>
        <w:rPr>
          <w:rFonts w:hint="eastAsia" w:asciiTheme="minorEastAsia" w:hAnsiTheme="minorEastAsia" w:eastAsiaTheme="minorEastAsia" w:cstheme="minorEastAsia"/>
          <w:sz w:val="28"/>
          <w:szCs w:val="28"/>
          <w:lang w:eastAsia="zh-CN"/>
        </w:rPr>
        <w:t>港币兑人民币汇率按增持当日中国人民银行公布的港币兑人民币汇率中间价计算）</w:t>
      </w:r>
      <w:r>
        <w:rPr>
          <w:rFonts w:hint="eastAsia" w:asciiTheme="minorEastAsia" w:hAnsiTheme="minorEastAsia" w:eastAsiaTheme="minorEastAsia" w:cstheme="minorEastAsia"/>
          <w:sz w:val="28"/>
          <w:szCs w:val="28"/>
          <w:lang w:val="en-US" w:eastAsia="zh-CN"/>
        </w:rPr>
        <w:t>。</w:t>
      </w:r>
    </w:p>
    <w:p>
      <w:pPr>
        <w:numPr>
          <w:ilvl w:val="0"/>
          <w:numId w:val="1"/>
        </w:numPr>
        <w:adjustRightInd w:val="0"/>
        <w:snapToGrid w:val="0"/>
        <w:spacing w:line="520" w:lineRule="exact"/>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 xml:space="preserve"> </w:t>
      </w:r>
      <w:r>
        <w:rPr>
          <w:rFonts w:hint="eastAsia" w:cs="Times New Roman" w:asciiTheme="minorEastAsia" w:hAnsiTheme="minorEastAsia" w:eastAsiaTheme="minorEastAsia"/>
          <w:sz w:val="28"/>
          <w:szCs w:val="28"/>
        </w:rPr>
        <w:t>本次增持计划可能存在因资本市场情况发生变化或目前尚无法预判的其他风险因素，导致增持计划的实施无法达到预期的风险</w:t>
      </w:r>
    </w:p>
    <w:p>
      <w:pPr>
        <w:numPr>
          <w:ilvl w:val="-1"/>
          <w:numId w:val="0"/>
        </w:numPr>
        <w:adjustRightInd w:val="0"/>
        <w:snapToGrid w:val="0"/>
        <w:spacing w:line="520" w:lineRule="exact"/>
        <w:ind w:left="567" w:firstLine="0"/>
        <w:jc w:val="both"/>
        <w:rPr>
          <w:rFonts w:hint="eastAsia" w:asciiTheme="minorEastAsia" w:hAnsiTheme="minorEastAsia" w:eastAsiaTheme="minorEastAsia" w:cstheme="minorEastAsia"/>
          <w:sz w:val="28"/>
          <w:szCs w:val="28"/>
        </w:rPr>
      </w:pPr>
    </w:p>
    <w:p>
      <w:pPr>
        <w:autoSpaceDE w:val="0"/>
        <w:autoSpaceDN w:val="0"/>
        <w:adjustRightInd w:val="0"/>
        <w:snapToGrid w:val="0"/>
        <w:spacing w:line="520" w:lineRule="exact"/>
        <w:jc w:val="both"/>
        <w:rPr>
          <w:rFonts w:cs="Times New Roman" w:asciiTheme="minorEastAsia" w:hAnsiTheme="minorEastAsia" w:eastAsiaTheme="minorEastAsia"/>
          <w:b/>
          <w:color w:val="000000"/>
          <w:sz w:val="28"/>
          <w:szCs w:val="28"/>
        </w:rPr>
      </w:pPr>
    </w:p>
    <w:p>
      <w:pPr>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w:t>
      </w:r>
      <w:r>
        <w:rPr>
          <w:rFonts w:hint="eastAsia" w:ascii="黑体" w:hAnsi="黑体" w:eastAsia="黑体" w:cs="Times New Roman"/>
          <w:bCs/>
          <w:color w:val="000000"/>
          <w:sz w:val="28"/>
          <w:szCs w:val="28"/>
        </w:rPr>
        <w:t>增持主体情况</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（一）增持主体：A股股份增持主体为山东能源及其一致行动人，H股股份增持主体为山东能源全资子公司兖矿集团(香港)有限公司及其一致行动人。</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（二）持股情况：实施本次增持计划前，山东能源共持有公司A股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3,385,986,710股，包括通过自身账号持有3,214,570,932股，通过可交换公司债券质押专户持有171,415,778股；通过兖矿集团（香港）有限公司持有公司H股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682,483,500股。山东能源直接和间接持有公司股份共4,068,470,210股，占公司总股本的54.6</w:t>
      </w:r>
      <w:r>
        <w:rPr>
          <w:rFonts w:hint="eastAsia" w:cs="Times New Roman" w:asciiTheme="minorEastAsia" w:hAnsiTheme="minorEastAsia" w:eastAsiaTheme="minorEastAsia"/>
          <w:color w:val="000000"/>
          <w:sz w:val="28"/>
          <w:szCs w:val="28"/>
          <w:lang w:val="en-US" w:eastAsia="zh-CN"/>
        </w:rPr>
        <w:t>884</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（三）山东能源在本次增持计划公告前十二个月内未披露过增持计划。</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二、增持计划的主要内容</w:t>
      </w:r>
    </w:p>
    <w:p>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为</w:t>
      </w:r>
      <w:r>
        <w:rPr>
          <w:rFonts w:cs="Times New Roman" w:asciiTheme="minorEastAsia" w:hAnsiTheme="minorEastAsia" w:eastAsiaTheme="minorEastAsia"/>
          <w:sz w:val="28"/>
          <w:szCs w:val="28"/>
        </w:rPr>
        <w:t>巩固控股地位，提高持股比例，向市场传递积极信息，提振投资者传递信心，彰显大股东对公司长期发展及价值定位的认可</w:t>
      </w:r>
      <w:r>
        <w:rPr>
          <w:rFonts w:hint="eastAsia" w:cs="Times New Roman" w:asciiTheme="minorEastAsia" w:hAnsiTheme="minorEastAsia" w:eastAsiaTheme="minorEastAsia"/>
          <w:sz w:val="28"/>
          <w:szCs w:val="28"/>
        </w:rPr>
        <w:t>，山东能源计划自</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11月30日起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元，不超过人民币2亿元；H股股份累计增持金额不低于人民币2亿元，不超过人民币4亿元。</w:t>
      </w:r>
    </w:p>
    <w:p>
      <w:pPr>
        <w:spacing w:line="520" w:lineRule="exact"/>
        <w:ind w:firstLine="560" w:firstLineChars="200"/>
        <w:rPr>
          <w:sz w:val="28"/>
          <w:szCs w:val="28"/>
          <w:highlight w:val="yellow"/>
        </w:rPr>
      </w:pPr>
      <w:r>
        <w:rPr>
          <w:rFonts w:hint="eastAsia" w:ascii="楷体_GB2312" w:eastAsia="楷体_GB2312"/>
          <w:color w:val="000000"/>
          <w:sz w:val="28"/>
          <w:szCs w:val="28"/>
        </w:rPr>
        <w:t>有关详情请参见公司日期为20</w:t>
      </w:r>
      <w:r>
        <w:rPr>
          <w:rFonts w:ascii="楷体_GB2312" w:eastAsia="楷体_GB2312"/>
          <w:color w:val="000000"/>
          <w:sz w:val="28"/>
          <w:szCs w:val="28"/>
        </w:rPr>
        <w:t>2</w:t>
      </w:r>
      <w:r>
        <w:rPr>
          <w:rFonts w:hint="eastAsia" w:ascii="楷体_GB2312" w:eastAsia="楷体_GB2312"/>
          <w:color w:val="000000"/>
          <w:sz w:val="28"/>
          <w:szCs w:val="28"/>
        </w:rPr>
        <w:t>3年11月29日的关于控股股东增持公司股份计划的公告。该等资料刊载于上海证券交易所网站、香港联合交易所有限公司网站、公司网站及/或中国境内《中国证券报》《上海证券报》《证券时报》《证券日报》。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三、增持计划的实施</w:t>
      </w:r>
      <w:r>
        <w:rPr>
          <w:rFonts w:hint="eastAsia" w:ascii="黑体" w:hAnsi="黑体" w:eastAsia="黑体" w:cs="黑体"/>
          <w:color w:val="000000"/>
          <w:sz w:val="28"/>
          <w:szCs w:val="28"/>
          <w:lang w:val="en-US" w:eastAsia="zh-CN"/>
        </w:rPr>
        <w:t>进展</w:t>
      </w:r>
      <w:bookmarkStart w:id="0" w:name="_GoBack"/>
      <w:bookmarkEnd w:id="0"/>
      <w:r>
        <w:rPr>
          <w:rFonts w:hint="eastAsia" w:ascii="黑体" w:hAnsi="黑体" w:eastAsia="黑体" w:cs="黑体"/>
          <w:color w:val="000000"/>
          <w:sz w:val="28"/>
          <w:szCs w:val="28"/>
          <w:lang w:val="en-US" w:eastAsia="zh-CN"/>
        </w:rPr>
        <w:t>情况</w:t>
      </w:r>
      <w:r>
        <w:rPr>
          <w:rFonts w:hint="eastAsia" w:ascii="黑体" w:hAnsi="黑体" w:eastAsia="黑体" w:cs="黑体"/>
          <w:color w:val="000000"/>
          <w:sz w:val="28"/>
          <w:szCs w:val="28"/>
        </w:rPr>
        <w:t xml:space="preserve"> </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2024年1月22日-2024年7月19日，</w:t>
      </w:r>
      <w:r>
        <w:rPr>
          <w:rFonts w:hint="eastAsia" w:cs="Times New Roman" w:asciiTheme="minorEastAsia" w:hAnsiTheme="minorEastAsia" w:eastAsiaTheme="minorEastAsia"/>
          <w:color w:val="000000"/>
          <w:sz w:val="28"/>
          <w:szCs w:val="28"/>
        </w:rPr>
        <w:t>山东能源通过上海证券交易所交易系统</w:t>
      </w:r>
      <w:r>
        <w:rPr>
          <w:rFonts w:hint="eastAsia" w:cs="Times New Roman" w:asciiTheme="minorEastAsia" w:hAnsiTheme="minorEastAsia" w:eastAsiaTheme="minorEastAsia"/>
          <w:color w:val="000000"/>
          <w:sz w:val="28"/>
          <w:szCs w:val="28"/>
          <w:lang w:eastAsia="zh-CN"/>
        </w:rPr>
        <w:t>及香港联合交易所有限公司交易系统，以集中竞价方式增持公司A股和H股股份</w:t>
      </w:r>
      <w:r>
        <w:rPr>
          <w:rFonts w:hint="eastAsia" w:cs="Times New Roman" w:asciiTheme="minorEastAsia" w:hAnsiTheme="minorEastAsia" w:eastAsiaTheme="minorEastAsia"/>
          <w:color w:val="000000"/>
          <w:sz w:val="28"/>
          <w:szCs w:val="28"/>
          <w:lang w:val="en-US" w:eastAsia="zh-CN"/>
        </w:rPr>
        <w:t>共计22,719,380股</w:t>
      </w:r>
      <w:r>
        <w:rPr>
          <w:rFonts w:hint="eastAsia" w:cs="Times New Roman" w:asciiTheme="minorEastAsia" w:hAnsiTheme="minorEastAsia" w:eastAsiaTheme="minorEastAsia"/>
          <w:color w:val="000000"/>
          <w:sz w:val="28"/>
          <w:szCs w:val="28"/>
        </w:rPr>
        <w:t>，占公司总股本的比例约为</w:t>
      </w:r>
      <w:r>
        <w:rPr>
          <w:rFonts w:hint="eastAsia" w:cs="宋体"/>
          <w:sz w:val="28"/>
          <w:szCs w:val="28"/>
          <w:lang w:val="en-US" w:eastAsia="zh-CN"/>
        </w:rPr>
        <w:t>0.2497</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人民币254,919,557.53</w:t>
      </w:r>
      <w:r>
        <w:rPr>
          <w:rFonts w:hint="eastAsia"/>
          <w:sz w:val="28"/>
          <w:szCs w:val="28"/>
        </w:rPr>
        <w:t>元</w:t>
      </w:r>
      <w:r>
        <w:rPr>
          <w:rFonts w:hint="eastAsia" w:cs="Times New Roman" w:asciiTheme="minorEastAsia" w:hAnsiTheme="minorEastAsia" w:eastAsiaTheme="minorEastAsia"/>
          <w:color w:val="000000"/>
          <w:sz w:val="28"/>
          <w:szCs w:val="28"/>
          <w:lang w:val="en-US" w:eastAsia="zh-CN"/>
        </w:rPr>
        <w:t>，其中：</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eastAsia="zh-CN"/>
        </w:rPr>
      </w:pPr>
      <w:r>
        <w:rPr>
          <w:rFonts w:hint="eastAsia" w:cs="Times New Roman" w:asciiTheme="minorEastAsia" w:hAnsiTheme="minorEastAsia" w:eastAsiaTheme="minorEastAsia"/>
          <w:color w:val="000000"/>
          <w:sz w:val="28"/>
          <w:szCs w:val="28"/>
          <w:lang w:val="en-US" w:eastAsia="zh-CN"/>
        </w:rPr>
        <w:t>增持公司A股股份6,187,380</w:t>
      </w:r>
      <w:r>
        <w:rPr>
          <w:rFonts w:hint="eastAsia" w:cs="Times New Roman" w:asciiTheme="minorEastAsia" w:hAnsiTheme="minorEastAsia" w:eastAsiaTheme="minorEastAsia"/>
          <w:color w:val="000000"/>
          <w:sz w:val="28"/>
          <w:szCs w:val="28"/>
          <w:lang w:eastAsia="zh-CN"/>
        </w:rPr>
        <w:t>股，</w:t>
      </w:r>
      <w:r>
        <w:rPr>
          <w:rFonts w:hint="eastAsia" w:cs="Times New Roman" w:asciiTheme="minorEastAsia" w:hAnsiTheme="minorEastAsia" w:eastAsiaTheme="minorEastAsia"/>
          <w:color w:val="000000"/>
          <w:sz w:val="28"/>
          <w:szCs w:val="28"/>
        </w:rPr>
        <w:t>占公司总股本的比例约为</w:t>
      </w:r>
      <w:r>
        <w:rPr>
          <w:rFonts w:hint="eastAsia" w:cs="宋体"/>
          <w:sz w:val="28"/>
          <w:szCs w:val="28"/>
          <w:lang w:val="en-US" w:eastAsia="zh-CN"/>
        </w:rPr>
        <w:t>0.0680</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人民币100,086,567.70</w:t>
      </w:r>
      <w:r>
        <w:rPr>
          <w:rFonts w:hint="eastAsia"/>
          <w:sz w:val="28"/>
          <w:szCs w:val="28"/>
        </w:rPr>
        <w:t>元</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eastAsia="zh-CN"/>
        </w:rPr>
      </w:pPr>
      <w:r>
        <w:rPr>
          <w:rFonts w:hint="eastAsia" w:cs="Times New Roman" w:asciiTheme="minorEastAsia" w:hAnsiTheme="minorEastAsia" w:eastAsiaTheme="minorEastAsia"/>
          <w:color w:val="000000"/>
          <w:sz w:val="28"/>
          <w:szCs w:val="28"/>
          <w:lang w:val="en-US" w:eastAsia="zh-CN"/>
        </w:rPr>
        <w:t>增持公司H股股份16,532,000</w:t>
      </w:r>
      <w:r>
        <w:rPr>
          <w:rFonts w:hint="eastAsia" w:cs="Times New Roman" w:asciiTheme="minorEastAsia" w:hAnsiTheme="minorEastAsia" w:eastAsiaTheme="minorEastAsia"/>
          <w:color w:val="000000"/>
          <w:sz w:val="28"/>
          <w:szCs w:val="28"/>
          <w:lang w:eastAsia="zh-CN"/>
        </w:rPr>
        <w:t>股，</w:t>
      </w:r>
      <w:r>
        <w:rPr>
          <w:rFonts w:hint="eastAsia" w:cs="Times New Roman" w:asciiTheme="minorEastAsia" w:hAnsiTheme="minorEastAsia" w:eastAsiaTheme="minorEastAsia"/>
          <w:color w:val="000000"/>
          <w:sz w:val="28"/>
          <w:szCs w:val="28"/>
        </w:rPr>
        <w:t>占公司总股本的比例约为</w:t>
      </w:r>
      <w:r>
        <w:rPr>
          <w:rFonts w:hint="eastAsia" w:cs="宋体"/>
          <w:sz w:val="28"/>
          <w:szCs w:val="28"/>
          <w:lang w:val="en-US" w:eastAsia="zh-CN"/>
        </w:rPr>
        <w:t>0.1817</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人民币154,832,989.83</w:t>
      </w:r>
      <w:r>
        <w:rPr>
          <w:rFonts w:hint="eastAsia"/>
          <w:sz w:val="28"/>
          <w:szCs w:val="28"/>
        </w:rPr>
        <w:t>元</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截至本公告披露日，山东能源共持有公司A股</w:t>
      </w:r>
      <w:r>
        <w:rPr>
          <w:rFonts w:hint="eastAsia" w:cs="Times New Roman" w:asciiTheme="minorEastAsia" w:hAnsiTheme="minorEastAsia" w:eastAsiaTheme="minorEastAsia"/>
          <w:color w:val="000000"/>
          <w:sz w:val="28"/>
          <w:szCs w:val="28"/>
          <w:lang w:val="en-US" w:eastAsia="zh-CN"/>
        </w:rPr>
        <w:t>股份4,395,142,871</w:t>
      </w:r>
      <w:r>
        <w:rPr>
          <w:rFonts w:hint="eastAsia" w:cs="Times New Roman" w:asciiTheme="minorEastAsia" w:hAnsiTheme="minorEastAsia" w:eastAsiaTheme="minorEastAsia"/>
          <w:color w:val="000000"/>
          <w:sz w:val="28"/>
          <w:szCs w:val="28"/>
        </w:rPr>
        <w:t>股，包括通过自身账号持有</w:t>
      </w:r>
      <w:r>
        <w:rPr>
          <w:rFonts w:hint="eastAsia" w:cs="Times New Roman" w:asciiTheme="minorEastAsia" w:hAnsiTheme="minorEastAsia" w:eastAsiaTheme="minorEastAsia"/>
          <w:color w:val="000000"/>
          <w:sz w:val="28"/>
          <w:szCs w:val="28"/>
          <w:lang w:val="en-US" w:eastAsia="zh-CN"/>
        </w:rPr>
        <w:t>4,185,339,592</w:t>
      </w:r>
      <w:r>
        <w:rPr>
          <w:rFonts w:hint="eastAsia" w:cs="Times New Roman" w:asciiTheme="minorEastAsia" w:hAnsiTheme="minorEastAsia" w:eastAsiaTheme="minorEastAsia"/>
          <w:color w:val="000000"/>
          <w:sz w:val="28"/>
          <w:szCs w:val="28"/>
        </w:rPr>
        <w:t>股，通过可交换公司债券质押专户持有</w:t>
      </w:r>
      <w:r>
        <w:rPr>
          <w:rFonts w:hint="eastAsia" w:asciiTheme="minorEastAsia" w:hAnsiTheme="minorEastAsia" w:eastAsiaTheme="minorEastAsia" w:cstheme="minorEastAsia"/>
          <w:sz w:val="28"/>
          <w:szCs w:val="28"/>
          <w:lang w:val="en-US" w:eastAsia="zh-CN"/>
        </w:rPr>
        <w:t>209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803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279</w:t>
      </w:r>
      <w:r>
        <w:rPr>
          <w:rFonts w:hint="eastAsia" w:cs="Times New Roman" w:asciiTheme="minorEastAsia" w:hAnsiTheme="minorEastAsia" w:eastAsiaTheme="minorEastAsia"/>
          <w:color w:val="000000"/>
          <w:sz w:val="28"/>
          <w:szCs w:val="28"/>
        </w:rPr>
        <w:t>股；通过兖矿集团（香港）有限公司持有公司H股</w:t>
      </w:r>
      <w:r>
        <w:rPr>
          <w:rFonts w:hint="eastAsia" w:cs="Times New Roman" w:asciiTheme="minorEastAsia" w:hAnsiTheme="minorEastAsia" w:eastAsiaTheme="minorEastAsia"/>
          <w:color w:val="000000"/>
          <w:sz w:val="28"/>
          <w:szCs w:val="28"/>
          <w:lang w:val="en-US" w:eastAsia="zh-CN"/>
        </w:rPr>
        <w:t>股份699,015,500</w:t>
      </w:r>
      <w:r>
        <w:rPr>
          <w:rFonts w:hint="eastAsia" w:cs="Times New Roman" w:asciiTheme="minorEastAsia" w:hAnsiTheme="minorEastAsia" w:eastAsiaTheme="minorEastAsia"/>
          <w:color w:val="000000"/>
          <w:sz w:val="28"/>
          <w:szCs w:val="28"/>
        </w:rPr>
        <w:t>股。山东能源直接和间接持有公司股份共</w:t>
      </w:r>
      <w:r>
        <w:rPr>
          <w:rFonts w:hint="eastAsia" w:cs="Times New Roman" w:asciiTheme="minorEastAsia" w:hAnsiTheme="minorEastAsia" w:eastAsiaTheme="minorEastAsia"/>
          <w:color w:val="000000"/>
          <w:sz w:val="28"/>
          <w:szCs w:val="28"/>
          <w:lang w:val="en-US" w:eastAsia="zh-CN"/>
        </w:rPr>
        <w:t>5,094,158,371</w:t>
      </w:r>
      <w:r>
        <w:rPr>
          <w:rFonts w:hint="eastAsia" w:cs="Times New Roman" w:asciiTheme="minorEastAsia" w:hAnsiTheme="minorEastAsia" w:eastAsiaTheme="minorEastAsia"/>
          <w:color w:val="000000"/>
          <w:sz w:val="28"/>
          <w:szCs w:val="28"/>
        </w:rPr>
        <w:t>股，占公司总股本的</w:t>
      </w:r>
      <w:r>
        <w:rPr>
          <w:rFonts w:hint="eastAsia" w:cs="宋体"/>
          <w:sz w:val="28"/>
          <w:szCs w:val="28"/>
          <w:lang w:val="en-US" w:eastAsia="zh-CN"/>
        </w:rPr>
        <w:t>55.9837</w:t>
      </w:r>
      <w:r>
        <w:rPr>
          <w:rFonts w:hint="eastAsia" w:cs="Times New Roman" w:asciiTheme="minorEastAsia" w:hAnsiTheme="minorEastAsia" w:eastAsiaTheme="minorEastAsia"/>
          <w:color w:val="000000"/>
          <w:sz w:val="28"/>
          <w:szCs w:val="28"/>
        </w:rPr>
        <w:t>%。本次增持计划</w:t>
      </w:r>
      <w:r>
        <w:rPr>
          <w:rFonts w:hint="eastAsia" w:cs="Times New Roman" w:asciiTheme="minorEastAsia" w:hAnsiTheme="minorEastAsia" w:eastAsiaTheme="minorEastAsia"/>
          <w:color w:val="000000"/>
          <w:sz w:val="28"/>
          <w:szCs w:val="28"/>
          <w:lang w:val="en-US" w:eastAsia="zh-CN"/>
        </w:rPr>
        <w:t>尚未实施完毕</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ascii="楷体_GB2312" w:hAnsi="楷体_GB2312" w:eastAsia="楷体_GB2312" w:cs="楷体_GB2312"/>
          <w:color w:val="000000"/>
          <w:sz w:val="28"/>
          <w:szCs w:val="28"/>
        </w:rPr>
      </w:pPr>
      <w:r>
        <w:rPr>
          <w:rFonts w:hint="eastAsia" w:ascii="楷体_GB2312" w:hAnsi="楷体_GB2312" w:eastAsia="楷体_GB2312" w:cs="楷体_GB2312"/>
          <w:sz w:val="28"/>
          <w:szCs w:val="28"/>
        </w:rPr>
        <w:t>增持计划实施期间，</w:t>
      </w:r>
      <w:r>
        <w:rPr>
          <w:rFonts w:hint="eastAsia" w:ascii="楷体_GB2312" w:hAnsi="楷体_GB2312" w:eastAsia="楷体_GB2312" w:cs="楷体_GB2312"/>
          <w:color w:val="000000"/>
          <w:sz w:val="28"/>
          <w:szCs w:val="28"/>
          <w:lang w:val="en-US" w:eastAsia="zh-CN"/>
        </w:rPr>
        <w:t>除增持外其他</w:t>
      </w:r>
      <w:r>
        <w:rPr>
          <w:rFonts w:hint="eastAsia" w:ascii="楷体_GB2312" w:hAnsi="楷体_GB2312" w:eastAsia="楷体_GB2312" w:cs="楷体_GB2312"/>
          <w:color w:val="000000"/>
          <w:sz w:val="28"/>
          <w:szCs w:val="28"/>
        </w:rPr>
        <w:t>股份变动说明：</w:t>
      </w:r>
    </w:p>
    <w:p>
      <w:pPr>
        <w:adjustRightInd w:val="0"/>
        <w:snapToGrid w:val="0"/>
        <w:spacing w:line="520" w:lineRule="exact"/>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山东能源2022年面向专业投资者非公开发行可交换公司债券(第一期)共换A股10,028,640股，导致山东能源持有公司A股数量减少10,028,640股。</w:t>
      </w:r>
    </w:p>
    <w:p>
      <w:pPr>
        <w:adjustRightInd w:val="0"/>
        <w:snapToGrid w:val="0"/>
        <w:spacing w:line="520" w:lineRule="exact"/>
        <w:ind w:firstLine="560"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根据2021年A股限制性股票激励计划，公司回购注销了22名激励对象已获授但尚未解除限售的1,401,180股A股限制性股票，导致公司总股本减少1,401,180股。</w:t>
      </w:r>
    </w:p>
    <w:p>
      <w:pPr>
        <w:adjustRightInd w:val="0"/>
        <w:snapToGrid w:val="0"/>
        <w:spacing w:line="520" w:lineRule="exact"/>
        <w:ind w:firstLine="560" w:firstLineChars="200"/>
        <w:jc w:val="both"/>
        <w:rPr>
          <w:rFonts w:hint="default" w:ascii="楷体_GB2312" w:hAnsi="楷体_GB2312" w:cs="楷体_GB2312" w:eastAsiaTheme="minorEastAsia"/>
          <w:sz w:val="28"/>
          <w:szCs w:val="28"/>
          <w:lang w:val="en-US" w:eastAsia="zh-CN"/>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lang w:eastAsia="zh-CN"/>
        </w:rPr>
        <w:t>）公司完成了向特定投资者配售285,000,000股H股股份</w:t>
      </w:r>
      <w:r>
        <w:rPr>
          <w:rFonts w:hint="eastAsia" w:ascii="楷体_GB2312" w:hAnsi="楷体_GB2312" w:eastAsia="楷体_GB2312" w:cs="楷体_GB2312"/>
          <w:sz w:val="28"/>
          <w:szCs w:val="28"/>
        </w:rPr>
        <w:t>，导致公司总股本</w:t>
      </w:r>
      <w:r>
        <w:rPr>
          <w:rFonts w:hint="eastAsia" w:ascii="楷体_GB2312" w:hAnsi="楷体_GB2312" w:eastAsia="楷体_GB2312" w:cs="楷体_GB2312"/>
          <w:sz w:val="28"/>
          <w:szCs w:val="28"/>
          <w:lang w:val="en-US" w:eastAsia="zh-CN"/>
        </w:rPr>
        <w:t>增加</w:t>
      </w:r>
      <w:r>
        <w:rPr>
          <w:rFonts w:hint="eastAsia" w:ascii="楷体_GB2312" w:hAnsi="楷体_GB2312" w:eastAsia="楷体_GB2312" w:cs="楷体_GB2312"/>
          <w:sz w:val="28"/>
          <w:szCs w:val="28"/>
          <w:lang w:eastAsia="zh-CN"/>
        </w:rPr>
        <w:t>285,000,000</w:t>
      </w:r>
      <w:r>
        <w:rPr>
          <w:rFonts w:hint="eastAsia" w:ascii="楷体_GB2312" w:hAnsi="楷体_GB2312" w:eastAsia="楷体_GB2312" w:cs="楷体_GB2312"/>
          <w:sz w:val="28"/>
          <w:szCs w:val="28"/>
        </w:rPr>
        <w:t>股</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该事项导致山东能源持有公司股份比例由</w:t>
      </w:r>
      <w:r>
        <w:rPr>
          <w:rFonts w:hint="eastAsia" w:ascii="楷体_GB2312" w:hAnsi="楷体_GB2312" w:eastAsia="楷体_GB2312" w:cs="楷体_GB2312"/>
          <w:color w:val="auto"/>
          <w:sz w:val="28"/>
          <w:szCs w:val="28"/>
        </w:rPr>
        <w:t>54.</w:t>
      </w:r>
      <w:r>
        <w:rPr>
          <w:rFonts w:hint="eastAsia" w:ascii="楷体_GB2312" w:hAnsi="楷体_GB2312" w:eastAsia="楷体_GB2312" w:cs="楷体_GB2312"/>
          <w:color w:val="auto"/>
          <w:sz w:val="28"/>
          <w:szCs w:val="28"/>
          <w:lang w:val="en-US" w:eastAsia="zh-CN"/>
        </w:rPr>
        <w:t>5732</w:t>
      </w: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z w:val="28"/>
          <w:szCs w:val="28"/>
          <w:lang w:val="en-US" w:eastAsia="zh-CN"/>
        </w:rPr>
        <w:t>下降至52.5593%，持股权益被动稀释（有关详情请参见</w:t>
      </w:r>
      <w:r>
        <w:rPr>
          <w:rFonts w:hint="eastAsia" w:ascii="楷体_GB2312" w:hAnsi="楷体_GB2312" w:eastAsia="楷体_GB2312" w:cs="楷体_GB2312"/>
          <w:sz w:val="28"/>
          <w:szCs w:val="28"/>
          <w:lang w:val="en-US" w:eastAsia="zh-CN"/>
        </w:rPr>
        <w:t>公司</w:t>
      </w:r>
      <w:r>
        <w:rPr>
          <w:rFonts w:hint="eastAsia" w:ascii="楷体_GB2312" w:hAnsi="楷体_GB2312" w:eastAsia="楷体_GB2312" w:cs="楷体_GB2312"/>
          <w:color w:val="auto"/>
          <w:sz w:val="28"/>
          <w:szCs w:val="28"/>
          <w:lang w:val="en-US" w:eastAsia="zh-CN"/>
        </w:rPr>
        <w:t>日期为2024年6月12日的关于根据一般性授权发行H股完成交割的公告）</w:t>
      </w:r>
      <w:r>
        <w:rPr>
          <w:rFonts w:hint="eastAsia" w:cs="Times New Roman" w:asciiTheme="minorEastAsia" w:hAnsiTheme="minorEastAsia" w:eastAsiaTheme="minorEastAsia"/>
          <w:color w:val="000000"/>
          <w:sz w:val="28"/>
          <w:szCs w:val="28"/>
          <w:lang w:val="en-US"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根据2023年度利润分配方案，公司每股派送红股0.3股。截至本公告披露日，A股红股已派送完毕，H股红股尚未派送。</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四、增持计划实施的不确定性风险</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本次增持计划可能存在因资本市场情况发生变化或目前尚无法预判的其他风险因素，导致增持计划的实施无法达到预期的风险。如本次增持计划实施过程中出现上述风险情况，公司将及时履行信息披露义务。</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五、其他相关说明</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（一）山东能源实施本次增持计划不会导致公司控股股东及实际控制人发生变化。</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（二）公司将根据《中华人民共和国证券法》《上市公司收购管理办法》《上海证券交易所股票上市规则》和《上海证券交易所上市公司自律监管指引第</w:t>
      </w:r>
      <w:r>
        <w:rPr>
          <w:rFonts w:cs="Times New Roman" w:asciiTheme="minorEastAsia" w:hAnsiTheme="minorEastAsia" w:eastAsiaTheme="minorEastAsia"/>
          <w:color w:val="000000"/>
          <w:sz w:val="28"/>
          <w:szCs w:val="28"/>
        </w:rPr>
        <w:t>8</w:t>
      </w:r>
      <w:r>
        <w:rPr>
          <w:rFonts w:hint="eastAsia" w:cs="Times New Roman" w:asciiTheme="minorEastAsia" w:hAnsiTheme="minorEastAsia" w:eastAsiaTheme="minorEastAsia"/>
          <w:color w:val="000000"/>
          <w:sz w:val="28"/>
          <w:szCs w:val="28"/>
        </w:rPr>
        <w:t>号</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股份变动管理》等相关规定，持续关注本次增持计划实施有关情况，及时履行信息披露义务。</w:t>
      </w: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520" w:lineRule="exact"/>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lang w:val="en-US" w:eastAsia="zh-CN"/>
        </w:rPr>
        <w:t>4</w:t>
      </w:r>
      <w:r>
        <w:rPr>
          <w:rFonts w:cs="Times New Roman" w:asciiTheme="minorEastAsia" w:hAnsiTheme="minorEastAsia" w:eastAsiaTheme="minorEastAsia"/>
          <w:color w:val="000000"/>
          <w:sz w:val="28"/>
          <w:szCs w:val="28"/>
        </w:rPr>
        <w:t>年</w:t>
      </w:r>
      <w:r>
        <w:rPr>
          <w:rFonts w:hint="eastAsia" w:cs="宋体"/>
          <w:color w:val="000000"/>
          <w:sz w:val="28"/>
          <w:szCs w:val="28"/>
          <w:lang w:val="en-US" w:eastAsia="zh-CN"/>
        </w:rPr>
        <w:t>7</w:t>
      </w:r>
      <w:r>
        <w:rPr>
          <w:rFonts w:cs="Times New Roman" w:asciiTheme="minorEastAsia" w:hAnsiTheme="minorEastAsia" w:eastAsiaTheme="minorEastAsia"/>
          <w:color w:val="000000"/>
          <w:sz w:val="28"/>
          <w:szCs w:val="28"/>
        </w:rPr>
        <w:t>月</w:t>
      </w:r>
      <w:r>
        <w:rPr>
          <w:rFonts w:hint="eastAsia" w:cs="宋体"/>
          <w:color w:val="000000"/>
          <w:sz w:val="28"/>
          <w:szCs w:val="28"/>
          <w:lang w:val="en-US" w:eastAsia="zh-CN"/>
        </w:rPr>
        <w:t>19</w:t>
      </w:r>
      <w:r>
        <w:rPr>
          <w:rFonts w:cs="Times New Roman" w:asciiTheme="minorEastAsia" w:hAnsiTheme="minorEastAsia" w:eastAsiaTheme="minorEastAsia"/>
          <w:color w:val="000000"/>
          <w:sz w:val="28"/>
          <w:szCs w:val="28"/>
        </w:rPr>
        <w:t>日</w:t>
      </w:r>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kYjY4NWZjNGUwOWY3OTRkMDNlZjYzMDMxMGNmNTUifQ=="/>
    <w:docVar w:name="KSO_WPS_MARK_KEY" w:val="0302284a-4071-4529-8f6f-a5955dcaf9fa"/>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565D"/>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0B2C"/>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19CB"/>
    <w:rsid w:val="001F2233"/>
    <w:rsid w:val="001F2A4D"/>
    <w:rsid w:val="001F38AA"/>
    <w:rsid w:val="001F3A71"/>
    <w:rsid w:val="001F48E3"/>
    <w:rsid w:val="001F67D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4BE0"/>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1F6F"/>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0CD0"/>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082"/>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CA8"/>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1BE1"/>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6EA4"/>
    <w:rsid w:val="004B7819"/>
    <w:rsid w:val="004C01A7"/>
    <w:rsid w:val="004C221D"/>
    <w:rsid w:val="004C2B82"/>
    <w:rsid w:val="004C3148"/>
    <w:rsid w:val="004C3A1F"/>
    <w:rsid w:val="004C3DF6"/>
    <w:rsid w:val="004C4393"/>
    <w:rsid w:val="004C4ED9"/>
    <w:rsid w:val="004C5B6B"/>
    <w:rsid w:val="004C6288"/>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33C"/>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4F79F4"/>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2CE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75250"/>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3C30"/>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160"/>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4C2D"/>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27DB2"/>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27E3"/>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152"/>
    <w:rsid w:val="00896851"/>
    <w:rsid w:val="00896EA7"/>
    <w:rsid w:val="008A0508"/>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0D5"/>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2D0D"/>
    <w:rsid w:val="00B23438"/>
    <w:rsid w:val="00B2394D"/>
    <w:rsid w:val="00B23AE5"/>
    <w:rsid w:val="00B23CE8"/>
    <w:rsid w:val="00B24B03"/>
    <w:rsid w:val="00B24EA6"/>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5AF"/>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7A2"/>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3ADE"/>
    <w:rsid w:val="00C84C71"/>
    <w:rsid w:val="00C863E9"/>
    <w:rsid w:val="00C86A6C"/>
    <w:rsid w:val="00C86ADA"/>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1B1E"/>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11B729D"/>
    <w:rsid w:val="01A32DF9"/>
    <w:rsid w:val="03D92099"/>
    <w:rsid w:val="04C2529E"/>
    <w:rsid w:val="05474A36"/>
    <w:rsid w:val="058E5C21"/>
    <w:rsid w:val="05D95D28"/>
    <w:rsid w:val="06F27191"/>
    <w:rsid w:val="07177C78"/>
    <w:rsid w:val="089263E8"/>
    <w:rsid w:val="093568E4"/>
    <w:rsid w:val="0BFC5A62"/>
    <w:rsid w:val="0CD3631A"/>
    <w:rsid w:val="130D1EB8"/>
    <w:rsid w:val="13687334"/>
    <w:rsid w:val="138E5488"/>
    <w:rsid w:val="16753FFC"/>
    <w:rsid w:val="16780A07"/>
    <w:rsid w:val="17636948"/>
    <w:rsid w:val="1ABE1392"/>
    <w:rsid w:val="1AD811AA"/>
    <w:rsid w:val="1B0B3CB5"/>
    <w:rsid w:val="1B6F35F1"/>
    <w:rsid w:val="1C8B2E64"/>
    <w:rsid w:val="202171B4"/>
    <w:rsid w:val="20F070DF"/>
    <w:rsid w:val="213E105B"/>
    <w:rsid w:val="223D2E0A"/>
    <w:rsid w:val="24EF4017"/>
    <w:rsid w:val="252F4421"/>
    <w:rsid w:val="260942D1"/>
    <w:rsid w:val="26D64EA0"/>
    <w:rsid w:val="26E71201"/>
    <w:rsid w:val="28378824"/>
    <w:rsid w:val="285D6D9D"/>
    <w:rsid w:val="28A51789"/>
    <w:rsid w:val="2C0A237D"/>
    <w:rsid w:val="2C4F1189"/>
    <w:rsid w:val="2C7C2F35"/>
    <w:rsid w:val="2CFD5A71"/>
    <w:rsid w:val="2E3A6D11"/>
    <w:rsid w:val="2F5137A0"/>
    <w:rsid w:val="31A11AEC"/>
    <w:rsid w:val="31F51FFD"/>
    <w:rsid w:val="331D5DF7"/>
    <w:rsid w:val="33FE7B3A"/>
    <w:rsid w:val="3407467A"/>
    <w:rsid w:val="34EC331F"/>
    <w:rsid w:val="350F508C"/>
    <w:rsid w:val="369F1CBC"/>
    <w:rsid w:val="36FDC548"/>
    <w:rsid w:val="37850713"/>
    <w:rsid w:val="37E243D5"/>
    <w:rsid w:val="380064A8"/>
    <w:rsid w:val="382E7C4C"/>
    <w:rsid w:val="3C090419"/>
    <w:rsid w:val="3CF41381"/>
    <w:rsid w:val="3DB87A8F"/>
    <w:rsid w:val="3E2E2D90"/>
    <w:rsid w:val="410968CD"/>
    <w:rsid w:val="42A72ABD"/>
    <w:rsid w:val="42CB03F7"/>
    <w:rsid w:val="43B57CDA"/>
    <w:rsid w:val="44473941"/>
    <w:rsid w:val="45D706C6"/>
    <w:rsid w:val="48B30A10"/>
    <w:rsid w:val="4A110C46"/>
    <w:rsid w:val="4B326175"/>
    <w:rsid w:val="4B9E1B94"/>
    <w:rsid w:val="4CBB31C2"/>
    <w:rsid w:val="4E3E6BCE"/>
    <w:rsid w:val="4E9736BC"/>
    <w:rsid w:val="4FDA743C"/>
    <w:rsid w:val="52CB68A9"/>
    <w:rsid w:val="54374D47"/>
    <w:rsid w:val="54511EB9"/>
    <w:rsid w:val="550E1ED9"/>
    <w:rsid w:val="55441426"/>
    <w:rsid w:val="5699587F"/>
    <w:rsid w:val="59BE665C"/>
    <w:rsid w:val="5AB1072F"/>
    <w:rsid w:val="5ACC15D8"/>
    <w:rsid w:val="5BE14EFC"/>
    <w:rsid w:val="5DCD264D"/>
    <w:rsid w:val="5F5A70A2"/>
    <w:rsid w:val="5F871771"/>
    <w:rsid w:val="646C6A0E"/>
    <w:rsid w:val="651C377E"/>
    <w:rsid w:val="65931809"/>
    <w:rsid w:val="65942AD9"/>
    <w:rsid w:val="667667F7"/>
    <w:rsid w:val="67725897"/>
    <w:rsid w:val="690E3810"/>
    <w:rsid w:val="6A520F40"/>
    <w:rsid w:val="6AC54C2C"/>
    <w:rsid w:val="6AD26BE1"/>
    <w:rsid w:val="6BB74B4A"/>
    <w:rsid w:val="6E966F64"/>
    <w:rsid w:val="70B36058"/>
    <w:rsid w:val="70B62197"/>
    <w:rsid w:val="71564E4E"/>
    <w:rsid w:val="72A1276F"/>
    <w:rsid w:val="76BA00E3"/>
    <w:rsid w:val="7764484B"/>
    <w:rsid w:val="77925073"/>
    <w:rsid w:val="786A7D42"/>
    <w:rsid w:val="79C55961"/>
    <w:rsid w:val="7DE85301"/>
    <w:rsid w:val="7E1F7DB5"/>
    <w:rsid w:val="7E974220"/>
    <w:rsid w:val="7EA454AA"/>
    <w:rsid w:val="7F8F09A8"/>
    <w:rsid w:val="7FCE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rPr>
      <w:rFonts w:ascii="宋体" w:hAnsi="宋体" w:eastAsia="宋体" w:cs="宋体"/>
      <w:sz w:val="24"/>
      <w:szCs w:val="24"/>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autoRedefine/>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4"/>
    <w:autoRedefine/>
    <w:qFormat/>
    <w:uiPriority w:val="0"/>
    <w:pPr>
      <w:adjustRightInd w:val="0"/>
      <w:spacing w:before="60" w:after="60" w:line="312" w:lineRule="atLeast"/>
      <w:ind w:firstLine="420"/>
      <w:textAlignment w:val="baseline"/>
    </w:pPr>
    <w:rPr>
      <w:szCs w:val="20"/>
    </w:rPr>
  </w:style>
  <w:style w:type="paragraph" w:styleId="6">
    <w:name w:val="annotation text"/>
    <w:basedOn w:val="1"/>
    <w:link w:val="25"/>
    <w:autoRedefine/>
    <w:qFormat/>
    <w:uiPriority w:val="0"/>
  </w:style>
  <w:style w:type="paragraph" w:styleId="7">
    <w:name w:val="Body Text"/>
    <w:basedOn w:val="1"/>
    <w:link w:val="26"/>
    <w:autoRedefine/>
    <w:qFormat/>
    <w:uiPriority w:val="0"/>
    <w:pPr>
      <w:spacing w:after="120"/>
    </w:pPr>
  </w:style>
  <w:style w:type="paragraph" w:styleId="8">
    <w:name w:val="Block Text"/>
    <w:basedOn w:val="1"/>
    <w:next w:val="7"/>
    <w:autoRedefine/>
    <w:qFormat/>
    <w:uiPriority w:val="0"/>
    <w:pPr>
      <w:spacing w:after="120" w:line="240" w:lineRule="atLeast"/>
      <w:ind w:left="1134"/>
    </w:pPr>
    <w:rPr>
      <w:rFonts w:eastAsia="楷体_GB2312"/>
    </w:rPr>
  </w:style>
  <w:style w:type="paragraph" w:styleId="9">
    <w:name w:val="Balloon Text"/>
    <w:basedOn w:val="1"/>
    <w:link w:val="27"/>
    <w:autoRedefine/>
    <w:qFormat/>
    <w:uiPriority w:val="0"/>
    <w:rPr>
      <w:sz w:val="18"/>
      <w:szCs w:val="18"/>
    </w:rPr>
  </w:style>
  <w:style w:type="paragraph" w:styleId="10">
    <w:name w:val="footer"/>
    <w:basedOn w:val="1"/>
    <w:link w:val="28"/>
    <w:autoRedefine/>
    <w:qFormat/>
    <w:uiPriority w:val="99"/>
    <w:pPr>
      <w:tabs>
        <w:tab w:val="center" w:pos="4153"/>
        <w:tab w:val="right" w:pos="8306"/>
      </w:tabs>
      <w:snapToGrid w:val="0"/>
    </w:pPr>
    <w:rPr>
      <w:sz w:val="18"/>
      <w:szCs w:val="18"/>
    </w:rPr>
  </w:style>
  <w:style w:type="paragraph" w:styleId="11">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autoRedefine/>
    <w:semiHidden/>
    <w:unhideWhenUsed/>
    <w:qFormat/>
    <w:uiPriority w:val="0"/>
    <w:pPr>
      <w:snapToGrid w:val="0"/>
    </w:pPr>
    <w:rPr>
      <w:sz w:val="18"/>
    </w:rPr>
  </w:style>
  <w:style w:type="paragraph" w:styleId="13">
    <w:name w:val="Normal (Web)"/>
    <w:basedOn w:val="1"/>
    <w:autoRedefine/>
    <w:qFormat/>
    <w:uiPriority w:val="0"/>
  </w:style>
  <w:style w:type="paragraph" w:styleId="14">
    <w:name w:val="annotation subject"/>
    <w:basedOn w:val="6"/>
    <w:next w:val="6"/>
    <w:link w:val="30"/>
    <w:autoRedefine/>
    <w:qFormat/>
    <w:uiPriority w:val="0"/>
    <w:rPr>
      <w:b/>
      <w:bCs/>
    </w:rPr>
  </w:style>
  <w:style w:type="table" w:styleId="16">
    <w:name w:val="Table Grid"/>
    <w:basedOn w:val="15"/>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annotation reference"/>
    <w:autoRedefine/>
    <w:qFormat/>
    <w:uiPriority w:val="0"/>
    <w:rPr>
      <w:sz w:val="21"/>
      <w:szCs w:val="21"/>
    </w:rPr>
  </w:style>
  <w:style w:type="character" w:styleId="20">
    <w:name w:val="footnote reference"/>
    <w:basedOn w:val="17"/>
    <w:autoRedefine/>
    <w:semiHidden/>
    <w:unhideWhenUsed/>
    <w:qFormat/>
    <w:uiPriority w:val="0"/>
    <w:rPr>
      <w:vertAlign w:val="superscript"/>
    </w:rPr>
  </w:style>
  <w:style w:type="character" w:customStyle="1" w:styleId="21">
    <w:name w:val="标题 1 字符"/>
    <w:link w:val="2"/>
    <w:autoRedefine/>
    <w:qFormat/>
    <w:uiPriority w:val="0"/>
    <w:rPr>
      <w:rFonts w:eastAsia="宋体"/>
      <w:b/>
      <w:bCs/>
      <w:kern w:val="44"/>
      <w:sz w:val="44"/>
      <w:szCs w:val="44"/>
      <w:lang w:val="en-US" w:eastAsia="zh-CN" w:bidi="ar-SA"/>
    </w:rPr>
  </w:style>
  <w:style w:type="character" w:customStyle="1" w:styleId="22">
    <w:name w:val="标题 2 字符"/>
    <w:link w:val="3"/>
    <w:autoRedefine/>
    <w:semiHidden/>
    <w:qFormat/>
    <w:uiPriority w:val="0"/>
    <w:rPr>
      <w:rFonts w:ascii="等线 Light" w:hAnsi="等线 Light" w:eastAsia="等线 Light" w:cs="Times New Roman"/>
      <w:b/>
      <w:bCs/>
      <w:kern w:val="2"/>
      <w:sz w:val="32"/>
      <w:szCs w:val="32"/>
    </w:rPr>
  </w:style>
  <w:style w:type="character" w:customStyle="1" w:styleId="23">
    <w:name w:val="标题 3 字符"/>
    <w:link w:val="4"/>
    <w:autoRedefine/>
    <w:semiHidden/>
    <w:qFormat/>
    <w:uiPriority w:val="0"/>
    <w:rPr>
      <w:b/>
      <w:bCs/>
      <w:kern w:val="2"/>
      <w:sz w:val="32"/>
      <w:szCs w:val="32"/>
    </w:rPr>
  </w:style>
  <w:style w:type="character" w:customStyle="1" w:styleId="24">
    <w:name w:val="正文缩进 字符2"/>
    <w:link w:val="5"/>
    <w:autoRedefine/>
    <w:qFormat/>
    <w:uiPriority w:val="99"/>
    <w:rPr>
      <w:sz w:val="24"/>
    </w:rPr>
  </w:style>
  <w:style w:type="character" w:customStyle="1" w:styleId="25">
    <w:name w:val="批注文字 字符"/>
    <w:link w:val="6"/>
    <w:autoRedefine/>
    <w:qFormat/>
    <w:uiPriority w:val="0"/>
    <w:rPr>
      <w:kern w:val="2"/>
      <w:sz w:val="21"/>
      <w:szCs w:val="24"/>
    </w:rPr>
  </w:style>
  <w:style w:type="character" w:customStyle="1" w:styleId="26">
    <w:name w:val="正文文本 字符"/>
    <w:link w:val="7"/>
    <w:autoRedefine/>
    <w:qFormat/>
    <w:uiPriority w:val="0"/>
    <w:rPr>
      <w:kern w:val="2"/>
      <w:sz w:val="21"/>
      <w:szCs w:val="24"/>
    </w:rPr>
  </w:style>
  <w:style w:type="character" w:customStyle="1" w:styleId="27">
    <w:name w:val="批注框文本 字符"/>
    <w:link w:val="9"/>
    <w:autoRedefine/>
    <w:qFormat/>
    <w:uiPriority w:val="0"/>
    <w:rPr>
      <w:kern w:val="2"/>
      <w:sz w:val="18"/>
      <w:szCs w:val="18"/>
    </w:rPr>
  </w:style>
  <w:style w:type="character" w:customStyle="1" w:styleId="28">
    <w:name w:val="页脚 字符1"/>
    <w:link w:val="10"/>
    <w:autoRedefine/>
    <w:qFormat/>
    <w:uiPriority w:val="99"/>
    <w:rPr>
      <w:kern w:val="2"/>
      <w:sz w:val="18"/>
      <w:szCs w:val="18"/>
    </w:rPr>
  </w:style>
  <w:style w:type="character" w:customStyle="1" w:styleId="29">
    <w:name w:val="页眉 字符"/>
    <w:link w:val="11"/>
    <w:autoRedefine/>
    <w:qFormat/>
    <w:uiPriority w:val="0"/>
    <w:rPr>
      <w:kern w:val="2"/>
      <w:sz w:val="18"/>
      <w:szCs w:val="18"/>
    </w:rPr>
  </w:style>
  <w:style w:type="character" w:customStyle="1" w:styleId="30">
    <w:name w:val="批注主题 字符"/>
    <w:basedOn w:val="25"/>
    <w:link w:val="14"/>
    <w:autoRedefine/>
    <w:qFormat/>
    <w:uiPriority w:val="0"/>
    <w:rPr>
      <w:kern w:val="2"/>
      <w:sz w:val="21"/>
      <w:szCs w:val="24"/>
    </w:rPr>
  </w:style>
  <w:style w:type="paragraph" w:customStyle="1" w:styleId="31">
    <w:name w:val="_Style 28"/>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autoRedefine/>
    <w:qFormat/>
    <w:uiPriority w:val="99"/>
  </w:style>
  <w:style w:type="paragraph" w:customStyle="1" w:styleId="33">
    <w:name w:val="默认段落字体 Para Char Char Char Char Char Char Char"/>
    <w:basedOn w:val="1"/>
    <w:autoRedefine/>
    <w:qFormat/>
    <w:uiPriority w:val="0"/>
    <w:rPr>
      <w:rFonts w:ascii="Tahoma" w:hAnsi="Tahoma"/>
      <w:szCs w:val="20"/>
    </w:rPr>
  </w:style>
  <w:style w:type="character" w:customStyle="1" w:styleId="34">
    <w:name w:val="正文缩进 字符1"/>
    <w:autoRedefine/>
    <w:qFormat/>
    <w:uiPriority w:val="0"/>
    <w:rPr>
      <w:sz w:val="24"/>
    </w:rPr>
  </w:style>
  <w:style w:type="table" w:customStyle="1" w:styleId="35">
    <w:name w:val="网格型1"/>
    <w:basedOn w:val="1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autoRedefine/>
    <w:qFormat/>
    <w:uiPriority w:val="0"/>
    <w:pPr>
      <w:adjustRightInd w:val="0"/>
      <w:snapToGrid w:val="0"/>
    </w:pPr>
    <w:rPr>
      <w:szCs w:val="21"/>
    </w:rPr>
  </w:style>
  <w:style w:type="character" w:customStyle="1" w:styleId="41">
    <w:name w:val="表格 字符"/>
    <w:link w:val="40"/>
    <w:autoRedefine/>
    <w:qFormat/>
    <w:uiPriority w:val="0"/>
    <w:rPr>
      <w:kern w:val="2"/>
      <w:sz w:val="21"/>
      <w:szCs w:val="21"/>
    </w:rPr>
  </w:style>
  <w:style w:type="paragraph" w:customStyle="1" w:styleId="42">
    <w:name w:val="正文（公告）"/>
    <w:basedOn w:val="1"/>
    <w:link w:val="43"/>
    <w:autoRedefine/>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autoRedefine/>
    <w:qFormat/>
    <w:uiPriority w:val="0"/>
    <w:rPr>
      <w:kern w:val="2"/>
      <w:sz w:val="28"/>
      <w:szCs w:val="28"/>
    </w:rPr>
  </w:style>
  <w:style w:type="paragraph" w:customStyle="1" w:styleId="44">
    <w:name w:val="KWMCN-标准"/>
    <w:autoRedefine/>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autoRedefine/>
    <w:qFormat/>
    <w:uiPriority w:val="99"/>
    <w:rPr>
      <w:rFonts w:ascii="Times New Roman" w:hAnsi="Times New Roman" w:eastAsia="宋体" w:cs="Times New Roman"/>
      <w:kern w:val="0"/>
      <w:sz w:val="24"/>
      <w:szCs w:val="20"/>
    </w:rPr>
  </w:style>
  <w:style w:type="paragraph" w:customStyle="1" w:styleId="46">
    <w:name w:val="KWMCN-金杜正文"/>
    <w:autoRedefine/>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autoRedefine/>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autoRedefine/>
    <w:hidden/>
    <w:semiHidden/>
    <w:qFormat/>
    <w:uiPriority w:val="99"/>
    <w:rPr>
      <w:rFonts w:ascii="宋体" w:hAnsi="宋体" w:eastAsia="宋体" w:cs="宋体"/>
      <w:sz w:val="24"/>
      <w:szCs w:val="24"/>
      <w:lang w:val="en-US" w:eastAsia="zh-CN" w:bidi="ar-SA"/>
    </w:rPr>
  </w:style>
  <w:style w:type="table" w:customStyle="1" w:styleId="49">
    <w:name w:val="网格型31"/>
    <w:basedOn w:val="15"/>
    <w:autoRedefine/>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autoRedefine/>
    <w:hidden/>
    <w:semiHidden/>
    <w:qFormat/>
    <w:uiPriority w:val="99"/>
    <w:rPr>
      <w:rFonts w:ascii="宋体" w:hAnsi="宋体" w:eastAsia="宋体" w:cs="宋体"/>
      <w:sz w:val="24"/>
      <w:szCs w:val="24"/>
      <w:lang w:val="en-US" w:eastAsia="zh-CN" w:bidi="ar-SA"/>
    </w:rPr>
  </w:style>
  <w:style w:type="table" w:customStyle="1" w:styleId="51">
    <w:name w:val="网格型11"/>
    <w:basedOn w:val="15"/>
    <w:autoRedefine/>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autoRedefine/>
    <w:hidden/>
    <w:semiHidden/>
    <w:qFormat/>
    <w:uiPriority w:val="99"/>
    <w:rPr>
      <w:rFonts w:ascii="宋体" w:hAnsi="宋体" w:eastAsia="宋体" w:cs="宋体"/>
      <w:sz w:val="24"/>
      <w:szCs w:val="24"/>
      <w:lang w:val="en-US" w:eastAsia="zh-CN" w:bidi="ar-SA"/>
    </w:rPr>
  </w:style>
  <w:style w:type="character" w:customStyle="1" w:styleId="53">
    <w:name w:val="font31"/>
    <w:basedOn w:val="17"/>
    <w:autoRedefine/>
    <w:qFormat/>
    <w:uiPriority w:val="0"/>
    <w:rPr>
      <w:rFonts w:ascii="楷体_GB2312" w:eastAsia="楷体_GB2312" w:cs="楷体_GB2312"/>
      <w:color w:val="000000"/>
      <w:sz w:val="20"/>
      <w:szCs w:val="20"/>
      <w:u w:val="none"/>
    </w:rPr>
  </w:style>
  <w:style w:type="character" w:customStyle="1" w:styleId="54">
    <w:name w:val="font01"/>
    <w:basedOn w:val="17"/>
    <w:autoRedefine/>
    <w:qFormat/>
    <w:uiPriority w:val="0"/>
    <w:rPr>
      <w:rFonts w:hint="default" w:ascii="Times New Roman" w:hAnsi="Times New Roman" w:cs="Times New Roman"/>
      <w:color w:val="000000"/>
      <w:sz w:val="20"/>
      <w:szCs w:val="20"/>
      <w:u w:val="none"/>
    </w:rPr>
  </w:style>
  <w:style w:type="paragraph" w:styleId="55">
    <w:name w:val="List Paragraph"/>
    <w:basedOn w:val="1"/>
    <w:autoRedefine/>
    <w:qFormat/>
    <w:uiPriority w:val="99"/>
    <w:pPr>
      <w:ind w:firstLine="420" w:firstLineChars="200"/>
    </w:pPr>
  </w:style>
  <w:style w:type="paragraph" w:customStyle="1" w:styleId="56">
    <w:name w:val="修订4"/>
    <w:autoRedefine/>
    <w:hidden/>
    <w:semiHidden/>
    <w:qFormat/>
    <w:uiPriority w:val="99"/>
    <w:rPr>
      <w:rFonts w:ascii="宋体" w:hAnsi="宋体" w:eastAsia="宋体" w:cs="宋体"/>
      <w:sz w:val="24"/>
      <w:szCs w:val="24"/>
      <w:lang w:val="en-US" w:eastAsia="zh-CN" w:bidi="ar-SA"/>
    </w:rPr>
  </w:style>
  <w:style w:type="paragraph" w:customStyle="1" w:styleId="57">
    <w:name w:val="修订5"/>
    <w:autoRedefine/>
    <w:hidden/>
    <w:semiHidden/>
    <w:qFormat/>
    <w:uiPriority w:val="99"/>
    <w:rPr>
      <w:rFonts w:ascii="宋体" w:hAnsi="宋体" w:eastAsia="宋体" w:cs="宋体"/>
      <w:sz w:val="24"/>
      <w:szCs w:val="24"/>
      <w:lang w:val="en-US" w:eastAsia="zh-CN" w:bidi="ar-SA"/>
    </w:rPr>
  </w:style>
  <w:style w:type="paragraph" w:customStyle="1" w:styleId="58">
    <w:name w:val="修订6"/>
    <w:autoRedefine/>
    <w:hidden/>
    <w:semiHidden/>
    <w:qFormat/>
    <w:uiPriority w:val="99"/>
    <w:rPr>
      <w:rFonts w:ascii="宋体" w:hAnsi="宋体" w:eastAsia="宋体" w:cs="宋体"/>
      <w:sz w:val="24"/>
      <w:szCs w:val="24"/>
      <w:lang w:val="en-US" w:eastAsia="zh-CN" w:bidi="ar-SA"/>
    </w:rPr>
  </w:style>
  <w:style w:type="paragraph" w:customStyle="1" w:styleId="59">
    <w:name w:val="Revision"/>
    <w:autoRedefine/>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5038-6E20-41A9-A5EB-BA9234E3ED78}">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4</Pages>
  <Words>1976</Words>
  <Characters>2345</Characters>
  <Lines>14</Lines>
  <Paragraphs>3</Paragraphs>
  <TotalTime>12</TotalTime>
  <ScaleCrop>false</ScaleCrop>
  <LinksUpToDate>false</LinksUpToDate>
  <CharactersWithSpaces>2373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2023-11-29T05:23:00Z</dcterms:created>
  <dc:creator>sse</dc:creator>
  <cp:lastModifiedBy>金建德</cp:lastModifiedBy>
  <cp:lastPrinted>2024-07-19T02:33:00Z</cp:lastPrinted>
  <dcterms:modified xsi:type="dcterms:W3CDTF">2024-07-19T10:12:50Z</dcterms:modified>
  <dc:title>第十号 上市公司关联交易公告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4C08CC9D6B91466287FAF71EC30E960B</vt:lpwstr>
  </property>
  <property fmtid="{D5CDD505-2E9C-101B-9397-08002B2CF9AE}" pid="4" name="5B77E7CEEC58BC6AFAE8886BEB80DBEB">
    <vt:lpwstr>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</vt:lpwstr>
  </property>
</Properties>
</file>