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BD332-B057-4129-AF32-7A261F9A5A49}">
  <ds:schemaRefs/>
</ds:datastoreItem>
</file>

<file path=docProps\app.xml><?xml version="1.0" encoding="utf-8"?>
<Properties xmlns="http://schemas.openxmlformats.org/officeDocument/2006/extended-properties" xmlns:vt="http://schemas.openxmlformats.org/officeDocument/2006/docPropsVTypes">
  <Template>公告模板.dotx</Template>
  <Pages>8</Pages>
  <Words>622</Words>
  <Characters>3546</Characters>
  <Lines>29</Lines>
  <Paragraphs>8</Paragraphs>
  <TotalTime>1864</TotalTime>
  <ScaleCrop>false</ScaleCrop>
  <LinksUpToDate>false</LinksUpToDate>
  <CharactersWithSpaces>4160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2024-05-06T00:29:00Z</dcterms:created>
  <dc:creator>刘晨</dc:creator>
  <cp:lastModifiedBy>金建德</cp:lastModifiedBy>
  <cp:lastPrinted>2024-06-19T02:32:00Z</cp:lastPrinted>
  <dcterms:modified xsi:type="dcterms:W3CDTF">2024-06-20T10:05:13Z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97AADC50C66C4B93B7566FBE2F7C8276_12</vt:lpwstr>
  </property>
  <property fmtid="{5B77E7CE-EC58-BC6A-FAE8-886BEB80DBEB}" pid="4" name="5B77E7CEEC58BC6AFAE8886BEB80DBEB">
    <vt:lpwstr>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</vt:lpwstr>
  </property>
</Properti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_\Documents\&#33258;&#23450;&#20041;%20Office%20&#27169;&#26495;\&#20844;&#21578;&#27169;&#26495;.dotx" TargetMode="Externa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firstLine="0" w:firstLineChars="0"/>
        <w:rPr>
          <w:rFonts w:hint="default" w:eastAsia="黑体"/>
          <w:lang w:val="en-US" w:eastAsia="zh-CN"/>
        </w:rPr>
      </w:pPr>
      <w:r>
        <w:rPr>
          <w:rFonts w:hint="eastAsia"/>
        </w:rPr>
        <w:t xml:space="preserve"> 股票简称：兖矿能源            </w:t>
      </w:r>
      <w:bookmarkStart w:id="2" w:name="_GoBack"/>
      <w:bookmarkEnd w:id="2"/>
      <w:r>
        <w:rPr>
          <w:rFonts w:hint="eastAsia"/>
        </w:rPr>
        <w:t xml:space="preserve"> 股票代码：600188            编号：临</w:t>
      </w:r>
      <w:r>
        <w:t>20</w:t>
      </w:r>
      <w:r>
        <w:rPr>
          <w:rFonts w:hint="eastAsia"/>
        </w:rPr>
        <w:t>2</w:t>
      </w:r>
      <w:r>
        <w:t>4</w:t>
      </w:r>
      <w:r>
        <w:rPr>
          <w:rFonts w:hint="eastAsia"/>
        </w:rPr>
        <w:t>-</w:t>
      </w:r>
      <w:r>
        <w:rPr>
          <w:rFonts w:hint="eastAsia"/>
          <w:lang w:val="en-US" w:eastAsia="zh-CN"/>
        </w:rPr>
        <w:t>041</w:t>
      </w:r>
    </w:p>
    <w:p>
      <w:pPr>
        <w:ind w:firstLine="560"/>
      </w:pPr>
    </w:p>
    <w:p>
      <w:pPr>
        <w:spacing w:line="560" w:lineRule="exact"/>
        <w:ind w:firstLine="723"/>
        <w:jc w:val="center"/>
        <w:rPr>
          <w:rFonts w:ascii="黑体" w:hAnsi="Times New Roman" w:eastAsia="黑体"/>
          <w:b/>
          <w:bCs/>
          <w:color w:val="FF0000"/>
          <w:sz w:val="36"/>
          <w:szCs w:val="36"/>
        </w:rPr>
      </w:pPr>
      <w:r>
        <w:rPr>
          <w:rFonts w:hint="eastAsia" w:ascii="黑体" w:hAnsi="Times New Roman" w:eastAsia="黑体"/>
          <w:b/>
          <w:bCs/>
          <w:color w:val="FF0000"/>
          <w:sz w:val="36"/>
          <w:szCs w:val="36"/>
        </w:rPr>
        <w:t>兖矿能源集团股份有限公司</w:t>
      </w:r>
    </w:p>
    <w:p>
      <w:pPr>
        <w:spacing w:line="560" w:lineRule="exact"/>
        <w:ind w:firstLine="723"/>
        <w:jc w:val="center"/>
        <w:rPr>
          <w:rFonts w:ascii="黑体" w:hAnsi="Times New Roman" w:eastAsia="黑体"/>
          <w:b/>
          <w:bCs/>
          <w:color w:val="FF0000"/>
          <w:sz w:val="36"/>
          <w:szCs w:val="36"/>
        </w:rPr>
      </w:pPr>
      <w:r>
        <w:rPr>
          <w:rFonts w:hint="eastAsia" w:ascii="黑体" w:hAnsi="Times New Roman" w:eastAsia="黑体"/>
          <w:b/>
          <w:bCs/>
          <w:color w:val="FF0000"/>
          <w:sz w:val="36"/>
          <w:szCs w:val="36"/>
        </w:rPr>
        <w:t>关于“提质增效重回报”行动方案的公告</w:t>
      </w:r>
    </w:p>
    <w:p>
      <w:pPr>
        <w:ind w:firstLine="402"/>
      </w:pPr>
      <w:r>
        <w:rPr>
          <w:b/>
          <w:bCs/>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454025</wp:posOffset>
                </wp:positionV>
                <wp:extent cx="5257800" cy="1019175"/>
                <wp:effectExtent l="0" t="0" r="19050" b="2857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pPr>
                            <w:r>
                              <w:rPr>
                                <w:rFonts w:hint="eastAsia"/>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top:35.75pt;height:80.25pt;width:414pt;mso-position-horizontal:right;mso-position-horizontal-relative:margin;z-index:251659264;mso-width-relative:page;mso-height-relative:page;" fillcolor="#FFFFFF" filled="t" stroked="t" coordsize="21600,21600" o:gfxdata="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6ky9NcAAAAHAQAADwAAAAAAAAABACAAAAAi&#10;AAAAZHJzL2Rvd25yZXYueG1sUEsBAhQAFAAAAAgAh07iQEZyza9EAgAAiQQAAA4AAAAAAAAAAQAg&#10;AAAAJgEAAGRycy9lMm9Eb2MueG1sUEsFBgAAAAAGAAYAWQEAANwFAAAAAA==&#10;">
                <v:fill on="t" focussize="0,0"/>
                <v:stroke color="#000000" miterlimit="8" joinstyle="miter"/>
                <v:imagedata o:title=""/>
                <o:lock v:ext="edit" aspectratio="f"/>
                <v:textbox>
                  <w:txbxContent>
                    <w:p>
                      <w:pPr>
                        <w:adjustRightInd w:val="0"/>
                        <w:snapToGrid w:val="0"/>
                        <w:spacing w:line="480" w:lineRule="exact"/>
                        <w:ind w:firstLine="560"/>
                      </w:pPr>
                      <w:r>
                        <w:rPr>
                          <w:rFonts w:hint="eastAsia"/>
                        </w:rPr>
                        <w:t>本公司董事会及全体董事保证本公告内容不存在任何虚假记载、误导性陈述或者重大遗漏，并对其内容的真实性、准确性和完整性承担法律责任。</w:t>
                      </w:r>
                    </w:p>
                  </w:txbxContent>
                </v:textbox>
              </v:shape>
            </w:pict>
          </mc:Fallback>
        </mc:AlternateContent>
      </w:r>
      <w:r>
        <w:br w:type="textWrapping"/>
      </w:r>
    </w:p>
    <w:p>
      <w:pPr>
        <w:ind w:firstLine="560"/>
      </w:pPr>
    </w:p>
    <w:p>
      <w:pPr>
        <w:ind w:firstLine="560"/>
      </w:pPr>
    </w:p>
    <w:p>
      <w:pPr>
        <w:ind w:firstLine="560"/>
      </w:pPr>
    </w:p>
    <w:p>
      <w:pPr>
        <w:ind w:firstLine="560"/>
      </w:pPr>
      <w:r>
        <w:rPr>
          <w:rFonts w:hint="eastAsia"/>
        </w:rPr>
        <w:t>为深入贯彻党的二十大和中央金融工作会议精神，落实国务院《关于进一步提高上市公司质量的意见》</w:t>
      </w:r>
      <w:r>
        <w:t>、</w:t>
      </w:r>
      <w:r>
        <w:rPr>
          <w:rFonts w:hint="eastAsia"/>
        </w:rPr>
        <w:t>国务院国资委《提高央企控股上市公司质量工作方案》、上海证券交易所《关于开展沪市公司“提质增效重回报”专项行动的倡议》等工作要求，加快推进高质量发展,切实保障和维护投资者合法权益，兖矿能源集团股份有限公司（“兖矿能源”“公司”）制定了</w:t>
      </w:r>
      <w:r>
        <w:t>2024年度</w:t>
      </w:r>
      <w:r>
        <w:rPr>
          <w:rFonts w:hint="eastAsia"/>
        </w:rPr>
        <w:t>“提质增效重回报”行动方案，并经公司第九届董事会第九次会议审议批准，具体内容如下：</w:t>
      </w:r>
    </w:p>
    <w:p>
      <w:pPr>
        <w:autoSpaceDE w:val="0"/>
        <w:autoSpaceDN w:val="0"/>
        <w:adjustRightInd w:val="0"/>
        <w:spacing w:line="560" w:lineRule="exact"/>
        <w:ind w:firstLine="562"/>
        <w:jc w:val="left"/>
        <w:outlineLvl w:val="0"/>
        <w:rPr>
          <w:b/>
        </w:rPr>
      </w:pPr>
      <w:bookmarkStart w:id="0" w:name="_Hlk166333579"/>
      <w:r>
        <w:rPr>
          <w:rFonts w:hint="eastAsia"/>
          <w:b/>
        </w:rPr>
        <w:t>一、做优主业，夯实长期发展坚实基础</w:t>
      </w:r>
    </w:p>
    <w:p>
      <w:pPr>
        <w:ind w:firstLine="560"/>
      </w:pPr>
      <w:r>
        <w:rPr>
          <w:rFonts w:hint="eastAsia"/>
        </w:rPr>
        <w:t>兖矿能源自上市以来借力资本市场积极推进产业结构优化升级，现已发展为多产业并举的国际化能源集团。近年来公司坚持心无旁骛攻主业，深推产业协同互促、优化升级，形成“传统产业加快转型、战略新兴产业蓬勃发展”的良好态势。</w:t>
      </w:r>
    </w:p>
    <w:p>
      <w:pPr>
        <w:ind w:firstLine="562"/>
      </w:pPr>
      <w:r>
        <w:rPr>
          <w:rFonts w:hint="eastAsia"/>
          <w:b/>
          <w:bCs/>
        </w:rPr>
        <w:t>矿业方面，</w:t>
      </w:r>
      <w:r>
        <w:t>收购</w:t>
      </w:r>
      <w:r>
        <w:rPr>
          <w:rFonts w:hint="eastAsia"/>
        </w:rPr>
        <w:t>山东能源集团鲁西矿业有限公司</w:t>
      </w:r>
      <w:r>
        <w:t>、</w:t>
      </w:r>
      <w:r>
        <w:rPr>
          <w:rFonts w:hint="eastAsia"/>
        </w:rPr>
        <w:t>兖矿新疆能化有限公司</w:t>
      </w:r>
      <w:r>
        <w:t>，成功竞得内蒙古霍林河矿区一号井田探矿权，</w:t>
      </w:r>
      <w:r>
        <w:rPr>
          <w:rFonts w:hint="eastAsia"/>
        </w:rPr>
        <w:t>业务规模及发展后劲明显增强；智能化矿山建设成效显著，</w:t>
      </w:r>
      <w:r>
        <w:t>7对矿井通过国家级首批智能化示范矿井验收，智能开采占比达到94%</w:t>
      </w:r>
      <w:r>
        <w:rPr>
          <w:rFonts w:hint="eastAsia"/>
        </w:rPr>
        <w:t>，</w:t>
      </w:r>
      <w:r>
        <w:t>智能化水平稳居行业第一方阵。</w:t>
      </w:r>
      <w:r>
        <w:rPr>
          <w:rFonts w:hint="eastAsia"/>
          <w:b/>
          <w:bCs/>
        </w:rPr>
        <w:t>高端化工新材料方面，</w:t>
      </w:r>
      <w:r>
        <w:rPr>
          <w:rFonts w:hint="eastAsia"/>
        </w:rPr>
        <w:t>2023年</w:t>
      </w:r>
      <w:bookmarkStart w:id="1" w:name="_Hlk166313137"/>
      <w:r>
        <w:rPr>
          <w:rFonts w:hint="eastAsia"/>
        </w:rPr>
        <w:t>化工品</w:t>
      </w:r>
      <w:bookmarkEnd w:id="1"/>
      <w:r>
        <w:rPr>
          <w:rFonts w:hint="eastAsia"/>
        </w:rPr>
        <w:t>产量创历史新高,现有项目达产增效，新建高端化工项目有序落地。</w:t>
      </w:r>
      <w:r>
        <w:rPr>
          <w:rFonts w:hint="eastAsia"/>
          <w:b/>
          <w:bCs/>
        </w:rPr>
        <w:t>高端装备制造方面</w:t>
      </w:r>
      <w:r>
        <w:rPr>
          <w:rFonts w:hint="eastAsia"/>
        </w:rPr>
        <w:t>，鲁西智慧制造园区开工运营，建成绿色、高端、智能、零碳示范园区；收购德国沙尔夫公司，延伸井下采矿及辅助运输设备产业链，成功搭建起欧洲高端装备制造研发平台</w:t>
      </w:r>
      <w:r>
        <w:t>。</w:t>
      </w:r>
      <w:r>
        <w:rPr>
          <w:rFonts w:hint="eastAsia"/>
          <w:b/>
          <w:bCs/>
        </w:rPr>
        <w:t>智慧物流方面，</w:t>
      </w:r>
      <w:r>
        <w:t>铁路、公路、港航、园区、平台“五位一体”发展格局初步成型，物流货运能力达到3亿吨/年</w:t>
      </w:r>
      <w:r>
        <w:rPr>
          <w:rFonts w:hint="eastAsia"/>
        </w:rPr>
        <w:t>。</w:t>
      </w:r>
      <w:r>
        <w:rPr>
          <w:rFonts w:hint="eastAsia"/>
          <w:b/>
          <w:bCs/>
        </w:rPr>
        <w:t>新能源方面，</w:t>
      </w:r>
      <w:r>
        <w:rPr>
          <w:rFonts w:hint="eastAsia"/>
        </w:rPr>
        <w:t>坚持“指标获取+项目建设”同步推进，开工建设一批分布式光伏项目，陕蒙、新疆区域源网荷储一体化等项目有序推进。</w:t>
      </w:r>
    </w:p>
    <w:p>
      <w:pPr>
        <w:ind w:firstLine="560"/>
      </w:pPr>
      <w:r>
        <w:rPr>
          <w:rFonts w:hint="eastAsia"/>
        </w:rPr>
        <w:t>2024年，公司将继续做强做优“五大主导产业”，发挥矿业、高端化工新材料两大核心产业优势，以开展达产达效、开源节流、重点项目建设“三项攻坚”为主线，深度释放资源优势，着力提升质量效益，全面增强发展后劲。</w:t>
      </w:r>
    </w:p>
    <w:p>
      <w:pPr>
        <w:ind w:firstLine="562"/>
      </w:pPr>
      <w:r>
        <w:rPr>
          <w:rFonts w:hint="eastAsia"/>
          <w:b/>
          <w:bCs/>
        </w:rPr>
        <w:t>矿业方面，</w:t>
      </w:r>
      <w:r>
        <w:rPr>
          <w:rFonts w:hint="eastAsia"/>
        </w:rPr>
        <w:t>本集团将集中优势资源，加快在建矿井建设及新建矿井手续办理，</w:t>
      </w:r>
      <w:r>
        <w:t>力争用3-5年时间</w:t>
      </w:r>
      <w:r>
        <w:rPr>
          <w:rFonts w:hint="eastAsia"/>
        </w:rPr>
        <w:t>在陕蒙区域</w:t>
      </w:r>
      <w:r>
        <w:t>打造</w:t>
      </w:r>
      <w:r>
        <w:rPr>
          <w:rFonts w:hint="eastAsia"/>
        </w:rPr>
        <w:t>出</w:t>
      </w:r>
      <w:r>
        <w:t>产业接续、效益增长的“核心引擎”</w:t>
      </w:r>
      <w:r>
        <w:rPr>
          <w:rFonts w:hint="eastAsia"/>
        </w:rPr>
        <w:t>；以智能化建设为引擎打造“四型矿井”，力争权属矿井全部达到国家智能化示范矿井水平；继续关注优质资源，通过内涵式增长与外延式发展，增强规模竞争力,力争</w:t>
      </w:r>
      <w:r>
        <w:t>3-5年内</w:t>
      </w:r>
      <w:r>
        <w:rPr>
          <w:rFonts w:hint="eastAsia"/>
        </w:rPr>
        <w:t>原煤</w:t>
      </w:r>
      <w:r>
        <w:t>产量达到3亿吨/年</w:t>
      </w:r>
      <w:r>
        <w:rPr>
          <w:rFonts w:hint="eastAsia"/>
        </w:rPr>
        <w:t>。</w:t>
      </w:r>
      <w:r>
        <w:rPr>
          <w:rFonts w:hint="eastAsia"/>
          <w:b/>
          <w:bCs/>
        </w:rPr>
        <w:t>高端化工新材料方面，</w:t>
      </w:r>
      <w:r>
        <w:rPr>
          <w:rFonts w:hint="eastAsia"/>
        </w:rPr>
        <w:t>发挥产业链优势，增强产业链韧性，拓展“一头多线”柔性生产，加快向高技术、高附加值拓展。高质量建设鲁南化工、未来能源、荣信化工、榆林能化、新疆能化等</w:t>
      </w:r>
      <w:r>
        <w:t>5个高端精细化工园区，巩固延伸醇基、氨基新材料产业链。</w:t>
      </w:r>
      <w:r>
        <w:rPr>
          <w:rFonts w:hint="eastAsia"/>
        </w:rPr>
        <w:t>创新“资源+资本”发展模式，提升资源集约高效配置能力，持续引入优质企业、优质资源、领先技术，塑造高端装备制造、智慧物流、新能源板块竞争新优势。</w:t>
      </w:r>
    </w:p>
    <w:p>
      <w:pPr>
        <w:autoSpaceDE w:val="0"/>
        <w:autoSpaceDN w:val="0"/>
        <w:adjustRightInd w:val="0"/>
        <w:spacing w:line="560" w:lineRule="exact"/>
        <w:ind w:firstLine="562"/>
        <w:jc w:val="left"/>
        <w:outlineLvl w:val="0"/>
        <w:rPr>
          <w:b/>
        </w:rPr>
      </w:pPr>
      <w:r>
        <w:rPr>
          <w:rFonts w:hint="eastAsia"/>
          <w:b/>
        </w:rPr>
        <w:t>二、精益管理，确保完成年度经营管理目标</w:t>
      </w:r>
    </w:p>
    <w:p>
      <w:pPr>
        <w:ind w:firstLine="560"/>
      </w:pPr>
      <w:r>
        <w:rPr>
          <w:rFonts w:hint="eastAsia"/>
        </w:rPr>
        <w:t>2023年，公司围绕“管理提效、资产提质”，制定挖潜降本增效的针对性措施，全面提升精益管控水平。</w:t>
      </w:r>
      <w:r>
        <w:rPr>
          <w:rFonts w:hint="eastAsia"/>
          <w:b/>
          <w:bCs/>
        </w:rPr>
        <w:t>深挖内潜降本控费。</w:t>
      </w:r>
      <w:r>
        <w:rPr>
          <w:rFonts w:hint="eastAsia"/>
        </w:rPr>
        <w:t>主要产品单耗同比降低</w:t>
      </w:r>
      <w:r>
        <w:t>5%</w:t>
      </w:r>
      <w:r>
        <w:rPr>
          <w:rFonts w:hint="eastAsia"/>
        </w:rPr>
        <w:t>，平均融资利率降至</w:t>
      </w:r>
      <w:r>
        <w:t>3.6%以下。</w:t>
      </w:r>
      <w:r>
        <w:rPr>
          <w:b/>
          <w:bCs/>
        </w:rPr>
        <w:t>智慧营销提升效益。</w:t>
      </w:r>
      <w:r>
        <w:rPr>
          <w:rFonts w:hint="eastAsia"/>
        </w:rPr>
        <w:t>统筹优化布局、产品、客户、流向，确保效益最大化，省内精煤销量占比达到</w:t>
      </w:r>
      <w:r>
        <w:t>57%。</w:t>
      </w:r>
      <w:r>
        <w:rPr>
          <w:b/>
          <w:bCs/>
        </w:rPr>
        <w:t>精益物供降低价格。</w:t>
      </w:r>
      <w:r>
        <w:t>发挥大宗物资集采平台和一体化采购优势，采购价格同比下降5%。</w:t>
      </w:r>
      <w:r>
        <w:rPr>
          <w:b/>
          <w:bCs/>
        </w:rPr>
        <w:t>清仓利库盘活存量</w:t>
      </w:r>
      <w:r>
        <w:rPr>
          <w:rFonts w:hint="eastAsia"/>
        </w:rPr>
        <w:t>，全年盘活资产</w:t>
      </w:r>
      <w:r>
        <w:t>14亿元。</w:t>
      </w:r>
    </w:p>
    <w:p>
      <w:pPr>
        <w:ind w:firstLine="560"/>
      </w:pPr>
      <w:r>
        <w:rPr>
          <w:rFonts w:hint="eastAsia"/>
        </w:rPr>
        <w:t>通过实施各项管控措施，2023年实现全年自产煤吨煤销售成本</w:t>
      </w:r>
      <w:r>
        <w:t>349元/吨。其中，下半年比上半年降低44元/吨。兖煤澳洲现金成本保持澳洲全行业最低。</w:t>
      </w:r>
    </w:p>
    <w:p>
      <w:pPr>
        <w:ind w:firstLine="560"/>
      </w:pPr>
      <w:r>
        <w:rPr>
          <w:rFonts w:hint="eastAsia"/>
        </w:rPr>
        <w:t>2024年公司将继续采取有效措施，发挥管理优势，提升发展质量。</w:t>
      </w:r>
      <w:r>
        <w:rPr>
          <w:rFonts w:hint="eastAsia"/>
          <w:b/>
          <w:bCs/>
        </w:rPr>
        <w:t>提升产品产量。</w:t>
      </w:r>
      <w:r>
        <w:rPr>
          <w:rFonts w:hint="eastAsia"/>
        </w:rPr>
        <w:t>优化石拉乌素、营盘壕等矿井生产组织、工作面设计和采煤工艺，尽快达产达效。加快重点增量项目建设，力争五彩湾四号露天矿年底前剥离见煤。</w:t>
      </w:r>
      <w:r>
        <w:rPr>
          <w:rFonts w:hint="eastAsia"/>
          <w:b/>
          <w:bCs/>
        </w:rPr>
        <w:t>深化降本控费。</w:t>
      </w:r>
      <w:r>
        <w:rPr>
          <w:rFonts w:hint="eastAsia"/>
        </w:rPr>
        <w:t>优化生产工艺流程，降低产品单耗水平</w:t>
      </w:r>
      <w:r>
        <w:t>。深化存量资产管理，降低材料采购和设备运行成本。强化预算刚性控制，压缩可控费用支出。持续优化债务结构，降低资金成本，</w:t>
      </w:r>
      <w:r>
        <w:rPr>
          <w:rFonts w:hint="eastAsia"/>
        </w:rPr>
        <w:t>压减</w:t>
      </w:r>
      <w:r>
        <w:t>利息支出。</w:t>
      </w:r>
      <w:r>
        <w:rPr>
          <w:rFonts w:hint="eastAsia"/>
          <w:b/>
          <w:bCs/>
        </w:rPr>
        <w:t>优化营销策略。</w:t>
      </w:r>
      <w:r>
        <w:rPr>
          <w:rFonts w:hint="eastAsia"/>
        </w:rPr>
        <w:t>加强市场分析研判，拓展销售渠道，深度挖掘价值高、需求大、物流优的区域市场。</w:t>
      </w:r>
      <w:r>
        <w:rPr>
          <w:rFonts w:hint="eastAsia"/>
          <w:b/>
          <w:bCs/>
        </w:rPr>
        <w:t>完善物供体系。</w:t>
      </w:r>
      <w:r>
        <w:rPr>
          <w:rFonts w:hint="eastAsia"/>
        </w:rPr>
        <w:t>综合运用集中采购、社会代储等多种手段，压降存货资金占用</w:t>
      </w:r>
      <w:r>
        <w:t>10%，采购降本2亿元以上。</w:t>
      </w:r>
      <w:r>
        <w:rPr>
          <w:rFonts w:hint="eastAsia"/>
          <w:b/>
          <w:bCs/>
        </w:rPr>
        <w:t>提升资产质量。</w:t>
      </w:r>
      <w:r>
        <w:rPr>
          <w:rFonts w:hint="eastAsia"/>
        </w:rPr>
        <w:t>一企一策制定增盈提质方案，煤炭板块优化产品结构、区域结构和用户结构，提升精煤产品占比；化工板块强化延链、补链、强链，大力推进技术改造升级，拓展“一头多线”柔性生产；动态优化人力资源配置，力争全员劳动生产率保持行业先进水平；加大商业模式创新，最大限度增加现金流入。</w:t>
      </w:r>
    </w:p>
    <w:p>
      <w:pPr>
        <w:ind w:firstLine="560"/>
      </w:pPr>
      <w:r>
        <w:rPr>
          <w:rFonts w:hint="eastAsia"/>
        </w:rPr>
        <w:t>2024年本集团商品煤产量计划约</w:t>
      </w:r>
      <w:r>
        <w:t>1.4</w:t>
      </w:r>
      <w:r>
        <w:rPr>
          <w:rFonts w:hint="eastAsia"/>
        </w:rPr>
        <w:t>亿吨，煤化工业务产量计划约8</w:t>
      </w:r>
      <w:r>
        <w:t>00</w:t>
      </w:r>
      <w:r>
        <w:rPr>
          <w:rFonts w:hint="eastAsia"/>
        </w:rPr>
        <w:t>万吨；资本开支计划约</w:t>
      </w:r>
      <w:r>
        <w:t>197</w:t>
      </w:r>
      <w:r>
        <w:rPr>
          <w:rFonts w:hint="eastAsia"/>
        </w:rPr>
        <w:t>亿元，其中维持简单再生产1</w:t>
      </w:r>
      <w:r>
        <w:t>02</w:t>
      </w:r>
      <w:r>
        <w:rPr>
          <w:rFonts w:hint="eastAsia"/>
        </w:rPr>
        <w:t>亿元，煤炭矿井基建4</w:t>
      </w:r>
      <w:r>
        <w:t>8</w:t>
      </w:r>
      <w:r>
        <w:rPr>
          <w:rFonts w:hint="eastAsia"/>
        </w:rPr>
        <w:t>亿元、化工项目基建1</w:t>
      </w:r>
      <w:r>
        <w:t>8</w:t>
      </w:r>
      <w:r>
        <w:rPr>
          <w:rFonts w:hint="eastAsia"/>
        </w:rPr>
        <w:t>亿元。在满足生产经营、投资并购现金流支出情况下，积极推进降杠杆、减负债；力争资产负债率控制在</w:t>
      </w:r>
      <w:r>
        <w:t>65%以下。</w:t>
      </w:r>
    </w:p>
    <w:p>
      <w:pPr>
        <w:autoSpaceDE w:val="0"/>
        <w:autoSpaceDN w:val="0"/>
        <w:adjustRightInd w:val="0"/>
        <w:spacing w:line="560" w:lineRule="exact"/>
        <w:ind w:firstLine="562"/>
        <w:jc w:val="left"/>
        <w:outlineLvl w:val="0"/>
        <w:rPr>
          <w:b/>
        </w:rPr>
      </w:pPr>
      <w:r>
        <w:rPr>
          <w:rFonts w:hint="eastAsia"/>
          <w:b/>
        </w:rPr>
        <w:t>三、规范治理，完善兖矿特色公司治理体系</w:t>
      </w:r>
    </w:p>
    <w:p>
      <w:pPr>
        <w:ind w:firstLine="560"/>
      </w:pPr>
      <w:r>
        <w:rPr>
          <w:rFonts w:hint="eastAsia"/>
        </w:rPr>
        <w:t>兖矿能源深化落实国企改革部署，吸纳融汇上市地公司治理要求，遵照中国特色现代企业制度打造出“党的领导与公司治理深度统一、国资监管与上市规范有机融合、境内治理与境外管控协同并举”的兖矿特色公司治理体系，推动企业实现规范高效发展。</w:t>
      </w:r>
    </w:p>
    <w:p>
      <w:pPr>
        <w:ind w:firstLine="560"/>
      </w:pPr>
      <w:r>
        <w:rPr>
          <w:rFonts w:hint="eastAsia"/>
        </w:rPr>
        <w:t>2023年，公司根据自身情况主动完善法人治理结构，根据最新法律法规和监管规则制定并修订完善《公司章程》等14项基本治理制度；完善独立董事相关制度，强化任职管理和履职支撑，充分发挥其参与决策、监督制衡、专业咨询的作用；完成《公司章程》党建内容修订，重点管控企业全面完成“党建入章”，实现党的领导与公司治理深度统一；坚持上市监管与国资监管“两条线”并重，构建高效稳定的二级公司管控模式，实现国资监管与上市规范有机融合；将国资监管嵌入境外公司治理各流程、融入管理各环节，实现境内治理与境外管控协同并举。</w:t>
      </w:r>
    </w:p>
    <w:p>
      <w:pPr>
        <w:ind w:firstLine="560"/>
      </w:pPr>
      <w:r>
        <w:rPr>
          <w:rFonts w:hint="eastAsia"/>
        </w:rPr>
        <w:t>2024年，公司将巩固完善兖矿特色公司治理体系，确保公司规范高效运行。</w:t>
      </w:r>
      <w:r>
        <w:rPr>
          <w:rFonts w:hint="eastAsia"/>
          <w:b/>
          <w:bCs/>
        </w:rPr>
        <w:t>一是持续强化“董事会建设”</w:t>
      </w:r>
      <w:r>
        <w:rPr>
          <w:rFonts w:hint="eastAsia"/>
        </w:rPr>
        <w:t>。确保董事会及各专门委员会规范透明、议事充分、效率提高。子公司在董事会应建尽建的基础上，完善董事会及董事履职评价、激励约束和责任追究机制，建立健全配套制度，实现各级企业董事会做优做实、功能强化。</w:t>
      </w:r>
      <w:r>
        <w:rPr>
          <w:rFonts w:hint="eastAsia"/>
          <w:b/>
          <w:bCs/>
        </w:rPr>
        <w:t>二是做好“附属公司管控”。</w:t>
      </w:r>
      <w:r>
        <w:rPr>
          <w:rFonts w:hint="eastAsia"/>
        </w:rPr>
        <w:t>加强控股、参股企业管理，结合产业板块优化调整实际，强化参控股权属企业《公司章程》约束，统筹做好治理制度的立改废释；修订完善专职产权代表相关制度，维护公司作为投资人的相关权利，防范化解权属单位管理运营风险。</w:t>
      </w:r>
    </w:p>
    <w:p>
      <w:pPr>
        <w:autoSpaceDE w:val="0"/>
        <w:autoSpaceDN w:val="0"/>
        <w:adjustRightInd w:val="0"/>
        <w:spacing w:line="560" w:lineRule="exact"/>
        <w:ind w:firstLine="562"/>
        <w:jc w:val="left"/>
        <w:outlineLvl w:val="0"/>
        <w:rPr>
          <w:b/>
        </w:rPr>
      </w:pPr>
      <w:r>
        <w:rPr>
          <w:rFonts w:hint="eastAsia"/>
          <w:b/>
        </w:rPr>
        <w:t>四、践行ESG理念，建设可持续发展清洁能源示范企业</w:t>
      </w:r>
    </w:p>
    <w:p>
      <w:pPr>
        <w:ind w:firstLine="560"/>
      </w:pPr>
      <w:r>
        <w:rPr>
          <w:rFonts w:hint="eastAsia"/>
        </w:rPr>
        <w:t>公司秉持“绿色低碳、合规透明、可持续发展”的</w:t>
      </w:r>
      <w:r>
        <w:t>ESG战略方针，将ESG理念全方位融入企业治理各领域，覆盖生产经营全过程</w:t>
      </w:r>
      <w:r>
        <w:rPr>
          <w:rFonts w:hint="eastAsia"/>
        </w:rPr>
        <w:t>，聚力打造先进“ESG治理体系”，成为全国第一家获得ESG管理体系认证的企业。</w:t>
      </w:r>
      <w:r>
        <w:t>连续16年披露ESG报告，在CDP国际碳披露计划中位列国内同行业第一名。</w:t>
      </w:r>
    </w:p>
    <w:p>
      <w:pPr>
        <w:ind w:firstLine="560"/>
      </w:pPr>
      <w:r>
        <w:rPr>
          <w:rFonts w:hint="eastAsia"/>
        </w:rPr>
        <w:t>2024年，公司将致力于绿色低碳、转型突破实现新跨越。</w:t>
      </w:r>
      <w:r>
        <w:rPr>
          <w:rFonts w:hint="eastAsia"/>
          <w:b/>
          <w:bCs/>
        </w:rPr>
        <w:t>一是全面落实绿色治理理念，</w:t>
      </w:r>
      <w:r>
        <w:rPr>
          <w:rFonts w:hint="eastAsia"/>
        </w:rPr>
        <w:t>聚焦“双碳”目标，加快环保重点项目建设，将绿色转型融入生产经营全过程，建设绿色矿山、绿色工厂、绿色园区，提升绿色能源占比。</w:t>
      </w:r>
      <w:r>
        <w:rPr>
          <w:rFonts w:hint="eastAsia"/>
          <w:b/>
          <w:bCs/>
        </w:rPr>
        <w:t>二是切实践行社会责任，</w:t>
      </w:r>
      <w:r>
        <w:rPr>
          <w:rFonts w:hint="eastAsia"/>
        </w:rPr>
        <w:t>履行增储保供、乡村振兴、社区关怀义务，为经济社会发展创造价值、贡献力量。</w:t>
      </w:r>
      <w:r>
        <w:rPr>
          <w:rFonts w:hint="eastAsia"/>
          <w:b/>
          <w:bCs/>
        </w:rPr>
        <w:t>三是争取评级提级进位，</w:t>
      </w:r>
      <w:r>
        <w:rPr>
          <w:rFonts w:hint="eastAsia"/>
        </w:rPr>
        <w:t>参照国际主流</w:t>
      </w:r>
      <w:r>
        <w:t>ESG评级</w:t>
      </w:r>
      <w:r>
        <w:rPr>
          <w:rFonts w:hint="eastAsia"/>
        </w:rPr>
        <w:t>要求，建立健全</w:t>
      </w:r>
      <w:r>
        <w:t>ESG管理体系和工作机制，持续加强ESG信息披露工作，提升资本市场对公司可持续发展价值认同，优化公司ESG形象。</w:t>
      </w:r>
    </w:p>
    <w:p>
      <w:pPr>
        <w:autoSpaceDE w:val="0"/>
        <w:autoSpaceDN w:val="0"/>
        <w:adjustRightInd w:val="0"/>
        <w:spacing w:line="560" w:lineRule="exact"/>
        <w:ind w:firstLine="562"/>
        <w:jc w:val="left"/>
        <w:outlineLvl w:val="0"/>
        <w:rPr>
          <w:b/>
        </w:rPr>
      </w:pPr>
      <w:r>
        <w:rPr>
          <w:rFonts w:hint="eastAsia"/>
          <w:b/>
        </w:rPr>
        <w:t>五、传递价值，建立以投资者需求为导向的投关管理体系</w:t>
      </w:r>
    </w:p>
    <w:p>
      <w:pPr>
        <w:ind w:firstLine="560"/>
      </w:pPr>
      <w:r>
        <w:rPr>
          <w:rFonts w:hint="eastAsia"/>
        </w:rPr>
        <w:t>公司坚持“从严不从宽、从多不从少、就高不就低”原则，严格履行上市地法定信息披露义务，2023年在境内外发布公告450余份，获得上海证券交易所信息披露A级评价。主动搭建多渠道沟通、多维度披露交流平台，2023年举办16场路演及反路演、3次业绩发布会、129场电话会，全年对接投资者3200余人次，保持与资本市场紧密沟通、良性互动。积极组织业绩路演，公司董事长、总经理带队与全球投资者“一对一”“一对多”沟通交流，拉近投资者距离，让投资者走得近、看得清、有信心。</w:t>
      </w:r>
    </w:p>
    <w:p>
      <w:pPr>
        <w:ind w:firstLine="560"/>
      </w:pPr>
      <w:r>
        <w:rPr>
          <w:rFonts w:hint="eastAsia"/>
        </w:rPr>
        <w:t>2024年，公司将继续秉承进取型投资者关系管理模式，继续维护与资本市场多频次、多样化的沟通渠道，与投资者保持良性互动。</w:t>
      </w:r>
      <w:r>
        <w:rPr>
          <w:rFonts w:hint="eastAsia"/>
          <w:b/>
          <w:bCs/>
        </w:rPr>
        <w:t>一是丰富自愿性披露内容，</w:t>
      </w:r>
      <w:r>
        <w:rPr>
          <w:rFonts w:hint="eastAsia"/>
        </w:rPr>
        <w:t>坚持以投资者需求为导向，主动披露战略发展及推进情况、业务模式等经营信息，为投资者价值判断和投资决策提供详实依据。</w:t>
      </w:r>
      <w:r>
        <w:rPr>
          <w:rFonts w:hint="eastAsia"/>
          <w:b/>
          <w:bCs/>
        </w:rPr>
        <w:t>二是定期举办反路演活动，</w:t>
      </w:r>
      <w:r>
        <w:rPr>
          <w:rFonts w:hint="eastAsia"/>
        </w:rPr>
        <w:t>对于资本市场重点关注的战略规划进展、核心资产业绩表现，通过组织反路演的方式增强“曝光度”，让投资者深入了解公司</w:t>
      </w:r>
      <w:r>
        <w:t>资产的核心价值、管理水平及发展前景。</w:t>
      </w:r>
      <w:r>
        <w:rPr>
          <w:rFonts w:hint="eastAsia"/>
          <w:b/>
          <w:bCs/>
        </w:rPr>
        <w:t>三是继续推进数字投关建设，</w:t>
      </w:r>
      <w:r>
        <w:rPr>
          <w:rFonts w:hint="eastAsia"/>
        </w:rPr>
        <w:t>采用一张图、小视频等方式解读财务报告，直观向市场展现业绩亮点；通过微信、视频号、新媒体等渠道全方位立体式发布公司动态，加深投资者对公司认知度。</w:t>
      </w:r>
    </w:p>
    <w:p>
      <w:pPr>
        <w:autoSpaceDE w:val="0"/>
        <w:autoSpaceDN w:val="0"/>
        <w:adjustRightInd w:val="0"/>
        <w:spacing w:line="560" w:lineRule="exact"/>
        <w:ind w:firstLine="562"/>
        <w:jc w:val="left"/>
        <w:outlineLvl w:val="0"/>
        <w:rPr>
          <w:b/>
        </w:rPr>
      </w:pPr>
      <w:r>
        <w:rPr>
          <w:rFonts w:hint="eastAsia"/>
          <w:b/>
        </w:rPr>
        <w:t>六、回报股东，与投资者共享发展成果</w:t>
      </w:r>
    </w:p>
    <w:p>
      <w:pPr>
        <w:ind w:firstLine="560"/>
      </w:pPr>
      <w:r>
        <w:rPr>
          <w:rFonts w:hint="eastAsia"/>
        </w:rPr>
        <w:t>兖矿能源高度重视股东回报，长期践行“发展成果与投资者共享”的理念。公司上市以来宣派现金分红</w:t>
      </w:r>
      <w:r>
        <w:t>28</w:t>
      </w:r>
      <w:r>
        <w:rPr>
          <w:rFonts w:hint="eastAsia"/>
        </w:rPr>
        <w:t>次（含</w:t>
      </w:r>
      <w:r>
        <w:t>2023年年度股息），累计773</w:t>
      </w:r>
      <w:r>
        <w:rPr>
          <w:rFonts w:hint="eastAsia"/>
        </w:rPr>
        <w:t>亿元。现行2023-2025年度利润分配政策为：现金股利总额以中国会计准则和国际财务报告准则财务报表税后利润数较少者为准，应占公司该年度扣除法定储备后净利润的约百分之六十，且每股现金股利不低于人民币</w:t>
      </w:r>
      <w:r>
        <w:t>0.5元。</w:t>
      </w:r>
      <w:r>
        <w:rPr>
          <w:rFonts w:hint="eastAsia"/>
        </w:rPr>
        <w:t>连续4年派发特别股息，股利支付率保持</w:t>
      </w:r>
      <w:r>
        <w:t>60%-70%</w:t>
      </w:r>
      <w:r>
        <w:rPr>
          <w:rFonts w:hint="eastAsia"/>
        </w:rPr>
        <w:t>。公司积极响应监管政策要求，通过修改《公司章程》，完善中期分红派发机制，为后续实施提供程序保障。</w:t>
      </w:r>
    </w:p>
    <w:p>
      <w:pPr>
        <w:ind w:firstLine="560"/>
        <w:rPr>
          <w:rFonts w:ascii="仿宋" w:hAnsi="仿宋" w:eastAsia="仿宋" w:cs="仿宋"/>
          <w:color w:val="000000"/>
          <w:sz w:val="32"/>
          <w:szCs w:val="32"/>
        </w:rPr>
      </w:pPr>
      <w:r>
        <w:rPr>
          <w:rFonts w:hint="eastAsia"/>
        </w:rPr>
        <w:t>2024年，公司将继续兼顾公司发展、业绩增长与股东回报，坚持利润分配政策的长期性、连续性、稳定性，将公司发展成果与投资者共享。</w:t>
      </w:r>
    </w:p>
    <w:bookmarkEnd w:id="0"/>
    <w:p>
      <w:pPr>
        <w:ind w:firstLine="560"/>
      </w:pPr>
      <w:r>
        <w:t>除以上具体举措外，公司将继续加强“提质增效重回报”的其他工作，</w:t>
      </w:r>
      <w:r>
        <w:rPr>
          <w:rFonts w:hint="eastAsia"/>
        </w:rPr>
        <w:t>聚焦发展新质生产力和绿色低碳转型，深化精益管理，以优异成绩为股东及利益相关方创造更多价值和回报。</w:t>
      </w:r>
    </w:p>
    <w:p>
      <w:pPr>
        <w:ind w:firstLine="560"/>
      </w:pPr>
      <w:r>
        <w:rPr>
          <w:rFonts w:hint="eastAsia"/>
        </w:rPr>
        <w:t>本公告所涉及的战略规划、年度计划等前瞻性陈述，不构成公司对投资者的承诺，敬请投资者注意相关风险。</w:t>
      </w:r>
    </w:p>
    <w:p>
      <w:pPr>
        <w:ind w:firstLine="560"/>
      </w:pPr>
    </w:p>
    <w:p>
      <w:pPr>
        <w:spacing w:line="560" w:lineRule="exact"/>
        <w:ind w:firstLine="560"/>
      </w:pPr>
      <w:r>
        <w:rPr>
          <w:rFonts w:hint="eastAsia"/>
        </w:rPr>
        <w:t>特此公告。</w:t>
      </w:r>
    </w:p>
    <w:p>
      <w:pPr>
        <w:spacing w:line="560" w:lineRule="exact"/>
        <w:ind w:firstLine="5460" w:firstLineChars="1950"/>
      </w:pPr>
    </w:p>
    <w:p>
      <w:pPr>
        <w:spacing w:line="560" w:lineRule="exact"/>
        <w:ind w:firstLine="5460" w:firstLineChars="1950"/>
      </w:pPr>
    </w:p>
    <w:p>
      <w:pPr>
        <w:spacing w:line="560" w:lineRule="exact"/>
        <w:ind w:firstLine="4760" w:firstLineChars="1700"/>
      </w:pPr>
      <w:r>
        <w:rPr>
          <w:rFonts w:hint="eastAsia"/>
        </w:rPr>
        <w:t>兖矿能源集团股份有限公司</w:t>
      </w:r>
    </w:p>
    <w:p>
      <w:pPr>
        <w:spacing w:line="560" w:lineRule="exact"/>
        <w:ind w:firstLine="5600" w:firstLineChars="2000"/>
      </w:pPr>
      <w:r>
        <w:t>2024年</w:t>
      </w:r>
      <w:r>
        <w:rPr>
          <w:rFonts w:hint="eastAsia"/>
        </w:rPr>
        <w:t>6</w:t>
      </w:r>
      <w:r>
        <w:t>月</w:t>
      </w:r>
      <w:r>
        <w:rPr>
          <w:rFonts w:hint="eastAsia"/>
        </w:rPr>
        <w:t>21</w:t>
      </w:r>
      <w:r>
        <w:t>日</w:t>
      </w:r>
    </w:p>
    <w:p>
      <w:pPr>
        <w:ind w:firstLine="56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355817"/>
      <w:docPartObj>
        <w:docPartGallery w:val="AutoText"/>
      </w:docPartObj>
    </w:sdtPr>
    <w:sdtContent>
      <w:p>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kYjY4NWZjNGUwOWY3OTRkMDNlZjYzMDMxMGNmNTUifQ=="/>
  </w:docVars>
  <w:rsids>
    <w:rsidRoot w:val="00CF6733"/>
    <w:rsid w:val="000018F8"/>
    <w:rsid w:val="000175EB"/>
    <w:rsid w:val="000232EB"/>
    <w:rsid w:val="00024689"/>
    <w:rsid w:val="00035C01"/>
    <w:rsid w:val="00050FA5"/>
    <w:rsid w:val="000D0046"/>
    <w:rsid w:val="000D6F62"/>
    <w:rsid w:val="000F0ECE"/>
    <w:rsid w:val="000F420D"/>
    <w:rsid w:val="001170FF"/>
    <w:rsid w:val="00117E25"/>
    <w:rsid w:val="00135702"/>
    <w:rsid w:val="00175B23"/>
    <w:rsid w:val="001C2813"/>
    <w:rsid w:val="001D02F7"/>
    <w:rsid w:val="001D7C55"/>
    <w:rsid w:val="001F0EAA"/>
    <w:rsid w:val="001F1729"/>
    <w:rsid w:val="001F48B6"/>
    <w:rsid w:val="001F70C4"/>
    <w:rsid w:val="0021668F"/>
    <w:rsid w:val="00233313"/>
    <w:rsid w:val="0024145D"/>
    <w:rsid w:val="00286F0D"/>
    <w:rsid w:val="002C61F5"/>
    <w:rsid w:val="002F6C0C"/>
    <w:rsid w:val="00300303"/>
    <w:rsid w:val="00310FCA"/>
    <w:rsid w:val="00315270"/>
    <w:rsid w:val="00345EC9"/>
    <w:rsid w:val="00390119"/>
    <w:rsid w:val="00392C08"/>
    <w:rsid w:val="003A2D37"/>
    <w:rsid w:val="003C5448"/>
    <w:rsid w:val="003E3D1D"/>
    <w:rsid w:val="003E6911"/>
    <w:rsid w:val="003E6FA1"/>
    <w:rsid w:val="00434D8C"/>
    <w:rsid w:val="00456E46"/>
    <w:rsid w:val="00462318"/>
    <w:rsid w:val="00466355"/>
    <w:rsid w:val="00495689"/>
    <w:rsid w:val="004C00DD"/>
    <w:rsid w:val="004C756A"/>
    <w:rsid w:val="004D213A"/>
    <w:rsid w:val="004D348E"/>
    <w:rsid w:val="004D79C7"/>
    <w:rsid w:val="004E6B46"/>
    <w:rsid w:val="00512E33"/>
    <w:rsid w:val="00521C1E"/>
    <w:rsid w:val="00525917"/>
    <w:rsid w:val="00541BBE"/>
    <w:rsid w:val="00570DFB"/>
    <w:rsid w:val="00573F0C"/>
    <w:rsid w:val="00576495"/>
    <w:rsid w:val="005B2617"/>
    <w:rsid w:val="005B4396"/>
    <w:rsid w:val="005B5256"/>
    <w:rsid w:val="005C42F7"/>
    <w:rsid w:val="005D07FA"/>
    <w:rsid w:val="005D725C"/>
    <w:rsid w:val="005E475D"/>
    <w:rsid w:val="005F0041"/>
    <w:rsid w:val="005F0595"/>
    <w:rsid w:val="005F3B77"/>
    <w:rsid w:val="00660883"/>
    <w:rsid w:val="00684357"/>
    <w:rsid w:val="006A1EF1"/>
    <w:rsid w:val="006A4570"/>
    <w:rsid w:val="006C0612"/>
    <w:rsid w:val="00711CF1"/>
    <w:rsid w:val="00712CFC"/>
    <w:rsid w:val="00717E7C"/>
    <w:rsid w:val="0074212F"/>
    <w:rsid w:val="00760CA2"/>
    <w:rsid w:val="0079286E"/>
    <w:rsid w:val="007A003D"/>
    <w:rsid w:val="007A7D51"/>
    <w:rsid w:val="007B1935"/>
    <w:rsid w:val="007C46B3"/>
    <w:rsid w:val="007D7F4A"/>
    <w:rsid w:val="007E2286"/>
    <w:rsid w:val="007E4CDB"/>
    <w:rsid w:val="007E5DC7"/>
    <w:rsid w:val="008144C3"/>
    <w:rsid w:val="00816EA8"/>
    <w:rsid w:val="00820AF7"/>
    <w:rsid w:val="00836961"/>
    <w:rsid w:val="00853464"/>
    <w:rsid w:val="00865355"/>
    <w:rsid w:val="00865CA3"/>
    <w:rsid w:val="0088112B"/>
    <w:rsid w:val="00896F4D"/>
    <w:rsid w:val="008F7466"/>
    <w:rsid w:val="0090086C"/>
    <w:rsid w:val="00931EFF"/>
    <w:rsid w:val="009453F6"/>
    <w:rsid w:val="0096794C"/>
    <w:rsid w:val="00A22AC6"/>
    <w:rsid w:val="00A311F7"/>
    <w:rsid w:val="00A404E6"/>
    <w:rsid w:val="00A824E6"/>
    <w:rsid w:val="00A9660A"/>
    <w:rsid w:val="00AA4EA1"/>
    <w:rsid w:val="00AA7E80"/>
    <w:rsid w:val="00AB490D"/>
    <w:rsid w:val="00AB7DC9"/>
    <w:rsid w:val="00AD1655"/>
    <w:rsid w:val="00AD5878"/>
    <w:rsid w:val="00AE1039"/>
    <w:rsid w:val="00B01DB0"/>
    <w:rsid w:val="00B02819"/>
    <w:rsid w:val="00B128C7"/>
    <w:rsid w:val="00B221F3"/>
    <w:rsid w:val="00B36663"/>
    <w:rsid w:val="00B37833"/>
    <w:rsid w:val="00B50C20"/>
    <w:rsid w:val="00B51303"/>
    <w:rsid w:val="00B57A98"/>
    <w:rsid w:val="00B73AD3"/>
    <w:rsid w:val="00BC1FC0"/>
    <w:rsid w:val="00BD0836"/>
    <w:rsid w:val="00BE4AE0"/>
    <w:rsid w:val="00C224FA"/>
    <w:rsid w:val="00C225E6"/>
    <w:rsid w:val="00C22C60"/>
    <w:rsid w:val="00C506D7"/>
    <w:rsid w:val="00C91B90"/>
    <w:rsid w:val="00CB1CEC"/>
    <w:rsid w:val="00CB1F8C"/>
    <w:rsid w:val="00CC7F1C"/>
    <w:rsid w:val="00CF6733"/>
    <w:rsid w:val="00D00009"/>
    <w:rsid w:val="00D070F3"/>
    <w:rsid w:val="00D15ADD"/>
    <w:rsid w:val="00D252BD"/>
    <w:rsid w:val="00D27C4E"/>
    <w:rsid w:val="00D51772"/>
    <w:rsid w:val="00D717EE"/>
    <w:rsid w:val="00D72880"/>
    <w:rsid w:val="00D82706"/>
    <w:rsid w:val="00D845AB"/>
    <w:rsid w:val="00DC6147"/>
    <w:rsid w:val="00DD4043"/>
    <w:rsid w:val="00DE13DA"/>
    <w:rsid w:val="00DF4F77"/>
    <w:rsid w:val="00E25468"/>
    <w:rsid w:val="00E27E05"/>
    <w:rsid w:val="00E35F19"/>
    <w:rsid w:val="00E3754E"/>
    <w:rsid w:val="00E516DC"/>
    <w:rsid w:val="00E64B0E"/>
    <w:rsid w:val="00E66F7C"/>
    <w:rsid w:val="00E91C65"/>
    <w:rsid w:val="00E93D01"/>
    <w:rsid w:val="00ED0EA6"/>
    <w:rsid w:val="00F10372"/>
    <w:rsid w:val="00F10B30"/>
    <w:rsid w:val="00F14EA2"/>
    <w:rsid w:val="00F24D05"/>
    <w:rsid w:val="00F277C8"/>
    <w:rsid w:val="00F36101"/>
    <w:rsid w:val="00F759A3"/>
    <w:rsid w:val="00FA6068"/>
    <w:rsid w:val="00FB24A4"/>
    <w:rsid w:val="00FB79E1"/>
    <w:rsid w:val="00FC6AD7"/>
    <w:rsid w:val="00FC7E65"/>
    <w:rsid w:val="0B8E7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宋体" w:hAnsi="宋体" w:eastAsia="宋体" w:cs="Times New Roman"/>
      <w:kern w:val="2"/>
      <w:sz w:val="28"/>
      <w:szCs w:val="28"/>
      <w:lang w:val="en-US" w:eastAsia="zh-CN" w:bidi="ar-SA"/>
      <w14:ligatures w14:val="none"/>
    </w:rPr>
  </w:style>
  <w:style w:type="paragraph" w:styleId="2">
    <w:name w:val="heading 1"/>
    <w:basedOn w:val="1"/>
    <w:next w:val="1"/>
    <w:link w:val="21"/>
    <w:autoRedefine/>
    <w:qFormat/>
    <w:uiPriority w:val="9"/>
    <w:pPr>
      <w:autoSpaceDE w:val="0"/>
      <w:autoSpaceDN w:val="0"/>
      <w:adjustRightInd w:val="0"/>
      <w:spacing w:line="560" w:lineRule="exact"/>
      <w:ind w:firstLine="562"/>
      <w:jc w:val="left"/>
      <w:outlineLvl w:val="0"/>
    </w:pPr>
    <w:rPr>
      <w:b/>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rPr>
  </w:style>
  <w:style w:type="paragraph" w:styleId="6">
    <w:name w:val="heading 5"/>
    <w:basedOn w:val="1"/>
    <w:next w:val="1"/>
    <w:link w:val="25"/>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autoRedefine/>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pPr>
      <w:jc w:val="left"/>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line="500" w:lineRule="exact"/>
      <w:jc w:val="center"/>
    </w:pPr>
    <w:rPr>
      <w:rFonts w:ascii="黑体" w:hAnsi="Times New Roman" w:eastAsia="黑体"/>
      <w:sz w:val="21"/>
      <w:szCs w:val="20"/>
    </w:rPr>
  </w:style>
  <w:style w:type="paragraph" w:styleId="15">
    <w:name w:val="Normal (Web)"/>
    <w:basedOn w:val="1"/>
    <w:semiHidden/>
    <w:unhideWhenUsed/>
    <w:uiPriority w:val="99"/>
    <w:pPr>
      <w:widowControl/>
      <w:spacing w:before="100" w:beforeAutospacing="1" w:after="100" w:afterAutospacing="1"/>
      <w:ind w:firstLine="0" w:firstLineChars="0"/>
      <w:jc w:val="left"/>
    </w:pPr>
    <w:rPr>
      <w:rFonts w:cs="宋体"/>
      <w:kern w:val="0"/>
      <w:sz w:val="24"/>
      <w:szCs w:val="24"/>
    </w:rPr>
  </w:style>
  <w:style w:type="paragraph" w:styleId="16">
    <w:name w:val="Title"/>
    <w:basedOn w:val="1"/>
    <w:next w:val="1"/>
    <w:link w:val="30"/>
    <w:qFormat/>
    <w:uiPriority w:val="10"/>
    <w:pPr>
      <w:spacing w:line="560" w:lineRule="exact"/>
      <w:jc w:val="center"/>
    </w:pPr>
    <w:rPr>
      <w:rFonts w:ascii="黑体" w:eastAsia="黑体"/>
      <w:b/>
      <w:bCs/>
      <w:color w:val="FF0000"/>
      <w:sz w:val="36"/>
      <w:szCs w:val="36"/>
    </w:rPr>
  </w:style>
  <w:style w:type="paragraph" w:styleId="17">
    <w:name w:val="annotation subject"/>
    <w:basedOn w:val="11"/>
    <w:next w:val="11"/>
    <w:link w:val="43"/>
    <w:semiHidden/>
    <w:unhideWhenUsed/>
    <w:uiPriority w:val="99"/>
    <w:rPr>
      <w:b/>
      <w:bCs/>
    </w:rPr>
  </w:style>
  <w:style w:type="character" w:styleId="20">
    <w:name w:val="annotation reference"/>
    <w:basedOn w:val="19"/>
    <w:semiHidden/>
    <w:unhideWhenUsed/>
    <w:uiPriority w:val="99"/>
    <w:rPr>
      <w:sz w:val="21"/>
      <w:szCs w:val="21"/>
    </w:rPr>
  </w:style>
  <w:style w:type="character" w:customStyle="1" w:styleId="21">
    <w:name w:val="标题 1 字符"/>
    <w:basedOn w:val="19"/>
    <w:link w:val="2"/>
    <w:autoRedefine/>
    <w:uiPriority w:val="9"/>
    <w:rPr>
      <w:rFonts w:ascii="宋体" w:hAnsi="宋体" w:eastAsia="宋体" w:cs="Times New Roman"/>
      <w:b/>
      <w:sz w:val="28"/>
      <w:szCs w:val="28"/>
      <w14:ligatures w14:val="none"/>
    </w:rPr>
  </w:style>
  <w:style w:type="character" w:customStyle="1" w:styleId="22">
    <w:name w:val="标题 2 字符"/>
    <w:basedOn w:val="19"/>
    <w:link w:val="3"/>
    <w:semiHidden/>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uiPriority w:val="9"/>
    <w:rPr>
      <w:rFonts w:cstheme="majorBidi"/>
      <w:color w:val="104862" w:themeColor="accent1" w:themeShade="BF"/>
      <w:sz w:val="28"/>
      <w:szCs w:val="28"/>
    </w:rPr>
  </w:style>
  <w:style w:type="character" w:customStyle="1" w:styleId="25">
    <w:name w:val="标题 5 字符"/>
    <w:basedOn w:val="19"/>
    <w:link w:val="6"/>
    <w:semiHidden/>
    <w:uiPriority w:val="9"/>
    <w:rPr>
      <w:rFonts w:cstheme="majorBidi"/>
      <w:color w:val="104862" w:themeColor="accent1" w:themeShade="BF"/>
      <w:sz w:val="24"/>
      <w:szCs w:val="24"/>
    </w:rPr>
  </w:style>
  <w:style w:type="character" w:customStyle="1" w:styleId="26">
    <w:name w:val="标题 6 字符"/>
    <w:basedOn w:val="19"/>
    <w:link w:val="7"/>
    <w:semiHidden/>
    <w:uiPriority w:val="9"/>
    <w:rPr>
      <w:rFonts w:cstheme="majorBidi"/>
      <w:b/>
      <w:bCs/>
      <w:color w:val="104862" w:themeColor="accent1" w:themeShade="BF"/>
    </w:rPr>
  </w:style>
  <w:style w:type="character" w:customStyle="1" w:styleId="27">
    <w:name w:val="标题 7 字符"/>
    <w:basedOn w:val="19"/>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uiPriority w:val="10"/>
    <w:rPr>
      <w:rFonts w:ascii="黑体" w:hAnsi="Times New Roman" w:eastAsia="黑体" w:cs="Times New Roman"/>
      <w:b/>
      <w:bCs/>
      <w:color w:val="FF0000"/>
      <w:sz w:val="36"/>
      <w:szCs w:val="36"/>
      <w14:ligatures w14:val="none"/>
    </w:rPr>
  </w:style>
  <w:style w:type="character" w:customStyle="1" w:styleId="31">
    <w:name w:val="副标题 字符"/>
    <w:basedOn w:val="19"/>
    <w:link w:val="14"/>
    <w:autoRedefine/>
    <w:qFormat/>
    <w:uiPriority w:val="11"/>
    <w:rPr>
      <w:rFonts w:ascii="黑体" w:hAnsi="Times New Roman" w:eastAsia="黑体" w:cs="Times New Roman"/>
      <w:szCs w:val="20"/>
      <w14:ligatures w14:val="none"/>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uiPriority w:val="30"/>
    <w:rPr>
      <w:i/>
      <w:iCs/>
      <w:color w:val="104862" w:themeColor="accent1" w:themeShade="BF"/>
    </w:rPr>
  </w:style>
  <w:style w:type="character" w:customStyle="1" w:styleId="38">
    <w:name w:val="Intense Reference"/>
    <w:basedOn w:val="19"/>
    <w:qFormat/>
    <w:uiPriority w:val="32"/>
    <w:rPr>
      <w:b/>
      <w:bCs/>
      <w:smallCaps/>
      <w:color w:val="104862" w:themeColor="accent1" w:themeShade="BF"/>
      <w:spacing w:val="5"/>
    </w:rPr>
  </w:style>
  <w:style w:type="character" w:customStyle="1" w:styleId="39">
    <w:name w:val="页眉 字符"/>
    <w:basedOn w:val="19"/>
    <w:link w:val="13"/>
    <w:uiPriority w:val="99"/>
    <w:rPr>
      <w:rFonts w:ascii="宋体" w:hAnsi="宋体" w:eastAsia="宋体" w:cs="Times New Roman"/>
      <w:sz w:val="18"/>
      <w:szCs w:val="18"/>
      <w14:ligatures w14:val="none"/>
    </w:rPr>
  </w:style>
  <w:style w:type="character" w:customStyle="1" w:styleId="40">
    <w:name w:val="页脚 字符"/>
    <w:basedOn w:val="19"/>
    <w:link w:val="12"/>
    <w:uiPriority w:val="99"/>
    <w:rPr>
      <w:rFonts w:ascii="宋体" w:hAnsi="宋体" w:eastAsia="宋体" w:cs="Times New Roman"/>
      <w:sz w:val="18"/>
      <w:szCs w:val="18"/>
      <w14:ligatures w14:val="none"/>
    </w:rPr>
  </w:style>
  <w:style w:type="paragraph" w:customStyle="1" w:styleId="41">
    <w:name w:val="Revision"/>
    <w:hidden/>
    <w:semiHidden/>
    <w:uiPriority w:val="99"/>
    <w:rPr>
      <w:rFonts w:ascii="宋体" w:hAnsi="宋体" w:eastAsia="宋体" w:cs="Times New Roman"/>
      <w:kern w:val="2"/>
      <w:sz w:val="28"/>
      <w:szCs w:val="28"/>
      <w:lang w:val="en-US" w:eastAsia="zh-CN" w:bidi="ar-SA"/>
      <w14:ligatures w14:val="none"/>
    </w:rPr>
  </w:style>
  <w:style w:type="character" w:customStyle="1" w:styleId="42">
    <w:name w:val="批注文字 字符"/>
    <w:basedOn w:val="19"/>
    <w:link w:val="11"/>
    <w:semiHidden/>
    <w:uiPriority w:val="99"/>
    <w:rPr>
      <w:rFonts w:ascii="宋体" w:hAnsi="宋体" w:eastAsia="宋体" w:cs="Times New Roman"/>
      <w:sz w:val="28"/>
      <w:szCs w:val="28"/>
      <w14:ligatures w14:val="none"/>
    </w:rPr>
  </w:style>
  <w:style w:type="character" w:customStyle="1" w:styleId="43">
    <w:name w:val="批注主题 字符"/>
    <w:basedOn w:val="42"/>
    <w:link w:val="17"/>
    <w:semiHidden/>
    <w:uiPriority w:val="99"/>
    <w:rPr>
      <w:rFonts w:ascii="宋体" w:hAnsi="宋体" w:eastAsia="宋体" w:cs="Times New Roman"/>
      <w:b/>
      <w:bCs/>
      <w:sz w:val="28"/>
      <w:szCs w:val="28"/>
      <w14:ligatures w14:val="none"/>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