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560" w:lineRule="exact"/>
        <w:rPr>
          <w:rFonts w:hint="default" w:ascii="黑体" w:hAnsi="黑体" w:eastAsia="黑体" w:cs="黑体"/>
          <w:szCs w:val="21"/>
          <w:lang w:val="en-US" w:eastAsia="zh-CN"/>
        </w:rPr>
      </w:pPr>
      <w:bookmarkStart w:id="0" w:name="_Hlk163918901"/>
      <w:r>
        <w:rPr>
          <w:rFonts w:hint="eastAsia" w:ascii="黑体" w:hAnsi="黑体" w:eastAsia="黑体" w:cs="黑体"/>
          <w:szCs w:val="21"/>
        </w:rPr>
        <w:t>股票代码：</w:t>
      </w:r>
      <w:r>
        <w:rPr>
          <w:rFonts w:ascii="黑体" w:hAnsi="黑体" w:eastAsia="黑体" w:cs="黑体"/>
          <w:szCs w:val="21"/>
        </w:rPr>
        <w:t xml:space="preserve">600188  </w:t>
      </w:r>
      <w:r>
        <w:rPr>
          <w:rFonts w:hint="eastAsia" w:ascii="黑体" w:hAnsi="黑体" w:eastAsia="黑体" w:cs="黑体"/>
          <w:szCs w:val="21"/>
        </w:rPr>
        <w:t xml:space="preserve">              股票简称：兖矿能源</w:t>
      </w:r>
      <w:r>
        <w:rPr>
          <w:rFonts w:ascii="黑体" w:hAnsi="黑体" w:eastAsia="黑体" w:cs="黑体"/>
          <w:szCs w:val="21"/>
        </w:rPr>
        <w:t xml:space="preserve"> </w:t>
      </w:r>
      <w:r>
        <w:rPr>
          <w:rFonts w:hint="eastAsia" w:ascii="黑体" w:hAnsi="黑体" w:eastAsia="黑体" w:cs="黑体"/>
          <w:szCs w:val="21"/>
        </w:rPr>
        <w:t xml:space="preserve">       </w:t>
      </w:r>
      <w:r>
        <w:rPr>
          <w:rFonts w:ascii="黑体" w:hAnsi="黑体" w:eastAsia="黑体" w:cs="黑体"/>
          <w:szCs w:val="21"/>
        </w:rPr>
        <w:t xml:space="preserve"> </w:t>
      </w:r>
      <w:r>
        <w:rPr>
          <w:rFonts w:hint="eastAsia" w:ascii="黑体" w:hAnsi="黑体" w:eastAsia="黑体" w:cs="黑体"/>
          <w:szCs w:val="21"/>
        </w:rPr>
        <w:t>公告编号：</w:t>
      </w:r>
      <w:bookmarkEnd w:id="0"/>
      <w:r>
        <w:rPr>
          <w:rFonts w:ascii="黑体" w:hAnsi="黑体" w:eastAsia="黑体" w:cs="黑体"/>
          <w:szCs w:val="21"/>
        </w:rPr>
        <w:t>2024-0</w:t>
      </w:r>
      <w:r>
        <w:rPr>
          <w:rFonts w:hint="eastAsia" w:ascii="黑体" w:hAnsi="黑体" w:eastAsia="黑体" w:cs="黑体"/>
          <w:szCs w:val="21"/>
          <w:lang w:val="en-US" w:eastAsia="zh-CN"/>
        </w:rPr>
        <w:t>35</w:t>
      </w:r>
    </w:p>
    <w:p>
      <w:pPr>
        <w:adjustRightInd w:val="0"/>
        <w:snapToGrid w:val="0"/>
        <w:spacing w:line="560" w:lineRule="exact"/>
        <w:ind w:firstLine="600" w:firstLineChars="200"/>
        <w:jc w:val="center"/>
        <w:rPr>
          <w:rFonts w:ascii="仿宋_GB2312" w:hAnsi="宋体" w:eastAsia="仿宋_GB2312"/>
          <w:color w:val="000000"/>
          <w:sz w:val="30"/>
          <w:szCs w:val="30"/>
        </w:rPr>
      </w:pPr>
    </w:p>
    <w:p>
      <w:pPr>
        <w:adjustRightInd w:val="0"/>
        <w:snapToGrid w:val="0"/>
        <w:spacing w:line="520" w:lineRule="exact"/>
        <w:jc w:val="center"/>
        <w:rPr>
          <w:rFonts w:ascii="黑体" w:hAnsi="黑体" w:eastAsia="黑体" w:cs="黑体"/>
          <w:b/>
          <w:bCs/>
          <w:color w:val="FF0000"/>
          <w:sz w:val="36"/>
          <w:szCs w:val="36"/>
        </w:rPr>
      </w:pPr>
      <w:r>
        <w:rPr>
          <w:rFonts w:hint="eastAsia" w:ascii="黑体" w:hAnsi="黑体" w:eastAsia="黑体" w:cs="黑体"/>
          <w:b/>
          <w:bCs/>
          <w:color w:val="FF0000"/>
          <w:sz w:val="36"/>
          <w:szCs w:val="36"/>
        </w:rPr>
        <w:t>兖矿能源集团股份有限公司</w:t>
      </w:r>
    </w:p>
    <w:p>
      <w:pPr>
        <w:adjustRightInd w:val="0"/>
        <w:snapToGrid w:val="0"/>
        <w:spacing w:line="520" w:lineRule="exact"/>
        <w:jc w:val="center"/>
        <w:rPr>
          <w:rFonts w:ascii="黑体" w:hAnsi="黑体" w:eastAsia="黑体" w:cs="黑体"/>
          <w:b/>
          <w:bCs/>
          <w:color w:val="FF0000"/>
          <w:sz w:val="36"/>
          <w:szCs w:val="36"/>
        </w:rPr>
      </w:pPr>
      <w:bookmarkStart w:id="1" w:name="_Hlk163918736"/>
      <w:r>
        <w:rPr>
          <w:rFonts w:hint="eastAsia" w:ascii="黑体" w:hAnsi="黑体" w:eastAsia="黑体" w:cs="黑体"/>
          <w:b/>
          <w:bCs/>
          <w:color w:val="FF0000"/>
          <w:sz w:val="36"/>
          <w:szCs w:val="36"/>
        </w:rPr>
        <w:t>关于并购物泊科技有限公司的公告</w:t>
      </w:r>
    </w:p>
    <w:bookmarkEnd w:id="1"/>
    <w:p>
      <w:pPr>
        <w:snapToGrid w:val="0"/>
        <w:spacing w:line="560" w:lineRule="exact"/>
        <w:jc w:val="center"/>
        <w:rPr>
          <w:rFonts w:ascii="仿宋_GB2312" w:hAnsi="宋体" w:eastAsia="仿宋_GB2312"/>
          <w:color w:val="000000"/>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rPr>
          <w:rFonts w:asciiTheme="minorEastAsia" w:hAnsiTheme="minorEastAsia" w:cstheme="minorEastAsia"/>
          <w:color w:val="000000"/>
          <w:sz w:val="28"/>
          <w:szCs w:val="28"/>
        </w:rPr>
      </w:pPr>
      <w:r>
        <w:rPr>
          <w:rFonts w:hint="eastAsia" w:ascii="仿宋_GB2312" w:hAnsi="宋体" w:eastAsia="仿宋_GB2312"/>
          <w:color w:val="000000"/>
          <w:sz w:val="30"/>
          <w:szCs w:val="30"/>
        </w:rPr>
        <w:t xml:space="preserve">   </w:t>
      </w:r>
      <w:r>
        <w:rPr>
          <w:rFonts w:asciiTheme="minorEastAsia" w:hAnsiTheme="minorEastAsia" w:cstheme="minorEastAsia"/>
          <w:color w:val="000000"/>
          <w:sz w:val="28"/>
          <w:szCs w:val="28"/>
        </w:rPr>
        <w:t xml:space="preserve"> 本公司董事会及全体董事保证本公告内容不存在任何虚假记载、误导性陈述或者重大遗漏，并对其内容的真实性、准确性和完整性承担法律责任。</w:t>
      </w:r>
    </w:p>
    <w:p>
      <w:pPr>
        <w:adjustRightInd w:val="0"/>
        <w:snapToGrid w:val="0"/>
        <w:spacing w:line="500" w:lineRule="exact"/>
        <w:ind w:firstLine="562" w:firstLineChars="200"/>
        <w:rPr>
          <w:rFonts w:asciiTheme="minorEastAsia" w:hAnsiTheme="minorEastAsia" w:cstheme="minorEastAsia"/>
          <w:b/>
          <w:sz w:val="28"/>
          <w:szCs w:val="28"/>
        </w:rPr>
      </w:pPr>
      <w:r>
        <w:rPr>
          <w:rFonts w:hint="eastAsia" w:asciiTheme="minorEastAsia" w:hAnsiTheme="minorEastAsia" w:cstheme="minorEastAsia"/>
          <w:b/>
          <w:sz w:val="28"/>
          <w:szCs w:val="28"/>
        </w:rPr>
        <w:t>重要内容提示：</w:t>
      </w:r>
    </w:p>
    <w:p>
      <w:pPr>
        <w:pStyle w:val="20"/>
        <w:numPr>
          <w:ilvl w:val="0"/>
          <w:numId w:val="3"/>
        </w:numPr>
        <w:adjustRightInd w:val="0"/>
        <w:snapToGrid w:val="0"/>
        <w:spacing w:line="500" w:lineRule="exact"/>
        <w:ind w:firstLineChars="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投资标的名称：物泊科技有限公司。</w:t>
      </w:r>
    </w:p>
    <w:p>
      <w:pPr>
        <w:pStyle w:val="20"/>
        <w:numPr>
          <w:ilvl w:val="0"/>
          <w:numId w:val="3"/>
        </w:numPr>
        <w:adjustRightInd w:val="0"/>
        <w:snapToGrid w:val="0"/>
        <w:spacing w:line="500" w:lineRule="exact"/>
        <w:ind w:firstLineChars="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投资金额：人民币1,554,545,455元。</w:t>
      </w:r>
    </w:p>
    <w:p>
      <w:pPr>
        <w:pStyle w:val="20"/>
        <w:numPr>
          <w:ilvl w:val="0"/>
          <w:numId w:val="3"/>
        </w:numPr>
        <w:adjustRightInd w:val="0"/>
        <w:snapToGrid w:val="0"/>
        <w:spacing w:line="500" w:lineRule="exact"/>
        <w:ind w:firstLineChars="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color w:val="000000"/>
          <w:sz w:val="28"/>
          <w:szCs w:val="28"/>
        </w:rPr>
        <w:t>本次交易设有协议生效条件、付款条件等，前述条件能否实现存在不确定性，敬请广大投资者注意投资风险。</w:t>
      </w:r>
    </w:p>
    <w:p>
      <w:pPr>
        <w:autoSpaceDE w:val="0"/>
        <w:autoSpaceDN w:val="0"/>
        <w:adjustRightInd w:val="0"/>
        <w:snapToGrid w:val="0"/>
        <w:spacing w:line="500" w:lineRule="exact"/>
        <w:ind w:firstLine="562" w:firstLineChars="200"/>
        <w:rPr>
          <w:rFonts w:asciiTheme="minorEastAsia" w:hAnsiTheme="minorEastAsia" w:cstheme="minorEastAsia"/>
          <w:b/>
          <w:sz w:val="28"/>
          <w:szCs w:val="28"/>
        </w:rPr>
      </w:pPr>
    </w:p>
    <w:p>
      <w:pPr>
        <w:autoSpaceDE w:val="0"/>
        <w:autoSpaceDN w:val="0"/>
        <w:adjustRightInd w:val="0"/>
        <w:snapToGrid w:val="0"/>
        <w:spacing w:line="50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一、本次交易概述</w:t>
      </w:r>
    </w:p>
    <w:p>
      <w:pPr>
        <w:pStyle w:val="10"/>
        <w:widowControl w:val="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rPr>
      </w:pPr>
      <w:r>
        <w:rPr>
          <w:rFonts w:asciiTheme="minorEastAsia" w:hAnsiTheme="minorEastAsia" w:eastAsiaTheme="minorEastAsia" w:cstheme="minorEastAsia"/>
          <w:color w:val="000000"/>
          <w:sz w:val="28"/>
          <w:szCs w:val="28"/>
        </w:rPr>
        <w:t>2024</w:t>
      </w:r>
      <w:r>
        <w:rPr>
          <w:rFonts w:hint="eastAsia" w:asciiTheme="minorEastAsia" w:hAnsiTheme="minorEastAsia" w:eastAsiaTheme="minorEastAsia" w:cstheme="minorEastAsia"/>
          <w:color w:val="000000"/>
          <w:sz w:val="28"/>
          <w:szCs w:val="28"/>
        </w:rPr>
        <w:t>年</w:t>
      </w:r>
      <w:r>
        <w:rPr>
          <w:rFonts w:hint="eastAsia"/>
          <w:color w:val="000000"/>
          <w:sz w:val="28"/>
          <w:szCs w:val="28"/>
        </w:rPr>
        <w:t>5</w:t>
      </w:r>
      <w:r>
        <w:rPr>
          <w:rFonts w:asciiTheme="minorEastAsia" w:hAnsiTheme="minorEastAsia" w:eastAsiaTheme="minorEastAsia" w:cstheme="minorEastAsia"/>
          <w:color w:val="000000"/>
          <w:sz w:val="28"/>
          <w:szCs w:val="28"/>
        </w:rPr>
        <w:t>月</w:t>
      </w:r>
      <w:r>
        <w:rPr>
          <w:rFonts w:hint="eastAsia"/>
          <w:color w:val="000000"/>
          <w:sz w:val="28"/>
          <w:szCs w:val="28"/>
        </w:rPr>
        <w:t>31</w:t>
      </w:r>
      <w:r>
        <w:rPr>
          <w:rFonts w:hint="eastAsia" w:asciiTheme="minorEastAsia" w:hAnsiTheme="minorEastAsia" w:eastAsiaTheme="minorEastAsia" w:cstheme="minorEastAsia"/>
          <w:color w:val="000000"/>
          <w:sz w:val="28"/>
          <w:szCs w:val="28"/>
        </w:rPr>
        <w:t>日，兖矿能源集团股份有限公司（“兖矿能源”“公司”）与物泊科技有限公司（“目标公司”）、福建东聚科技有限公司（“福建东聚”）及东铭实业集团有限公司（“东铭实业”）签署《关于物泊科技有限公司之增资协议》及其附件（“《增资协议》”）；公司与</w:t>
      </w:r>
      <w:r>
        <w:rPr>
          <w:rFonts w:asciiTheme="minorEastAsia" w:hAnsiTheme="minorEastAsia" w:eastAsiaTheme="minorEastAsia" w:cstheme="minorEastAsia"/>
          <w:color w:val="000000"/>
          <w:sz w:val="28"/>
          <w:szCs w:val="28"/>
        </w:rPr>
        <w:t>目标公司原股东福建东沃投资中心（有限合伙）</w:t>
      </w:r>
      <w:r>
        <w:rPr>
          <w:rFonts w:hint="eastAsia" w:asciiTheme="minorEastAsia" w:hAnsiTheme="minorEastAsia" w:eastAsiaTheme="minorEastAsia" w:cstheme="minorEastAsia"/>
          <w:color w:val="000000"/>
          <w:sz w:val="28"/>
          <w:szCs w:val="28"/>
        </w:rPr>
        <w:t>（“福建东沃”）</w:t>
      </w:r>
      <w:r>
        <w:rPr>
          <w:rFonts w:asciiTheme="minorEastAsia" w:hAnsiTheme="minorEastAsia" w:eastAsiaTheme="minorEastAsia" w:cstheme="minorEastAsia"/>
          <w:color w:val="000000"/>
          <w:sz w:val="28"/>
          <w:szCs w:val="28"/>
        </w:rPr>
        <w:t>、福建东创投资中心（有限合伙）</w:t>
      </w:r>
      <w:r>
        <w:rPr>
          <w:rFonts w:hint="eastAsia" w:asciiTheme="minorEastAsia" w:hAnsiTheme="minorEastAsia" w:eastAsiaTheme="minorEastAsia" w:cstheme="minorEastAsia"/>
          <w:color w:val="000000"/>
          <w:sz w:val="28"/>
          <w:szCs w:val="28"/>
        </w:rPr>
        <w:t>（“福建东创”）及福建东聚</w:t>
      </w:r>
      <w:r>
        <w:rPr>
          <w:rFonts w:asciiTheme="minorEastAsia" w:hAnsiTheme="minorEastAsia" w:eastAsiaTheme="minorEastAsia" w:cstheme="minorEastAsia"/>
          <w:color w:val="000000"/>
          <w:sz w:val="28"/>
          <w:szCs w:val="28"/>
        </w:rPr>
        <w:t>签署《表决权委托协议》</w:t>
      </w:r>
      <w:r>
        <w:rPr>
          <w:rFonts w:hint="eastAsia" w:asciiTheme="minorEastAsia" w:hAnsiTheme="minorEastAsia" w:eastAsiaTheme="minorEastAsia" w:cstheme="minorEastAsia"/>
          <w:color w:val="000000"/>
          <w:sz w:val="28"/>
          <w:szCs w:val="28"/>
        </w:rPr>
        <w:t>（为《增资协议》附件之一）。</w:t>
      </w:r>
    </w:p>
    <w:p>
      <w:pPr>
        <w:pStyle w:val="10"/>
        <w:widowControl w:val="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根据《增资协议》，公司拟以现金方式出资人民币</w:t>
      </w:r>
      <w:r>
        <w:rPr>
          <w:rFonts w:asciiTheme="minorEastAsia" w:hAnsiTheme="minorEastAsia" w:eastAsiaTheme="minorEastAsia" w:cstheme="minorEastAsia"/>
          <w:color w:val="000000"/>
          <w:sz w:val="28"/>
          <w:szCs w:val="28"/>
        </w:rPr>
        <w:t>1,554,545,455元（</w:t>
      </w:r>
      <w:r>
        <w:rPr>
          <w:rFonts w:hint="eastAsia" w:asciiTheme="minorEastAsia" w:hAnsiTheme="minorEastAsia" w:eastAsiaTheme="minorEastAsia" w:cstheme="minorEastAsia"/>
          <w:color w:val="000000"/>
          <w:sz w:val="28"/>
          <w:szCs w:val="28"/>
        </w:rPr>
        <w:t>“增资款”），取得目标公司45%的股权。其中，人民币</w:t>
      </w:r>
      <w:r>
        <w:rPr>
          <w:rFonts w:asciiTheme="minorEastAsia" w:hAnsiTheme="minorEastAsia" w:eastAsiaTheme="minorEastAsia" w:cstheme="minorEastAsia"/>
          <w:color w:val="000000"/>
          <w:sz w:val="28"/>
          <w:szCs w:val="28"/>
        </w:rPr>
        <w:t>448,768,004元</w:t>
      </w:r>
      <w:r>
        <w:rPr>
          <w:rFonts w:hint="eastAsia" w:asciiTheme="minorEastAsia" w:hAnsiTheme="minorEastAsia" w:eastAsiaTheme="minorEastAsia" w:cstheme="minorEastAsia"/>
          <w:color w:val="000000"/>
          <w:sz w:val="28"/>
          <w:szCs w:val="28"/>
        </w:rPr>
        <w:t>计入目标公司注册资本，人民币1</w:t>
      </w:r>
      <w:r>
        <w:rPr>
          <w:rFonts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rPr>
        <w:t>105</w:t>
      </w:r>
      <w:r>
        <w:rPr>
          <w:rFonts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rPr>
        <w:t>777</w:t>
      </w:r>
      <w:r>
        <w:rPr>
          <w:rFonts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rPr>
        <w:t>451元计入目标公司资本公积（“本次增资”）。</w:t>
      </w:r>
      <w:r>
        <w:rPr>
          <w:rFonts w:asciiTheme="minorEastAsia" w:hAnsiTheme="minorEastAsia" w:eastAsiaTheme="minorEastAsia" w:cstheme="minorEastAsia"/>
          <w:color w:val="000000"/>
          <w:sz w:val="28"/>
          <w:szCs w:val="28"/>
        </w:rPr>
        <w:t>同时，福建东沃</w:t>
      </w:r>
      <w:r>
        <w:rPr>
          <w:rFonts w:hint="eastAsia" w:asciiTheme="minorEastAsia" w:hAnsiTheme="minorEastAsia" w:eastAsiaTheme="minorEastAsia" w:cstheme="minorEastAsia"/>
          <w:color w:val="000000"/>
          <w:sz w:val="28"/>
          <w:szCs w:val="28"/>
        </w:rPr>
        <w:t>及</w:t>
      </w:r>
      <w:r>
        <w:rPr>
          <w:rFonts w:asciiTheme="minorEastAsia" w:hAnsiTheme="minorEastAsia" w:eastAsiaTheme="minorEastAsia" w:cstheme="minorEastAsia"/>
          <w:color w:val="000000"/>
          <w:sz w:val="28"/>
          <w:szCs w:val="28"/>
        </w:rPr>
        <w:t>福建东创分别将其所持有的</w:t>
      </w:r>
      <w:r>
        <w:rPr>
          <w:rFonts w:hint="eastAsia" w:asciiTheme="minorEastAsia" w:hAnsiTheme="minorEastAsia" w:eastAsiaTheme="minorEastAsia" w:cstheme="minorEastAsia"/>
          <w:color w:val="000000"/>
          <w:sz w:val="28"/>
          <w:szCs w:val="28"/>
        </w:rPr>
        <w:t>全部</w:t>
      </w:r>
      <w:r>
        <w:rPr>
          <w:rFonts w:asciiTheme="minorEastAsia" w:hAnsiTheme="minorEastAsia" w:eastAsiaTheme="minorEastAsia" w:cstheme="minorEastAsia"/>
          <w:color w:val="000000"/>
          <w:sz w:val="28"/>
          <w:szCs w:val="28"/>
        </w:rPr>
        <w:t>目标公司</w:t>
      </w:r>
      <w:r>
        <w:rPr>
          <w:rFonts w:hint="eastAsia" w:asciiTheme="minorEastAsia" w:hAnsiTheme="minorEastAsia" w:eastAsiaTheme="minorEastAsia" w:cstheme="minorEastAsia"/>
          <w:color w:val="000000"/>
          <w:sz w:val="28"/>
          <w:szCs w:val="28"/>
        </w:rPr>
        <w:t>股权（合计6</w:t>
      </w:r>
      <w:r>
        <w:rPr>
          <w:rFonts w:asciiTheme="minorEastAsia" w:hAnsiTheme="minorEastAsia" w:eastAsiaTheme="minorEastAsia" w:cstheme="minorEastAsia"/>
          <w:color w:val="000000"/>
          <w:sz w:val="28"/>
          <w:szCs w:val="28"/>
        </w:rPr>
        <w:t>.32%</w:t>
      </w:r>
      <w:r>
        <w:rPr>
          <w:rFonts w:hint="eastAsia" w:asciiTheme="minorEastAsia" w:hAnsiTheme="minorEastAsia" w:eastAsiaTheme="minorEastAsia" w:cstheme="minorEastAsia"/>
          <w:color w:val="000000"/>
          <w:sz w:val="28"/>
          <w:szCs w:val="28"/>
        </w:rPr>
        <w:t>）所对应的全部表决权独家、无条件且不可撤销地全权授予公司，使得本次交易完成后公司可行使的表决权占目标公司全部实缴出资的</w:t>
      </w:r>
      <w:r>
        <w:rPr>
          <w:rFonts w:asciiTheme="minorEastAsia" w:hAnsiTheme="minorEastAsia" w:eastAsiaTheme="minorEastAsia" w:cstheme="minorEastAsia"/>
          <w:color w:val="000000"/>
          <w:sz w:val="28"/>
          <w:szCs w:val="28"/>
        </w:rPr>
        <w:t>51.32%，实现公司获得目标公司控制权（与“本次增资”合称“本次交易”）。本次交易完成后，目标公司将成为公司的控股子公司，并纳入合并财务报表范围。</w:t>
      </w:r>
    </w:p>
    <w:p>
      <w:pPr>
        <w:pStyle w:val="10"/>
        <w:widowControl w:val="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rPr>
      </w:pPr>
      <w:r>
        <w:rPr>
          <w:rFonts w:asciiTheme="minorEastAsia" w:hAnsiTheme="minorEastAsia" w:eastAsiaTheme="minorEastAsia" w:cstheme="minorEastAsia"/>
          <w:color w:val="000000"/>
          <w:sz w:val="28"/>
          <w:szCs w:val="28"/>
        </w:rPr>
        <w:t>2024</w:t>
      </w:r>
      <w:r>
        <w:rPr>
          <w:rFonts w:hint="eastAsia" w:asciiTheme="minorEastAsia" w:hAnsiTheme="minorEastAsia" w:eastAsiaTheme="minorEastAsia" w:cstheme="minorEastAsia"/>
          <w:color w:val="000000"/>
          <w:sz w:val="28"/>
          <w:szCs w:val="28"/>
        </w:rPr>
        <w:t>年</w:t>
      </w:r>
      <w:r>
        <w:rPr>
          <w:rFonts w:hint="eastAsia"/>
          <w:color w:val="000000"/>
          <w:sz w:val="28"/>
          <w:szCs w:val="28"/>
        </w:rPr>
        <w:t>5</w:t>
      </w:r>
      <w:r>
        <w:rPr>
          <w:rFonts w:asciiTheme="minorEastAsia" w:hAnsiTheme="minorEastAsia" w:eastAsiaTheme="minorEastAsia" w:cstheme="minorEastAsia"/>
          <w:color w:val="000000"/>
          <w:sz w:val="28"/>
          <w:szCs w:val="28"/>
        </w:rPr>
        <w:t>月</w:t>
      </w:r>
      <w:r>
        <w:rPr>
          <w:rFonts w:hint="eastAsia"/>
          <w:color w:val="000000"/>
          <w:sz w:val="28"/>
          <w:szCs w:val="28"/>
        </w:rPr>
        <w:t>31</w:t>
      </w:r>
      <w:r>
        <w:rPr>
          <w:rFonts w:hint="eastAsia" w:asciiTheme="minorEastAsia" w:hAnsiTheme="minorEastAsia" w:eastAsiaTheme="minorEastAsia" w:cstheme="minorEastAsia"/>
          <w:color w:val="000000"/>
          <w:sz w:val="28"/>
          <w:szCs w:val="28"/>
        </w:rPr>
        <w:t>日，公司在山东省邹城市公司总部召开第九届董事会第八次会议，会议应出席董事</w:t>
      </w:r>
      <w:r>
        <w:rPr>
          <w:rFonts w:asciiTheme="minorEastAsia" w:hAnsiTheme="minorEastAsia" w:eastAsiaTheme="minorEastAsia" w:cstheme="minorEastAsia"/>
          <w:color w:val="000000"/>
          <w:sz w:val="28"/>
          <w:szCs w:val="28"/>
        </w:rPr>
        <w:t>11名，实际出席董事11名。经11名董事一致赞成，会议批准《关于</w:t>
      </w:r>
      <w:r>
        <w:rPr>
          <w:rFonts w:hint="eastAsia" w:asciiTheme="minorEastAsia" w:hAnsiTheme="minorEastAsia" w:eastAsiaTheme="minorEastAsia" w:cstheme="minorEastAsia"/>
          <w:color w:val="000000"/>
          <w:sz w:val="28"/>
          <w:szCs w:val="28"/>
        </w:rPr>
        <w:t>并购</w:t>
      </w:r>
      <w:r>
        <w:rPr>
          <w:rFonts w:asciiTheme="minorEastAsia" w:hAnsiTheme="minorEastAsia" w:eastAsiaTheme="minorEastAsia" w:cstheme="minorEastAsia"/>
          <w:color w:val="000000"/>
          <w:sz w:val="28"/>
          <w:szCs w:val="28"/>
        </w:rPr>
        <w:t>物泊科技有限公司的议案》。</w:t>
      </w:r>
    </w:p>
    <w:p>
      <w:pPr>
        <w:pStyle w:val="10"/>
        <w:widowControl w:val="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本次交易不构成关联交易，不构成重大资产重组，根据境内外上市监管规则和《公司章程》规定，本次交易属于董</w:t>
      </w:r>
      <w:bookmarkStart w:id="3" w:name="_GoBack"/>
      <w:bookmarkEnd w:id="3"/>
      <w:r>
        <w:rPr>
          <w:rFonts w:hint="eastAsia" w:asciiTheme="minorEastAsia" w:hAnsiTheme="minorEastAsia" w:eastAsiaTheme="minorEastAsia" w:cstheme="minorEastAsia"/>
          <w:color w:val="000000"/>
          <w:sz w:val="28"/>
          <w:szCs w:val="28"/>
        </w:rPr>
        <w:t>事会决策权限，无需提交股东大会审议。</w:t>
      </w:r>
    </w:p>
    <w:p>
      <w:pPr>
        <w:autoSpaceDE w:val="0"/>
        <w:autoSpaceDN w:val="0"/>
        <w:adjustRightInd w:val="0"/>
        <w:snapToGrid w:val="0"/>
        <w:spacing w:line="50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二、本次交易协议主体的基本情况</w:t>
      </w:r>
    </w:p>
    <w:p>
      <w:pPr>
        <w:pStyle w:val="10"/>
        <w:widowControl w:val="0"/>
        <w:tabs>
          <w:tab w:val="left" w:pos="1260"/>
        </w:tabs>
        <w:adjustRightInd w:val="0"/>
        <w:snapToGrid w:val="0"/>
        <w:spacing w:before="0" w:beforeAutospacing="0" w:after="0" w:afterAutospacing="0" w:line="500" w:lineRule="exact"/>
        <w:ind w:firstLine="560" w:firstLineChars="200"/>
        <w:jc w:val="both"/>
        <w:rPr>
          <w:rFonts w:hint="eastAsia" w:ascii="楷体_GB2312" w:hAnsi="楷体_GB2312" w:eastAsia="楷体_GB2312" w:cs="楷体_GB2312"/>
          <w:bCs/>
          <w:color w:val="000000"/>
          <w:sz w:val="28"/>
          <w:szCs w:val="28"/>
        </w:rPr>
      </w:pPr>
      <w:r>
        <w:rPr>
          <w:rFonts w:hint="eastAsia" w:ascii="楷体_GB2312" w:hAnsi="楷体_GB2312" w:eastAsia="楷体_GB2312" w:cs="楷体_GB2312"/>
          <w:bCs/>
          <w:color w:val="000000"/>
          <w:sz w:val="28"/>
          <w:szCs w:val="28"/>
        </w:rPr>
        <w:t>（一）《增资协议》签署主体</w:t>
      </w:r>
    </w:p>
    <w:p>
      <w:pPr>
        <w:pStyle w:val="10"/>
        <w:widowControl w:val="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增资协议》的签署主体为公司、目标公司、福建东聚及东铭实业。目标公司其他原股东签署《委托及承诺书》，委托福建东聚参加与本次交易有关的谈判，代为签署《增资协议》及其附件等并认可该等文件之全部内容及效力。</w:t>
      </w:r>
    </w:p>
    <w:p>
      <w:pPr>
        <w:pStyle w:val="10"/>
        <w:widowControl w:val="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rPr>
      </w:pPr>
      <w:r>
        <w:rPr>
          <w:rFonts w:asciiTheme="minorEastAsia" w:hAnsiTheme="minorEastAsia" w:eastAsiaTheme="minorEastAsia" w:cstheme="minorEastAsia"/>
          <w:color w:val="000000"/>
          <w:sz w:val="28"/>
          <w:szCs w:val="28"/>
        </w:rPr>
        <w:t xml:space="preserve">1. </w:t>
      </w:r>
      <w:r>
        <w:rPr>
          <w:rFonts w:hint="eastAsia" w:asciiTheme="minorEastAsia" w:hAnsiTheme="minorEastAsia" w:eastAsiaTheme="minorEastAsia" w:cstheme="minorEastAsia"/>
          <w:color w:val="000000"/>
          <w:sz w:val="28"/>
          <w:szCs w:val="28"/>
        </w:rPr>
        <w:t>福建东聚</w:t>
      </w:r>
    </w:p>
    <w:p>
      <w:pPr>
        <w:pStyle w:val="10"/>
        <w:tabs>
          <w:tab w:val="left" w:pos="1260"/>
        </w:tabs>
        <w:adjustRightInd w:val="0"/>
        <w:snapToGrid w:val="0"/>
        <w:spacing w:before="0" w:beforeAutospacing="0" w:after="0" w:afterAutospacing="0" w:line="500" w:lineRule="exact"/>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公司名称：福建东聚科技有限公司</w:t>
      </w:r>
    </w:p>
    <w:p>
      <w:pPr>
        <w:pStyle w:val="10"/>
        <w:tabs>
          <w:tab w:val="left" w:pos="1260"/>
        </w:tabs>
        <w:adjustRightInd w:val="0"/>
        <w:snapToGrid w:val="0"/>
        <w:spacing w:before="0" w:beforeAutospacing="0" w:after="0" w:afterAutospacing="0" w:line="500" w:lineRule="exact"/>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统一社会信用代码：</w:t>
      </w:r>
      <w:r>
        <w:rPr>
          <w:rFonts w:asciiTheme="minorEastAsia" w:hAnsiTheme="minorEastAsia" w:eastAsiaTheme="minorEastAsia" w:cstheme="minorEastAsia"/>
          <w:color w:val="000000"/>
          <w:sz w:val="28"/>
          <w:szCs w:val="28"/>
        </w:rPr>
        <w:t>91350305MA31LUU00K</w:t>
      </w:r>
    </w:p>
    <w:p>
      <w:pPr>
        <w:pStyle w:val="10"/>
        <w:tabs>
          <w:tab w:val="left" w:pos="1260"/>
        </w:tabs>
        <w:adjustRightInd w:val="0"/>
        <w:snapToGrid w:val="0"/>
        <w:spacing w:before="0" w:beforeAutospacing="0" w:after="0" w:afterAutospacing="0" w:line="500" w:lineRule="exact"/>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法定代表人：张仕平</w:t>
      </w:r>
    </w:p>
    <w:p>
      <w:pPr>
        <w:pStyle w:val="10"/>
        <w:tabs>
          <w:tab w:val="left" w:pos="1260"/>
        </w:tabs>
        <w:adjustRightInd w:val="0"/>
        <w:snapToGrid w:val="0"/>
        <w:spacing w:before="0" w:beforeAutospacing="0" w:after="0" w:afterAutospacing="0" w:line="500" w:lineRule="exact"/>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类型：有限责任公司</w:t>
      </w:r>
    </w:p>
    <w:p>
      <w:pPr>
        <w:pStyle w:val="10"/>
        <w:tabs>
          <w:tab w:val="left" w:pos="1260"/>
        </w:tabs>
        <w:adjustRightInd w:val="0"/>
        <w:snapToGrid w:val="0"/>
        <w:spacing w:before="0" w:beforeAutospacing="0" w:after="0" w:afterAutospacing="0" w:line="500" w:lineRule="exact"/>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成立日期：</w:t>
      </w:r>
      <w:r>
        <w:rPr>
          <w:rFonts w:asciiTheme="minorEastAsia" w:hAnsiTheme="minorEastAsia" w:eastAsiaTheme="minorEastAsia" w:cstheme="minorEastAsia"/>
          <w:color w:val="000000"/>
          <w:sz w:val="28"/>
          <w:szCs w:val="28"/>
        </w:rPr>
        <w:t>2018年4月13日</w:t>
      </w:r>
    </w:p>
    <w:p>
      <w:pPr>
        <w:pStyle w:val="10"/>
        <w:tabs>
          <w:tab w:val="left" w:pos="1260"/>
        </w:tabs>
        <w:adjustRightInd w:val="0"/>
        <w:snapToGrid w:val="0"/>
        <w:spacing w:before="0" w:beforeAutospacing="0" w:after="0" w:afterAutospacing="0" w:line="500" w:lineRule="exact"/>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注册资本：</w:t>
      </w:r>
      <w:r>
        <w:rPr>
          <w:rFonts w:asciiTheme="minorEastAsia" w:hAnsiTheme="minorEastAsia" w:eastAsiaTheme="minorEastAsia" w:cstheme="minorEastAsia"/>
          <w:color w:val="000000"/>
          <w:sz w:val="28"/>
          <w:szCs w:val="28"/>
        </w:rPr>
        <w:t>17,288.2万元人民币</w:t>
      </w:r>
    </w:p>
    <w:p>
      <w:pPr>
        <w:pStyle w:val="10"/>
        <w:tabs>
          <w:tab w:val="left" w:pos="1260"/>
        </w:tabs>
        <w:adjustRightInd w:val="0"/>
        <w:snapToGrid w:val="0"/>
        <w:spacing w:before="0" w:beforeAutospacing="0" w:after="0" w:afterAutospacing="0" w:line="500" w:lineRule="exact"/>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住所：福建省莆田市湄洲湾北岸经济开发区经济城</w:t>
      </w:r>
      <w:r>
        <w:rPr>
          <w:rFonts w:asciiTheme="minorEastAsia" w:hAnsiTheme="minorEastAsia" w:eastAsiaTheme="minorEastAsia" w:cstheme="minorEastAsia"/>
          <w:color w:val="000000"/>
          <w:sz w:val="28"/>
          <w:szCs w:val="28"/>
        </w:rPr>
        <w:t>777号</w:t>
      </w:r>
    </w:p>
    <w:p>
      <w:pPr>
        <w:pStyle w:val="10"/>
        <w:widowControl w:val="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主要经营范围：信息系统集成服务；数据处理和存储服务；国际货运代理；从事计算机专业科技领域内的技术开发、技术咨询、技术服务、技术转让；供应链管理；仓储、装卸搬运服务（不含危险化学品）等。</w:t>
      </w:r>
    </w:p>
    <w:p>
      <w:pPr>
        <w:pStyle w:val="1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福建东聚在本次交易前直接或间接持有目标公司</w:t>
      </w:r>
      <w:r>
        <w:rPr>
          <w:rFonts w:asciiTheme="minorEastAsia" w:hAnsiTheme="minorEastAsia" w:eastAsiaTheme="minorEastAsia" w:cstheme="minorEastAsia"/>
          <w:color w:val="000000"/>
          <w:sz w:val="28"/>
          <w:szCs w:val="28"/>
        </w:rPr>
        <w:t>87.09%</w:t>
      </w:r>
      <w:r>
        <w:rPr>
          <w:rFonts w:hint="eastAsia" w:asciiTheme="minorEastAsia" w:hAnsiTheme="minorEastAsia" w:eastAsiaTheme="minorEastAsia" w:cstheme="minorEastAsia"/>
          <w:color w:val="000000"/>
          <w:sz w:val="28"/>
          <w:szCs w:val="28"/>
        </w:rPr>
        <w:t>的股权，其股权结构为：</w:t>
      </w:r>
    </w:p>
    <w:p>
      <w:pPr>
        <w:pStyle w:val="10"/>
        <w:tabs>
          <w:tab w:val="left" w:pos="1260"/>
        </w:tabs>
        <w:adjustRightInd w:val="0"/>
        <w:snapToGrid w:val="0"/>
        <w:spacing w:before="0" w:beforeAutospacing="0" w:after="0" w:afterAutospacing="0" w:line="500" w:lineRule="exact"/>
        <w:ind w:firstLine="480" w:firstLineChars="200"/>
        <w:jc w:val="righ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单位：万元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343"/>
        <w:gridCol w:w="2110"/>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959" w:type="dxa"/>
            <w:shd w:val="clear" w:color="auto" w:fill="D8D8D8" w:themeFill="background1" w:themeFillShade="D9"/>
            <w:vAlign w:val="center"/>
          </w:tcPr>
          <w:p>
            <w:pPr>
              <w:pStyle w:val="10"/>
              <w:tabs>
                <w:tab w:val="left" w:pos="1260"/>
              </w:tabs>
              <w:adjustRightInd w:val="0"/>
              <w:snapToGrid w:val="0"/>
              <w:spacing w:before="0" w:beforeAutospacing="0" w:after="0" w:afterAutospacing="0"/>
              <w:rPr>
                <w:rFonts w:asciiTheme="minorEastAsia" w:hAnsiTheme="minorEastAsia" w:eastAsiaTheme="minorEastAsia" w:cstheme="minorEastAsia"/>
                <w:b/>
                <w:bCs/>
                <w:color w:val="000000"/>
              </w:rPr>
            </w:pPr>
            <w:r>
              <w:rPr>
                <w:rFonts w:hint="eastAsia" w:asciiTheme="minorEastAsia" w:hAnsiTheme="minorEastAsia" w:eastAsiaTheme="minorEastAsia" w:cstheme="minorEastAsia"/>
                <w:b/>
                <w:bCs/>
                <w:color w:val="000000"/>
              </w:rPr>
              <w:t>序号</w:t>
            </w:r>
          </w:p>
        </w:tc>
        <w:tc>
          <w:tcPr>
            <w:tcW w:w="3343" w:type="dxa"/>
            <w:shd w:val="clear" w:color="auto" w:fill="D8D8D8" w:themeFill="background1" w:themeFillShade="D9"/>
            <w:vAlign w:val="center"/>
          </w:tcPr>
          <w:p>
            <w:pPr>
              <w:pStyle w:val="10"/>
              <w:tabs>
                <w:tab w:val="left" w:pos="1260"/>
              </w:tabs>
              <w:adjustRightInd w:val="0"/>
              <w:snapToGrid w:val="0"/>
              <w:spacing w:before="0" w:beforeAutospacing="0" w:after="0" w:afterAutospacing="0"/>
              <w:jc w:val="center"/>
              <w:rPr>
                <w:rFonts w:asciiTheme="minorEastAsia" w:hAnsiTheme="minorEastAsia" w:eastAsiaTheme="minorEastAsia" w:cstheme="minorEastAsia"/>
                <w:b/>
                <w:bCs/>
                <w:color w:val="000000"/>
              </w:rPr>
            </w:pPr>
            <w:r>
              <w:rPr>
                <w:rFonts w:hint="eastAsia" w:asciiTheme="minorEastAsia" w:hAnsiTheme="minorEastAsia" w:eastAsiaTheme="minorEastAsia" w:cstheme="minorEastAsia"/>
                <w:b/>
                <w:bCs/>
                <w:color w:val="000000"/>
              </w:rPr>
              <w:t>股东</w:t>
            </w:r>
          </w:p>
        </w:tc>
        <w:tc>
          <w:tcPr>
            <w:tcW w:w="2110" w:type="dxa"/>
            <w:shd w:val="clear" w:color="auto" w:fill="D8D8D8" w:themeFill="background1" w:themeFillShade="D9"/>
            <w:vAlign w:val="center"/>
          </w:tcPr>
          <w:p>
            <w:pPr>
              <w:pStyle w:val="10"/>
              <w:tabs>
                <w:tab w:val="left" w:pos="1260"/>
              </w:tabs>
              <w:adjustRightInd w:val="0"/>
              <w:snapToGrid w:val="0"/>
              <w:spacing w:before="0" w:beforeAutospacing="0" w:after="0" w:afterAutospacing="0"/>
              <w:jc w:val="center"/>
              <w:rPr>
                <w:rFonts w:asciiTheme="minorEastAsia" w:hAnsiTheme="minorEastAsia" w:eastAsiaTheme="minorEastAsia" w:cstheme="minorEastAsia"/>
                <w:b/>
                <w:bCs/>
                <w:color w:val="000000"/>
              </w:rPr>
            </w:pPr>
            <w:r>
              <w:rPr>
                <w:rFonts w:hint="eastAsia" w:asciiTheme="minorEastAsia" w:hAnsiTheme="minorEastAsia" w:eastAsiaTheme="minorEastAsia" w:cstheme="minorEastAsia"/>
                <w:b/>
                <w:bCs/>
                <w:color w:val="000000"/>
              </w:rPr>
              <w:t>出资额</w:t>
            </w:r>
          </w:p>
        </w:tc>
        <w:tc>
          <w:tcPr>
            <w:tcW w:w="2110" w:type="dxa"/>
            <w:shd w:val="clear" w:color="auto" w:fill="D8D8D8" w:themeFill="background1" w:themeFillShade="D9"/>
            <w:vAlign w:val="center"/>
          </w:tcPr>
          <w:p>
            <w:pPr>
              <w:pStyle w:val="10"/>
              <w:tabs>
                <w:tab w:val="left" w:pos="1260"/>
              </w:tabs>
              <w:adjustRightInd w:val="0"/>
              <w:snapToGrid w:val="0"/>
              <w:spacing w:before="0" w:beforeAutospacing="0" w:after="0" w:afterAutospacing="0"/>
              <w:jc w:val="center"/>
              <w:rPr>
                <w:rFonts w:asciiTheme="minorEastAsia" w:hAnsiTheme="minorEastAsia" w:eastAsiaTheme="minorEastAsia" w:cstheme="minorEastAsia"/>
                <w:b/>
                <w:bCs/>
                <w:color w:val="000000"/>
              </w:rPr>
            </w:pPr>
            <w:r>
              <w:rPr>
                <w:rFonts w:hint="eastAsia" w:asciiTheme="minorEastAsia" w:hAnsiTheme="minorEastAsia" w:eastAsiaTheme="minorEastAsia" w:cstheme="minorEastAsia"/>
                <w:b/>
                <w:bCs/>
                <w:color w:val="000000"/>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Align w:val="center"/>
          </w:tcPr>
          <w:p>
            <w:pPr>
              <w:pStyle w:val="10"/>
              <w:tabs>
                <w:tab w:val="left" w:pos="1260"/>
              </w:tabs>
              <w:adjustRightInd w:val="0"/>
              <w:snapToGrid w:val="0"/>
              <w:spacing w:before="0" w:beforeAutospacing="0" w:after="0" w:afterAutospacing="0"/>
              <w:jc w:val="center"/>
              <w:rPr>
                <w:rFonts w:asciiTheme="minorEastAsia" w:hAnsiTheme="minorEastAsia" w:eastAsiaTheme="minorEastAsia" w:cstheme="minorEastAsia"/>
                <w:color w:val="000000"/>
              </w:rPr>
            </w:pPr>
            <w:r>
              <w:rPr>
                <w:rFonts w:asciiTheme="minorEastAsia" w:hAnsiTheme="minorEastAsia" w:eastAsiaTheme="minorEastAsia" w:cstheme="minorEastAsia"/>
                <w:color w:val="000000"/>
              </w:rPr>
              <w:t>1</w:t>
            </w:r>
          </w:p>
        </w:tc>
        <w:tc>
          <w:tcPr>
            <w:tcW w:w="3343" w:type="dxa"/>
            <w:vAlign w:val="center"/>
          </w:tcPr>
          <w:p>
            <w:pPr>
              <w:pStyle w:val="10"/>
              <w:tabs>
                <w:tab w:val="left" w:pos="1260"/>
              </w:tabs>
              <w:adjustRightInd w:val="0"/>
              <w:snapToGrid w:val="0"/>
              <w:spacing w:before="0" w:beforeAutospacing="0" w:after="0" w:afterAutospacing="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东铭实业集团有限公司</w:t>
            </w:r>
          </w:p>
        </w:tc>
        <w:tc>
          <w:tcPr>
            <w:tcW w:w="2110" w:type="dxa"/>
            <w:vAlign w:val="center"/>
          </w:tcPr>
          <w:p>
            <w:pPr>
              <w:pStyle w:val="10"/>
              <w:tabs>
                <w:tab w:val="left" w:pos="1260"/>
              </w:tabs>
              <w:adjustRightInd w:val="0"/>
              <w:snapToGrid w:val="0"/>
              <w:spacing w:before="0" w:beforeAutospacing="0" w:after="0" w:afterAutospacing="0"/>
              <w:jc w:val="right"/>
              <w:rPr>
                <w:rFonts w:asciiTheme="minorEastAsia" w:hAnsiTheme="minorEastAsia" w:eastAsiaTheme="minorEastAsia" w:cstheme="minorEastAsia"/>
                <w:color w:val="000000"/>
              </w:rPr>
            </w:pPr>
            <w:r>
              <w:rPr>
                <w:rFonts w:asciiTheme="minorEastAsia" w:hAnsiTheme="minorEastAsia" w:eastAsiaTheme="minorEastAsia" w:cstheme="minorEastAsia"/>
                <w:color w:val="000000"/>
              </w:rPr>
              <w:t>17,057.765</w:t>
            </w:r>
          </w:p>
        </w:tc>
        <w:tc>
          <w:tcPr>
            <w:tcW w:w="2110" w:type="dxa"/>
            <w:vAlign w:val="center"/>
          </w:tcPr>
          <w:p>
            <w:pPr>
              <w:pStyle w:val="10"/>
              <w:tabs>
                <w:tab w:val="left" w:pos="1260"/>
              </w:tabs>
              <w:adjustRightInd w:val="0"/>
              <w:snapToGrid w:val="0"/>
              <w:spacing w:before="0" w:beforeAutospacing="0" w:after="0" w:afterAutospacing="0"/>
              <w:jc w:val="right"/>
              <w:rPr>
                <w:rFonts w:asciiTheme="minorEastAsia" w:hAnsiTheme="minorEastAsia" w:eastAsiaTheme="minorEastAsia" w:cstheme="minorEastAsia"/>
                <w:color w:val="000000"/>
              </w:rPr>
            </w:pPr>
            <w:r>
              <w:rPr>
                <w:rFonts w:asciiTheme="minorEastAsia" w:hAnsiTheme="minorEastAsia" w:eastAsiaTheme="minorEastAsia" w:cstheme="minorEastAsia"/>
                <w:color w:val="000000"/>
              </w:rPr>
              <w:t>98.67%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59" w:type="dxa"/>
            <w:vAlign w:val="center"/>
          </w:tcPr>
          <w:p>
            <w:pPr>
              <w:pStyle w:val="10"/>
              <w:tabs>
                <w:tab w:val="left" w:pos="1260"/>
              </w:tabs>
              <w:adjustRightInd w:val="0"/>
              <w:snapToGrid w:val="0"/>
              <w:spacing w:before="0" w:beforeAutospacing="0" w:after="0" w:afterAutospacing="0"/>
              <w:jc w:val="center"/>
              <w:rPr>
                <w:rFonts w:asciiTheme="minorEastAsia" w:hAnsiTheme="minorEastAsia" w:eastAsiaTheme="minorEastAsia" w:cstheme="minorEastAsia"/>
                <w:color w:val="000000"/>
              </w:rPr>
            </w:pPr>
            <w:r>
              <w:rPr>
                <w:rFonts w:asciiTheme="minorEastAsia" w:hAnsiTheme="minorEastAsia" w:eastAsiaTheme="minorEastAsia" w:cstheme="minorEastAsia"/>
                <w:color w:val="000000"/>
              </w:rPr>
              <w:t>2</w:t>
            </w:r>
          </w:p>
        </w:tc>
        <w:tc>
          <w:tcPr>
            <w:tcW w:w="3343" w:type="dxa"/>
            <w:vAlign w:val="center"/>
          </w:tcPr>
          <w:p>
            <w:pPr>
              <w:pStyle w:val="10"/>
              <w:tabs>
                <w:tab w:val="left" w:pos="1260"/>
              </w:tabs>
              <w:adjustRightInd w:val="0"/>
              <w:snapToGrid w:val="0"/>
              <w:spacing w:before="0" w:beforeAutospacing="0" w:after="0" w:afterAutospacing="0"/>
              <w:rPr>
                <w:rFonts w:asciiTheme="minorEastAsia" w:hAnsiTheme="minorEastAsia" w:eastAsiaTheme="minorEastAsia" w:cstheme="minorEastAsia"/>
                <w:color w:val="000000"/>
              </w:rPr>
            </w:pPr>
            <w:r>
              <w:fldChar w:fldCharType="begin"/>
            </w:r>
            <w:r>
              <w:instrText xml:space="preserve"> HYPERLINK "https://pro.tianyancha.com/human/1919829015-c3176182783" \t "_blank" \o "张世佩" </w:instrText>
            </w:r>
            <w:r>
              <w:fldChar w:fldCharType="separate"/>
            </w:r>
            <w:r>
              <w:rPr>
                <w:rFonts w:hint="eastAsia" w:asciiTheme="minorEastAsia" w:hAnsiTheme="minorEastAsia" w:eastAsiaTheme="minorEastAsia" w:cstheme="minorEastAsia"/>
                <w:color w:val="000000"/>
              </w:rPr>
              <w:t>张世佩</w:t>
            </w:r>
            <w:r>
              <w:rPr>
                <w:rFonts w:hint="eastAsia" w:asciiTheme="minorEastAsia" w:hAnsiTheme="minorEastAsia" w:eastAsiaTheme="minorEastAsia" w:cstheme="minorEastAsia"/>
                <w:color w:val="000000"/>
              </w:rPr>
              <w:fldChar w:fldCharType="end"/>
            </w:r>
          </w:p>
        </w:tc>
        <w:tc>
          <w:tcPr>
            <w:tcW w:w="2110" w:type="dxa"/>
            <w:vAlign w:val="center"/>
          </w:tcPr>
          <w:p>
            <w:pPr>
              <w:pStyle w:val="10"/>
              <w:tabs>
                <w:tab w:val="left" w:pos="1260"/>
              </w:tabs>
              <w:adjustRightInd w:val="0"/>
              <w:snapToGrid w:val="0"/>
              <w:spacing w:before="0" w:beforeAutospacing="0" w:after="0" w:afterAutospacing="0"/>
              <w:jc w:val="right"/>
              <w:rPr>
                <w:rFonts w:asciiTheme="minorEastAsia" w:hAnsiTheme="minorEastAsia" w:eastAsiaTheme="minorEastAsia" w:cstheme="minorEastAsia"/>
                <w:color w:val="000000"/>
              </w:rPr>
            </w:pPr>
            <w:r>
              <w:rPr>
                <w:rFonts w:asciiTheme="minorEastAsia" w:hAnsiTheme="minorEastAsia" w:eastAsiaTheme="minorEastAsia" w:cstheme="minorEastAsia"/>
                <w:color w:val="000000"/>
              </w:rPr>
              <w:t>230.435</w:t>
            </w:r>
          </w:p>
        </w:tc>
        <w:tc>
          <w:tcPr>
            <w:tcW w:w="2110" w:type="dxa"/>
            <w:vAlign w:val="center"/>
          </w:tcPr>
          <w:p>
            <w:pPr>
              <w:pStyle w:val="10"/>
              <w:tabs>
                <w:tab w:val="left" w:pos="1260"/>
              </w:tabs>
              <w:adjustRightInd w:val="0"/>
              <w:snapToGrid w:val="0"/>
              <w:spacing w:before="0" w:beforeAutospacing="0" w:after="0" w:afterAutospacing="0"/>
              <w:jc w:val="right"/>
              <w:rPr>
                <w:rFonts w:asciiTheme="minorEastAsia" w:hAnsiTheme="minorEastAsia" w:eastAsiaTheme="minorEastAsia" w:cstheme="minorEastAsia"/>
                <w:color w:val="000000"/>
              </w:rPr>
            </w:pPr>
            <w:r>
              <w:rPr>
                <w:rFonts w:asciiTheme="minorEastAsia" w:hAnsiTheme="minorEastAsia" w:eastAsiaTheme="minorEastAsia" w:cstheme="minorEastAsia"/>
                <w:color w:val="000000"/>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302" w:type="dxa"/>
            <w:gridSpan w:val="2"/>
            <w:vAlign w:val="center"/>
          </w:tcPr>
          <w:p>
            <w:pPr>
              <w:pStyle w:val="10"/>
              <w:tabs>
                <w:tab w:val="left" w:pos="1260"/>
              </w:tabs>
              <w:adjustRightInd w:val="0"/>
              <w:snapToGrid w:val="0"/>
              <w:spacing w:before="0" w:beforeAutospacing="0" w:after="0" w:afterAutospacing="0"/>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合计</w:t>
            </w:r>
          </w:p>
        </w:tc>
        <w:tc>
          <w:tcPr>
            <w:tcW w:w="2110" w:type="dxa"/>
            <w:vAlign w:val="center"/>
          </w:tcPr>
          <w:p>
            <w:pPr>
              <w:pStyle w:val="10"/>
              <w:tabs>
                <w:tab w:val="left" w:pos="1260"/>
              </w:tabs>
              <w:adjustRightInd w:val="0"/>
              <w:snapToGrid w:val="0"/>
              <w:spacing w:before="0" w:beforeAutospacing="0" w:after="0" w:afterAutospacing="0"/>
              <w:jc w:val="right"/>
              <w:rPr>
                <w:rFonts w:asciiTheme="minorEastAsia" w:hAnsiTheme="minorEastAsia" w:eastAsiaTheme="minorEastAsia" w:cstheme="minorEastAsia"/>
                <w:color w:val="000000"/>
              </w:rPr>
            </w:pPr>
            <w:r>
              <w:rPr>
                <w:rFonts w:asciiTheme="minorEastAsia" w:hAnsiTheme="minorEastAsia" w:eastAsiaTheme="minorEastAsia" w:cstheme="minorEastAsia"/>
                <w:color w:val="000000"/>
              </w:rPr>
              <w:t>17,288.2</w:t>
            </w:r>
            <w:r>
              <w:rPr>
                <w:rFonts w:hint="eastAsia" w:asciiTheme="minorEastAsia" w:hAnsiTheme="minorEastAsia" w:eastAsiaTheme="minorEastAsia" w:cstheme="minorEastAsia"/>
                <w:color w:val="000000"/>
              </w:rPr>
              <w:t>00</w:t>
            </w:r>
          </w:p>
        </w:tc>
        <w:tc>
          <w:tcPr>
            <w:tcW w:w="2110" w:type="dxa"/>
            <w:vAlign w:val="center"/>
          </w:tcPr>
          <w:p>
            <w:pPr>
              <w:pStyle w:val="10"/>
              <w:tabs>
                <w:tab w:val="left" w:pos="1260"/>
              </w:tabs>
              <w:adjustRightInd w:val="0"/>
              <w:snapToGrid w:val="0"/>
              <w:spacing w:before="0" w:beforeAutospacing="0" w:after="0" w:afterAutospacing="0"/>
              <w:jc w:val="right"/>
              <w:rPr>
                <w:rFonts w:asciiTheme="minorEastAsia" w:hAnsiTheme="minorEastAsia" w:eastAsiaTheme="minorEastAsia" w:cstheme="minorEastAsia"/>
                <w:color w:val="000000"/>
              </w:rPr>
            </w:pPr>
            <w:r>
              <w:rPr>
                <w:rFonts w:asciiTheme="minorEastAsia" w:hAnsiTheme="minorEastAsia" w:eastAsiaTheme="minorEastAsia" w:cstheme="minorEastAsia"/>
                <w:color w:val="000000"/>
              </w:rPr>
              <w:t>100%</w:t>
            </w:r>
          </w:p>
        </w:tc>
      </w:tr>
    </w:tbl>
    <w:p>
      <w:pPr>
        <w:pStyle w:val="10"/>
        <w:widowControl w:val="0"/>
        <w:tabs>
          <w:tab w:val="left" w:pos="1260"/>
        </w:tabs>
        <w:adjustRightInd w:val="0"/>
        <w:snapToGrid w:val="0"/>
        <w:spacing w:before="0" w:beforeAutospacing="0" w:after="0" w:afterAutospacing="0" w:line="500" w:lineRule="atLeast"/>
        <w:ind w:firstLine="560" w:firstLineChars="200"/>
        <w:jc w:val="both"/>
        <w:rPr>
          <w:rFonts w:asciiTheme="minorEastAsia" w:hAnsiTheme="minorEastAsia" w:eastAsiaTheme="minorEastAsia" w:cstheme="minorEastAsia"/>
          <w:color w:val="000000"/>
          <w:sz w:val="28"/>
          <w:szCs w:val="28"/>
        </w:rPr>
      </w:pPr>
      <w:r>
        <w:rPr>
          <w:rFonts w:asciiTheme="minorEastAsia" w:hAnsiTheme="minorEastAsia" w:eastAsiaTheme="minorEastAsia" w:cstheme="minorEastAsia"/>
          <w:color w:val="000000"/>
          <w:sz w:val="28"/>
          <w:szCs w:val="28"/>
        </w:rPr>
        <w:t xml:space="preserve">2. </w:t>
      </w:r>
      <w:r>
        <w:rPr>
          <w:rFonts w:hint="eastAsia" w:asciiTheme="minorEastAsia" w:hAnsiTheme="minorEastAsia" w:eastAsiaTheme="minorEastAsia" w:cstheme="minorEastAsia"/>
          <w:color w:val="000000"/>
          <w:sz w:val="28"/>
          <w:szCs w:val="28"/>
        </w:rPr>
        <w:t>东铭实业</w:t>
      </w:r>
    </w:p>
    <w:p>
      <w:pPr>
        <w:pStyle w:val="10"/>
        <w:tabs>
          <w:tab w:val="left" w:pos="1260"/>
        </w:tabs>
        <w:adjustRightInd w:val="0"/>
        <w:snapToGrid w:val="0"/>
        <w:spacing w:before="0" w:beforeAutospacing="0" w:after="0" w:afterAutospacing="0" w:line="500" w:lineRule="atLeast"/>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公司名称：东铭实业集团有限公司</w:t>
      </w:r>
    </w:p>
    <w:p>
      <w:pPr>
        <w:pStyle w:val="10"/>
        <w:tabs>
          <w:tab w:val="left" w:pos="1260"/>
        </w:tabs>
        <w:adjustRightInd w:val="0"/>
        <w:snapToGrid w:val="0"/>
        <w:spacing w:before="0" w:beforeAutospacing="0" w:after="0" w:afterAutospacing="0" w:line="500" w:lineRule="atLeast"/>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统一社会信用代码：</w:t>
      </w:r>
      <w:r>
        <w:rPr>
          <w:rFonts w:asciiTheme="minorEastAsia" w:hAnsiTheme="minorEastAsia" w:eastAsiaTheme="minorEastAsia" w:cstheme="minorEastAsia"/>
          <w:color w:val="000000"/>
          <w:sz w:val="28"/>
          <w:szCs w:val="28"/>
        </w:rPr>
        <w:t>91310113MA1GMC1P7T</w:t>
      </w:r>
    </w:p>
    <w:p>
      <w:pPr>
        <w:pStyle w:val="10"/>
        <w:tabs>
          <w:tab w:val="left" w:pos="1260"/>
        </w:tabs>
        <w:adjustRightInd w:val="0"/>
        <w:snapToGrid w:val="0"/>
        <w:spacing w:before="0" w:beforeAutospacing="0" w:after="0" w:afterAutospacing="0" w:line="500" w:lineRule="atLeast"/>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法定代表人：张仕平</w:t>
      </w:r>
    </w:p>
    <w:p>
      <w:pPr>
        <w:pStyle w:val="10"/>
        <w:tabs>
          <w:tab w:val="left" w:pos="1260"/>
        </w:tabs>
        <w:adjustRightInd w:val="0"/>
        <w:snapToGrid w:val="0"/>
        <w:spacing w:before="0" w:beforeAutospacing="0" w:after="0" w:afterAutospacing="0" w:line="500" w:lineRule="atLeast"/>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类型：有限责任公司</w:t>
      </w:r>
    </w:p>
    <w:p>
      <w:pPr>
        <w:pStyle w:val="10"/>
        <w:tabs>
          <w:tab w:val="left" w:pos="1260"/>
        </w:tabs>
        <w:adjustRightInd w:val="0"/>
        <w:snapToGrid w:val="0"/>
        <w:spacing w:before="0" w:beforeAutospacing="0" w:after="0" w:afterAutospacing="0" w:line="500" w:lineRule="atLeast"/>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成立日期：</w:t>
      </w:r>
      <w:r>
        <w:rPr>
          <w:rFonts w:asciiTheme="minorEastAsia" w:hAnsiTheme="minorEastAsia" w:eastAsiaTheme="minorEastAsia" w:cstheme="minorEastAsia"/>
          <w:color w:val="000000"/>
          <w:sz w:val="28"/>
          <w:szCs w:val="28"/>
        </w:rPr>
        <w:t>2018年2</w:t>
      </w:r>
      <w:r>
        <w:rPr>
          <w:rFonts w:hint="eastAsia" w:asciiTheme="minorEastAsia" w:hAnsiTheme="minorEastAsia" w:eastAsiaTheme="minorEastAsia" w:cstheme="minorEastAsia"/>
          <w:color w:val="000000"/>
          <w:sz w:val="28"/>
          <w:szCs w:val="28"/>
        </w:rPr>
        <w:t>月</w:t>
      </w:r>
      <w:r>
        <w:rPr>
          <w:rFonts w:asciiTheme="minorEastAsia" w:hAnsiTheme="minorEastAsia" w:eastAsiaTheme="minorEastAsia" w:cstheme="minorEastAsia"/>
          <w:color w:val="000000"/>
          <w:sz w:val="28"/>
          <w:szCs w:val="28"/>
        </w:rPr>
        <w:t>9</w:t>
      </w:r>
      <w:r>
        <w:rPr>
          <w:rFonts w:hint="eastAsia" w:asciiTheme="minorEastAsia" w:hAnsiTheme="minorEastAsia" w:eastAsiaTheme="minorEastAsia" w:cstheme="minorEastAsia"/>
          <w:color w:val="000000"/>
          <w:sz w:val="28"/>
          <w:szCs w:val="28"/>
        </w:rPr>
        <w:t>日</w:t>
      </w:r>
    </w:p>
    <w:p>
      <w:pPr>
        <w:pStyle w:val="10"/>
        <w:tabs>
          <w:tab w:val="left" w:pos="1260"/>
        </w:tabs>
        <w:adjustRightInd w:val="0"/>
        <w:snapToGrid w:val="0"/>
        <w:spacing w:before="0" w:beforeAutospacing="0" w:after="0" w:afterAutospacing="0" w:line="500" w:lineRule="atLeast"/>
        <w:ind w:firstLine="560" w:firstLineChars="200"/>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注册资本：</w:t>
      </w:r>
      <w:r>
        <w:rPr>
          <w:rFonts w:asciiTheme="minorEastAsia" w:hAnsiTheme="minorEastAsia" w:eastAsiaTheme="minorEastAsia" w:cstheme="minorEastAsia"/>
          <w:color w:val="000000"/>
          <w:sz w:val="28"/>
          <w:szCs w:val="28"/>
        </w:rPr>
        <w:t>145,505</w:t>
      </w:r>
      <w:r>
        <w:rPr>
          <w:rFonts w:hint="eastAsia" w:asciiTheme="minorEastAsia" w:hAnsiTheme="minorEastAsia" w:eastAsiaTheme="minorEastAsia" w:cstheme="minorEastAsia"/>
          <w:color w:val="000000"/>
          <w:sz w:val="28"/>
          <w:szCs w:val="28"/>
        </w:rPr>
        <w:t>万元人民币</w:t>
      </w:r>
    </w:p>
    <w:p>
      <w:pPr>
        <w:pStyle w:val="10"/>
        <w:widowControl w:val="0"/>
        <w:tabs>
          <w:tab w:val="left" w:pos="1260"/>
        </w:tabs>
        <w:adjustRightInd w:val="0"/>
        <w:snapToGrid w:val="0"/>
        <w:spacing w:before="0" w:beforeAutospacing="0" w:after="0" w:afterAutospacing="0" w:line="500" w:lineRule="atLeast"/>
        <w:ind w:firstLine="560" w:firstLineChars="200"/>
        <w:jc w:val="both"/>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住所：上海市宝山区逸仙路</w:t>
      </w:r>
      <w:r>
        <w:rPr>
          <w:rFonts w:asciiTheme="minorEastAsia" w:hAnsiTheme="minorEastAsia" w:eastAsiaTheme="minorEastAsia" w:cstheme="minorEastAsia"/>
          <w:color w:val="000000"/>
          <w:sz w:val="28"/>
          <w:szCs w:val="28"/>
        </w:rPr>
        <w:t>2816号1幢9层A0472室</w:t>
      </w:r>
    </w:p>
    <w:p>
      <w:pPr>
        <w:pStyle w:val="10"/>
        <w:widowControl w:val="0"/>
        <w:tabs>
          <w:tab w:val="left" w:pos="1260"/>
        </w:tabs>
        <w:adjustRightInd w:val="0"/>
        <w:snapToGrid w:val="0"/>
        <w:spacing w:before="0" w:beforeAutospacing="0" w:after="0" w:afterAutospacing="0" w:line="500" w:lineRule="atLeast"/>
        <w:ind w:firstLine="560" w:firstLineChars="200"/>
        <w:jc w:val="both"/>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主要经营范围：国际货物运输代理；供应链管理；仓储、装卸服务（除危险品及专项规定）；从事货物及技术的进出口业务；建筑材料、金属材料、金属制品、铁矿产品、煤炭、焦炭、钢材的销售等。</w:t>
      </w:r>
    </w:p>
    <w:p>
      <w:pPr>
        <w:pStyle w:val="10"/>
        <w:widowControl w:val="0"/>
        <w:tabs>
          <w:tab w:val="left" w:pos="1260"/>
        </w:tabs>
        <w:adjustRightInd w:val="0"/>
        <w:snapToGrid w:val="0"/>
        <w:spacing w:before="0" w:beforeAutospacing="0" w:after="0" w:afterAutospacing="0" w:line="500" w:lineRule="atLeast"/>
        <w:ind w:firstLine="560" w:firstLineChars="200"/>
        <w:jc w:val="both"/>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东铭实业为福建东聚的控股股东，其股权结构为：</w:t>
      </w:r>
    </w:p>
    <w:p>
      <w:pPr>
        <w:pStyle w:val="10"/>
        <w:widowControl w:val="0"/>
        <w:tabs>
          <w:tab w:val="left" w:pos="1260"/>
        </w:tabs>
        <w:adjustRightInd w:val="0"/>
        <w:snapToGrid w:val="0"/>
        <w:spacing w:before="0" w:beforeAutospacing="0" w:after="0" w:afterAutospacing="0" w:line="500" w:lineRule="atLeast"/>
        <w:ind w:firstLine="480" w:firstLineChars="200"/>
        <w:jc w:val="right"/>
        <w:rPr>
          <w:rFonts w:cstheme="minorEastAsia"/>
          <w:color w:val="000000"/>
        </w:rPr>
      </w:pPr>
      <w:r>
        <w:rPr>
          <w:rFonts w:hint="eastAsia" w:cstheme="minorEastAsia"/>
          <w:color w:val="000000"/>
        </w:rPr>
        <w:t>单位：万元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4586"/>
        <w:gridCol w:w="1325"/>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938" w:type="dxa"/>
            <w:shd w:val="clear" w:color="auto" w:fill="D8D8D8" w:themeFill="background1" w:themeFillShade="D9"/>
            <w:vAlign w:val="center"/>
          </w:tcPr>
          <w:p>
            <w:pPr>
              <w:pStyle w:val="10"/>
              <w:tabs>
                <w:tab w:val="left" w:pos="1260"/>
              </w:tabs>
              <w:adjustRightInd w:val="0"/>
              <w:snapToGrid w:val="0"/>
              <w:spacing w:before="0" w:beforeAutospacing="0" w:after="0" w:afterAutospacing="0"/>
              <w:jc w:val="center"/>
              <w:rPr>
                <w:rFonts w:cstheme="minorEastAsia"/>
                <w:b/>
                <w:bCs/>
                <w:color w:val="000000"/>
              </w:rPr>
            </w:pPr>
            <w:r>
              <w:rPr>
                <w:rFonts w:hint="eastAsia" w:cstheme="minorEastAsia"/>
                <w:b/>
                <w:bCs/>
                <w:color w:val="000000"/>
              </w:rPr>
              <w:t>序号</w:t>
            </w:r>
          </w:p>
        </w:tc>
        <w:tc>
          <w:tcPr>
            <w:tcW w:w="4586" w:type="dxa"/>
            <w:shd w:val="clear" w:color="auto" w:fill="D8D8D8" w:themeFill="background1" w:themeFillShade="D9"/>
            <w:vAlign w:val="center"/>
          </w:tcPr>
          <w:p>
            <w:pPr>
              <w:pStyle w:val="10"/>
              <w:tabs>
                <w:tab w:val="left" w:pos="1260"/>
              </w:tabs>
              <w:adjustRightInd w:val="0"/>
              <w:snapToGrid w:val="0"/>
              <w:spacing w:before="0" w:beforeAutospacing="0" w:after="0" w:afterAutospacing="0"/>
              <w:jc w:val="center"/>
              <w:rPr>
                <w:rFonts w:cstheme="minorEastAsia"/>
                <w:b/>
                <w:bCs/>
                <w:color w:val="000000"/>
              </w:rPr>
            </w:pPr>
            <w:r>
              <w:rPr>
                <w:rFonts w:hint="eastAsia" w:cstheme="minorEastAsia"/>
                <w:b/>
                <w:bCs/>
                <w:color w:val="000000"/>
              </w:rPr>
              <w:t>股东</w:t>
            </w:r>
          </w:p>
        </w:tc>
        <w:tc>
          <w:tcPr>
            <w:tcW w:w="1325" w:type="dxa"/>
            <w:shd w:val="clear" w:color="auto" w:fill="D8D8D8" w:themeFill="background1" w:themeFillShade="D9"/>
            <w:vAlign w:val="center"/>
          </w:tcPr>
          <w:p>
            <w:pPr>
              <w:pStyle w:val="10"/>
              <w:tabs>
                <w:tab w:val="left" w:pos="1260"/>
              </w:tabs>
              <w:adjustRightInd w:val="0"/>
              <w:snapToGrid w:val="0"/>
              <w:spacing w:before="0" w:beforeAutospacing="0" w:after="0" w:afterAutospacing="0"/>
              <w:jc w:val="center"/>
              <w:rPr>
                <w:rFonts w:cstheme="minorEastAsia"/>
                <w:b/>
                <w:bCs/>
                <w:color w:val="000000"/>
              </w:rPr>
            </w:pPr>
            <w:r>
              <w:rPr>
                <w:rFonts w:hint="eastAsia" w:cstheme="minorEastAsia"/>
                <w:b/>
                <w:bCs/>
                <w:color w:val="000000"/>
              </w:rPr>
              <w:t>出资额</w:t>
            </w:r>
          </w:p>
        </w:tc>
        <w:tc>
          <w:tcPr>
            <w:tcW w:w="1447" w:type="dxa"/>
            <w:shd w:val="clear" w:color="auto" w:fill="D8D8D8" w:themeFill="background1" w:themeFillShade="D9"/>
            <w:vAlign w:val="center"/>
          </w:tcPr>
          <w:p>
            <w:pPr>
              <w:pStyle w:val="10"/>
              <w:tabs>
                <w:tab w:val="left" w:pos="1260"/>
              </w:tabs>
              <w:adjustRightInd w:val="0"/>
              <w:snapToGrid w:val="0"/>
              <w:spacing w:before="0" w:beforeAutospacing="0" w:after="0" w:afterAutospacing="0"/>
              <w:jc w:val="center"/>
              <w:rPr>
                <w:rFonts w:cstheme="minorEastAsia"/>
                <w:b/>
                <w:bCs/>
                <w:color w:val="000000"/>
              </w:rPr>
            </w:pPr>
            <w:r>
              <w:rPr>
                <w:rFonts w:hint="eastAsia" w:cstheme="minorEastAsia"/>
                <w:b/>
                <w:bCs/>
                <w:color w:val="000000"/>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8" w:type="dxa"/>
            <w:vAlign w:val="center"/>
          </w:tcPr>
          <w:p>
            <w:pPr>
              <w:pStyle w:val="10"/>
              <w:tabs>
                <w:tab w:val="left" w:pos="1260"/>
              </w:tabs>
              <w:adjustRightInd w:val="0"/>
              <w:snapToGrid w:val="0"/>
              <w:spacing w:before="0" w:beforeAutospacing="0" w:after="0" w:afterAutospacing="0"/>
              <w:jc w:val="center"/>
              <w:rPr>
                <w:rFonts w:cstheme="minorEastAsia"/>
                <w:color w:val="000000"/>
              </w:rPr>
            </w:pPr>
            <w:r>
              <w:rPr>
                <w:rFonts w:cstheme="minorEastAsia"/>
                <w:color w:val="000000"/>
              </w:rPr>
              <w:t>1</w:t>
            </w:r>
          </w:p>
        </w:tc>
        <w:tc>
          <w:tcPr>
            <w:tcW w:w="4586" w:type="dxa"/>
            <w:vAlign w:val="center"/>
          </w:tcPr>
          <w:p>
            <w:pPr>
              <w:pStyle w:val="10"/>
              <w:tabs>
                <w:tab w:val="left" w:pos="1260"/>
              </w:tabs>
              <w:adjustRightInd w:val="0"/>
              <w:snapToGrid w:val="0"/>
              <w:spacing w:before="0" w:beforeAutospacing="0" w:after="0" w:afterAutospacing="0"/>
              <w:rPr>
                <w:rFonts w:cstheme="minorEastAsia"/>
                <w:color w:val="000000"/>
              </w:rPr>
            </w:pPr>
            <w:r>
              <w:rPr>
                <w:rFonts w:hint="eastAsia" w:cstheme="minorEastAsia"/>
                <w:color w:val="000000"/>
              </w:rPr>
              <w:t>上海骥铖企业管理有限公司</w:t>
            </w:r>
          </w:p>
        </w:tc>
        <w:tc>
          <w:tcPr>
            <w:tcW w:w="1325" w:type="dxa"/>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58,000</w:t>
            </w:r>
          </w:p>
        </w:tc>
        <w:tc>
          <w:tcPr>
            <w:tcW w:w="1447" w:type="dxa"/>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39.86%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8" w:type="dxa"/>
            <w:vAlign w:val="center"/>
          </w:tcPr>
          <w:p>
            <w:pPr>
              <w:pStyle w:val="10"/>
              <w:tabs>
                <w:tab w:val="left" w:pos="1260"/>
              </w:tabs>
              <w:adjustRightInd w:val="0"/>
              <w:snapToGrid w:val="0"/>
              <w:spacing w:before="0" w:beforeAutospacing="0" w:after="0" w:afterAutospacing="0"/>
              <w:jc w:val="center"/>
              <w:rPr>
                <w:rFonts w:cstheme="minorEastAsia"/>
                <w:color w:val="000000"/>
              </w:rPr>
            </w:pPr>
            <w:r>
              <w:rPr>
                <w:rFonts w:cstheme="minorEastAsia"/>
                <w:color w:val="000000"/>
              </w:rPr>
              <w:t>2</w:t>
            </w:r>
          </w:p>
        </w:tc>
        <w:tc>
          <w:tcPr>
            <w:tcW w:w="4586" w:type="dxa"/>
            <w:vAlign w:val="center"/>
          </w:tcPr>
          <w:p>
            <w:pPr>
              <w:pStyle w:val="10"/>
              <w:tabs>
                <w:tab w:val="left" w:pos="1260"/>
              </w:tabs>
              <w:adjustRightInd w:val="0"/>
              <w:snapToGrid w:val="0"/>
              <w:spacing w:before="0" w:beforeAutospacing="0" w:after="0" w:afterAutospacing="0"/>
              <w:rPr>
                <w:rFonts w:cstheme="minorEastAsia"/>
                <w:color w:val="000000"/>
              </w:rPr>
            </w:pPr>
            <w:r>
              <w:rPr>
                <w:rFonts w:hint="eastAsia" w:cstheme="minorEastAsia"/>
                <w:color w:val="000000"/>
              </w:rPr>
              <w:t>上海骥琛企业管理合伙企业（有限合伙）</w:t>
            </w:r>
          </w:p>
        </w:tc>
        <w:tc>
          <w:tcPr>
            <w:tcW w:w="1325" w:type="dxa"/>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36,000</w:t>
            </w:r>
          </w:p>
        </w:tc>
        <w:tc>
          <w:tcPr>
            <w:tcW w:w="1447" w:type="dxa"/>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24.74%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938" w:type="dxa"/>
            <w:vAlign w:val="center"/>
          </w:tcPr>
          <w:p>
            <w:pPr>
              <w:pStyle w:val="10"/>
              <w:tabs>
                <w:tab w:val="left" w:pos="1260"/>
              </w:tabs>
              <w:adjustRightInd w:val="0"/>
              <w:snapToGrid w:val="0"/>
              <w:spacing w:before="0" w:beforeAutospacing="0" w:after="0" w:afterAutospacing="0"/>
              <w:jc w:val="center"/>
              <w:rPr>
                <w:rFonts w:cstheme="minorEastAsia"/>
                <w:color w:val="000000"/>
              </w:rPr>
            </w:pPr>
            <w:r>
              <w:rPr>
                <w:rFonts w:cstheme="minorEastAsia"/>
                <w:color w:val="000000"/>
              </w:rPr>
              <w:t>3</w:t>
            </w:r>
          </w:p>
        </w:tc>
        <w:tc>
          <w:tcPr>
            <w:tcW w:w="4586" w:type="dxa"/>
            <w:vAlign w:val="center"/>
          </w:tcPr>
          <w:p>
            <w:pPr>
              <w:pStyle w:val="10"/>
              <w:tabs>
                <w:tab w:val="left" w:pos="1260"/>
              </w:tabs>
              <w:adjustRightInd w:val="0"/>
              <w:snapToGrid w:val="0"/>
              <w:spacing w:before="0" w:beforeAutospacing="0" w:after="0" w:afterAutospacing="0"/>
              <w:rPr>
                <w:rFonts w:cstheme="minorEastAsia"/>
                <w:color w:val="000000"/>
              </w:rPr>
            </w:pPr>
            <w:r>
              <w:rPr>
                <w:rFonts w:hint="eastAsia" w:cstheme="minorEastAsia"/>
                <w:color w:val="000000"/>
              </w:rPr>
              <w:t>宁波梅山保税港区骥合投资合伙企业（有限合伙）</w:t>
            </w:r>
          </w:p>
        </w:tc>
        <w:tc>
          <w:tcPr>
            <w:tcW w:w="1325" w:type="dxa"/>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19,000</w:t>
            </w:r>
          </w:p>
        </w:tc>
        <w:tc>
          <w:tcPr>
            <w:tcW w:w="1447" w:type="dxa"/>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13.06%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8" w:type="dxa"/>
            <w:vAlign w:val="center"/>
          </w:tcPr>
          <w:p>
            <w:pPr>
              <w:pStyle w:val="10"/>
              <w:tabs>
                <w:tab w:val="left" w:pos="1260"/>
              </w:tabs>
              <w:adjustRightInd w:val="0"/>
              <w:snapToGrid w:val="0"/>
              <w:spacing w:before="0" w:beforeAutospacing="0" w:after="0" w:afterAutospacing="0"/>
              <w:jc w:val="center"/>
              <w:rPr>
                <w:rFonts w:cstheme="minorEastAsia"/>
                <w:color w:val="000000"/>
              </w:rPr>
            </w:pPr>
            <w:r>
              <w:rPr>
                <w:rFonts w:cstheme="minorEastAsia"/>
                <w:color w:val="000000"/>
              </w:rPr>
              <w:t>4</w:t>
            </w:r>
          </w:p>
        </w:tc>
        <w:tc>
          <w:tcPr>
            <w:tcW w:w="4586" w:type="dxa"/>
            <w:vAlign w:val="center"/>
          </w:tcPr>
          <w:p>
            <w:pPr>
              <w:pStyle w:val="10"/>
              <w:tabs>
                <w:tab w:val="left" w:pos="1260"/>
              </w:tabs>
              <w:adjustRightInd w:val="0"/>
              <w:snapToGrid w:val="0"/>
              <w:spacing w:before="0" w:beforeAutospacing="0" w:after="0" w:afterAutospacing="0"/>
              <w:rPr>
                <w:rFonts w:cstheme="minorEastAsia"/>
                <w:color w:val="000000"/>
              </w:rPr>
            </w:pPr>
            <w:r>
              <w:rPr>
                <w:rFonts w:hint="eastAsia" w:cstheme="minorEastAsia"/>
                <w:color w:val="000000"/>
              </w:rPr>
              <w:t>福建骥兴投资中心（有限合伙）</w:t>
            </w:r>
          </w:p>
        </w:tc>
        <w:tc>
          <w:tcPr>
            <w:tcW w:w="1325" w:type="dxa"/>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13,505</w:t>
            </w:r>
          </w:p>
        </w:tc>
        <w:tc>
          <w:tcPr>
            <w:tcW w:w="1447" w:type="dxa"/>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8" w:type="dxa"/>
            <w:vAlign w:val="center"/>
          </w:tcPr>
          <w:p>
            <w:pPr>
              <w:pStyle w:val="10"/>
              <w:tabs>
                <w:tab w:val="left" w:pos="1260"/>
              </w:tabs>
              <w:adjustRightInd w:val="0"/>
              <w:snapToGrid w:val="0"/>
              <w:spacing w:before="0" w:beforeAutospacing="0" w:after="0" w:afterAutospacing="0"/>
              <w:jc w:val="center"/>
              <w:rPr>
                <w:rFonts w:cstheme="minorEastAsia"/>
                <w:color w:val="000000"/>
              </w:rPr>
            </w:pPr>
            <w:r>
              <w:rPr>
                <w:rFonts w:cstheme="minorEastAsia"/>
                <w:color w:val="000000"/>
              </w:rPr>
              <w:t>5</w:t>
            </w:r>
          </w:p>
        </w:tc>
        <w:tc>
          <w:tcPr>
            <w:tcW w:w="4586" w:type="dxa"/>
            <w:vAlign w:val="center"/>
          </w:tcPr>
          <w:p>
            <w:pPr>
              <w:pStyle w:val="10"/>
              <w:tabs>
                <w:tab w:val="left" w:pos="1260"/>
              </w:tabs>
              <w:adjustRightInd w:val="0"/>
              <w:snapToGrid w:val="0"/>
              <w:spacing w:before="0" w:beforeAutospacing="0" w:after="0" w:afterAutospacing="0"/>
              <w:rPr>
                <w:rFonts w:cstheme="minorEastAsia"/>
                <w:color w:val="000000"/>
              </w:rPr>
            </w:pPr>
            <w:r>
              <w:rPr>
                <w:rFonts w:hint="eastAsia" w:cstheme="minorEastAsia"/>
                <w:color w:val="000000"/>
              </w:rPr>
              <w:t>福建骥莆投资中心（有限合伙）</w:t>
            </w:r>
          </w:p>
        </w:tc>
        <w:tc>
          <w:tcPr>
            <w:tcW w:w="1325" w:type="dxa"/>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12,000</w:t>
            </w:r>
          </w:p>
        </w:tc>
        <w:tc>
          <w:tcPr>
            <w:tcW w:w="1447" w:type="dxa"/>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38" w:type="dxa"/>
            <w:vAlign w:val="center"/>
          </w:tcPr>
          <w:p>
            <w:pPr>
              <w:pStyle w:val="10"/>
              <w:tabs>
                <w:tab w:val="left" w:pos="1260"/>
              </w:tabs>
              <w:adjustRightInd w:val="0"/>
              <w:snapToGrid w:val="0"/>
              <w:spacing w:before="0" w:beforeAutospacing="0" w:after="0" w:afterAutospacing="0"/>
              <w:jc w:val="center"/>
              <w:rPr>
                <w:rFonts w:cstheme="minorEastAsia"/>
                <w:color w:val="000000"/>
              </w:rPr>
            </w:pPr>
            <w:r>
              <w:rPr>
                <w:rFonts w:cstheme="minorEastAsia"/>
                <w:color w:val="000000"/>
              </w:rPr>
              <w:t>6</w:t>
            </w:r>
          </w:p>
        </w:tc>
        <w:tc>
          <w:tcPr>
            <w:tcW w:w="4586" w:type="dxa"/>
            <w:vAlign w:val="center"/>
          </w:tcPr>
          <w:p>
            <w:pPr>
              <w:pStyle w:val="10"/>
              <w:tabs>
                <w:tab w:val="left" w:pos="1260"/>
              </w:tabs>
              <w:adjustRightInd w:val="0"/>
              <w:snapToGrid w:val="0"/>
              <w:spacing w:before="0" w:beforeAutospacing="0" w:after="0" w:afterAutospacing="0"/>
              <w:rPr>
                <w:rFonts w:cstheme="minorEastAsia"/>
                <w:color w:val="000000"/>
              </w:rPr>
            </w:pPr>
            <w:r>
              <w:rPr>
                <w:rFonts w:hint="eastAsia" w:cstheme="minorEastAsia"/>
                <w:color w:val="000000"/>
              </w:rPr>
              <w:t>福建骥仙投资中心（有限合伙）</w:t>
            </w:r>
          </w:p>
        </w:tc>
        <w:tc>
          <w:tcPr>
            <w:tcW w:w="1325" w:type="dxa"/>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7,000</w:t>
            </w:r>
          </w:p>
        </w:tc>
        <w:tc>
          <w:tcPr>
            <w:tcW w:w="1447" w:type="dxa"/>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524" w:type="dxa"/>
            <w:gridSpan w:val="2"/>
            <w:vAlign w:val="center"/>
          </w:tcPr>
          <w:p>
            <w:pPr>
              <w:pStyle w:val="10"/>
              <w:tabs>
                <w:tab w:val="left" w:pos="1260"/>
              </w:tabs>
              <w:adjustRightInd w:val="0"/>
              <w:snapToGrid w:val="0"/>
              <w:spacing w:before="0" w:beforeAutospacing="0" w:after="0" w:afterAutospacing="0"/>
              <w:jc w:val="center"/>
              <w:rPr>
                <w:rFonts w:cstheme="minorEastAsia"/>
                <w:color w:val="000000"/>
              </w:rPr>
            </w:pPr>
            <w:r>
              <w:rPr>
                <w:rFonts w:hint="eastAsia" w:cstheme="minorEastAsia"/>
                <w:color w:val="000000"/>
              </w:rPr>
              <w:t>合计</w:t>
            </w:r>
          </w:p>
        </w:tc>
        <w:tc>
          <w:tcPr>
            <w:tcW w:w="1325" w:type="dxa"/>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145,505</w:t>
            </w:r>
          </w:p>
        </w:tc>
        <w:tc>
          <w:tcPr>
            <w:tcW w:w="1447" w:type="dxa"/>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100%</w:t>
            </w:r>
          </w:p>
        </w:tc>
      </w:tr>
    </w:tbl>
    <w:p>
      <w:pPr>
        <w:pStyle w:val="10"/>
        <w:widowControl w:val="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rPr>
      </w:pPr>
      <w:r>
        <w:rPr>
          <w:rFonts w:asciiTheme="minorEastAsia" w:hAnsiTheme="minorEastAsia" w:eastAsiaTheme="minorEastAsia" w:cstheme="minorEastAsia"/>
          <w:color w:val="000000"/>
          <w:sz w:val="28"/>
          <w:szCs w:val="28"/>
          <w:lang w:val="zh-CN"/>
        </w:rPr>
        <w:t>3.</w:t>
      </w:r>
      <w:r>
        <w:rPr>
          <w:rFonts w:asciiTheme="minorEastAsia" w:hAnsiTheme="minorEastAsia" w:eastAsiaTheme="minorEastAsia" w:cstheme="minorEastAsia"/>
          <w:color w:val="000000"/>
          <w:sz w:val="28"/>
          <w:szCs w:val="28"/>
        </w:rPr>
        <w:t xml:space="preserve"> 目标公司基本情况详见“三、交易标的基本情况”。</w:t>
      </w:r>
    </w:p>
    <w:p>
      <w:pPr>
        <w:pStyle w:val="1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（二）《表决权委托协议》签署主体</w:t>
      </w:r>
    </w:p>
    <w:p>
      <w:pPr>
        <w:pStyle w:val="1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《表决权委托协议》的签署主体为公司、目标公司、福建东聚、福建东沃及福建东创。</w:t>
      </w:r>
    </w:p>
    <w:p>
      <w:pPr>
        <w:pStyle w:val="1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lang w:val="zh-CN"/>
        </w:rPr>
      </w:pPr>
      <w:r>
        <w:rPr>
          <w:rFonts w:asciiTheme="minorEastAsia" w:hAnsiTheme="minorEastAsia" w:eastAsiaTheme="minorEastAsia" w:cstheme="minorEastAsia"/>
          <w:color w:val="000000"/>
          <w:sz w:val="28"/>
          <w:szCs w:val="28"/>
          <w:lang w:val="zh-CN"/>
        </w:rPr>
        <w:t xml:space="preserve">1. </w:t>
      </w:r>
      <w:r>
        <w:rPr>
          <w:rFonts w:hint="eastAsia" w:asciiTheme="minorEastAsia" w:hAnsiTheme="minorEastAsia" w:eastAsiaTheme="minorEastAsia" w:cstheme="minorEastAsia"/>
          <w:color w:val="000000"/>
          <w:sz w:val="28"/>
          <w:szCs w:val="28"/>
          <w:lang w:val="zh-CN"/>
        </w:rPr>
        <w:t>福建东沃</w:t>
      </w:r>
    </w:p>
    <w:p>
      <w:pPr>
        <w:pStyle w:val="1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公司名称：福建东沃投资中心（有限合伙）</w:t>
      </w:r>
    </w:p>
    <w:p>
      <w:pPr>
        <w:pStyle w:val="1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统一社会信用代码：</w:t>
      </w:r>
      <w:r>
        <w:rPr>
          <w:rFonts w:asciiTheme="minorEastAsia" w:hAnsiTheme="minorEastAsia" w:eastAsiaTheme="minorEastAsia" w:cstheme="minorEastAsia"/>
          <w:color w:val="000000"/>
          <w:sz w:val="28"/>
          <w:szCs w:val="28"/>
          <w:lang w:val="zh-CN"/>
        </w:rPr>
        <w:t>91350305MA32793R7N</w:t>
      </w:r>
    </w:p>
    <w:p>
      <w:pPr>
        <w:pStyle w:val="1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执行事务合伙人：福建东聚科技有限公司</w:t>
      </w:r>
    </w:p>
    <w:p>
      <w:pPr>
        <w:pStyle w:val="1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类型：有限合伙企业</w:t>
      </w:r>
    </w:p>
    <w:p>
      <w:pPr>
        <w:pStyle w:val="1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成立日期：</w:t>
      </w:r>
      <w:r>
        <w:rPr>
          <w:rFonts w:asciiTheme="minorEastAsia" w:hAnsiTheme="minorEastAsia" w:eastAsiaTheme="minorEastAsia" w:cstheme="minorEastAsia"/>
          <w:color w:val="000000"/>
          <w:sz w:val="28"/>
          <w:szCs w:val="28"/>
          <w:lang w:val="zh-CN"/>
        </w:rPr>
        <w:t>2018年</w:t>
      </w:r>
      <w:r>
        <w:rPr>
          <w:rFonts w:hint="eastAsia" w:asciiTheme="minorEastAsia" w:hAnsiTheme="minorEastAsia" w:eastAsiaTheme="minorEastAsia" w:cstheme="minorEastAsia"/>
          <w:color w:val="000000"/>
          <w:sz w:val="28"/>
          <w:szCs w:val="28"/>
          <w:lang w:val="zh-CN"/>
        </w:rPr>
        <w:t>1</w:t>
      </w:r>
      <w:r>
        <w:rPr>
          <w:rFonts w:asciiTheme="minorEastAsia" w:hAnsiTheme="minorEastAsia" w:eastAsiaTheme="minorEastAsia" w:cstheme="minorEastAsia"/>
          <w:color w:val="000000"/>
          <w:sz w:val="28"/>
          <w:szCs w:val="28"/>
          <w:lang w:val="zh-CN"/>
        </w:rPr>
        <w:t>0月31日</w:t>
      </w:r>
    </w:p>
    <w:p>
      <w:pPr>
        <w:pStyle w:val="1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出资额：</w:t>
      </w:r>
      <w:r>
        <w:rPr>
          <w:rFonts w:asciiTheme="minorEastAsia" w:hAnsiTheme="minorEastAsia" w:eastAsiaTheme="minorEastAsia" w:cstheme="minorEastAsia"/>
          <w:color w:val="000000"/>
          <w:sz w:val="28"/>
          <w:szCs w:val="28"/>
          <w:lang w:val="zh-CN"/>
        </w:rPr>
        <w:t>9,900万元人民币</w:t>
      </w:r>
    </w:p>
    <w:p>
      <w:pPr>
        <w:pStyle w:val="1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住所：福建省莆田市湄洲湾北岸经济开发区经济城424号（集群注册）</w:t>
      </w:r>
    </w:p>
    <w:p>
      <w:pPr>
        <w:pStyle w:val="1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主要经营范围：对物流行业、交通运输业、信息技术行业的投资；软件开发；供应链管理；计算机数据处理和存储服务；货物或技术进出口；货物运输代理；仓储、装卸服务（不含危险化学品）等。</w:t>
      </w:r>
    </w:p>
    <w:p>
      <w:pPr>
        <w:pStyle w:val="1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lang w:val="zh-CN"/>
        </w:rPr>
      </w:pPr>
      <w:r>
        <w:rPr>
          <w:rFonts w:hint="eastAsia" w:asciiTheme="minorEastAsia" w:hAnsiTheme="minorEastAsia" w:cstheme="minorEastAsia"/>
          <w:color w:val="000000"/>
          <w:sz w:val="28"/>
          <w:szCs w:val="28"/>
        </w:rPr>
        <w:t>2</w:t>
      </w:r>
      <w:r>
        <w:rPr>
          <w:rFonts w:asciiTheme="minorEastAsia" w:hAnsiTheme="minorEastAsia" w:cstheme="minorEastAsia"/>
          <w:color w:val="000000"/>
          <w:sz w:val="28"/>
          <w:szCs w:val="28"/>
        </w:rPr>
        <w:t>.</w:t>
      </w:r>
      <w:r>
        <w:rPr>
          <w:rFonts w:asciiTheme="minorEastAsia" w:hAnsiTheme="minorEastAsia" w:eastAsiaTheme="minorEastAsia" w:cstheme="minorEastAsia"/>
          <w:color w:val="000000"/>
          <w:sz w:val="28"/>
          <w:szCs w:val="28"/>
          <w:lang w:val="zh-CN"/>
        </w:rPr>
        <w:t xml:space="preserve"> </w:t>
      </w:r>
      <w:r>
        <w:rPr>
          <w:rFonts w:hint="eastAsia" w:asciiTheme="minorEastAsia" w:hAnsiTheme="minorEastAsia" w:eastAsiaTheme="minorEastAsia" w:cstheme="minorEastAsia"/>
          <w:color w:val="000000"/>
          <w:sz w:val="28"/>
          <w:szCs w:val="28"/>
          <w:lang w:val="zh-CN"/>
        </w:rPr>
        <w:t>福建东创</w:t>
      </w:r>
    </w:p>
    <w:p>
      <w:pPr>
        <w:pStyle w:val="1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公司名称：福建东创投资中心（有限合伙）</w:t>
      </w:r>
    </w:p>
    <w:p>
      <w:pPr>
        <w:pStyle w:val="1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统一社会信用代码：</w:t>
      </w:r>
      <w:r>
        <w:rPr>
          <w:rFonts w:asciiTheme="minorEastAsia" w:hAnsiTheme="minorEastAsia" w:eastAsiaTheme="minorEastAsia" w:cstheme="minorEastAsia"/>
          <w:color w:val="000000"/>
          <w:sz w:val="28"/>
          <w:szCs w:val="28"/>
          <w:lang w:val="zh-CN"/>
        </w:rPr>
        <w:t>91350305MAC6Q9W98W</w:t>
      </w:r>
    </w:p>
    <w:p>
      <w:pPr>
        <w:pStyle w:val="1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执行事务合伙人：张仕平</w:t>
      </w:r>
    </w:p>
    <w:p>
      <w:pPr>
        <w:pStyle w:val="1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类型：有限合伙企业</w:t>
      </w:r>
    </w:p>
    <w:p>
      <w:pPr>
        <w:pStyle w:val="1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成立日期：</w:t>
      </w:r>
      <w:r>
        <w:rPr>
          <w:rFonts w:asciiTheme="minorEastAsia" w:hAnsiTheme="minorEastAsia" w:eastAsiaTheme="minorEastAsia" w:cstheme="minorEastAsia"/>
          <w:color w:val="000000"/>
          <w:sz w:val="28"/>
          <w:szCs w:val="28"/>
          <w:lang w:val="zh-CN"/>
        </w:rPr>
        <w:t>2023年1月19日</w:t>
      </w:r>
    </w:p>
    <w:p>
      <w:pPr>
        <w:pStyle w:val="1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出资额：</w:t>
      </w:r>
      <w:r>
        <w:rPr>
          <w:rFonts w:asciiTheme="minorEastAsia" w:hAnsiTheme="minorEastAsia" w:eastAsiaTheme="minorEastAsia" w:cstheme="minorEastAsia"/>
          <w:color w:val="000000"/>
          <w:sz w:val="28"/>
          <w:szCs w:val="28"/>
          <w:lang w:val="zh-CN"/>
        </w:rPr>
        <w:t>3,000万元人民币</w:t>
      </w:r>
    </w:p>
    <w:p>
      <w:pPr>
        <w:pStyle w:val="1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lang w:val="zh-CN"/>
        </w:rPr>
      </w:pPr>
      <w:r>
        <w:rPr>
          <w:rFonts w:hint="eastAsia" w:asciiTheme="minorEastAsia" w:hAnsiTheme="minorEastAsia" w:eastAsiaTheme="minorEastAsia" w:cstheme="minorEastAsia"/>
          <w:color w:val="000000"/>
          <w:sz w:val="28"/>
          <w:szCs w:val="28"/>
          <w:lang w:val="zh-CN"/>
        </w:rPr>
        <w:t>住所：福建省莆田市秀屿区忠门镇忠门社区新埭192号经济城1149号（集群注册）</w:t>
      </w:r>
    </w:p>
    <w:p>
      <w:pPr>
        <w:adjustRightInd w:val="0"/>
        <w:snapToGrid w:val="0"/>
        <w:spacing w:line="500" w:lineRule="exact"/>
        <w:ind w:firstLine="560" w:firstLineChars="200"/>
        <w:rPr>
          <w:rFonts w:asciiTheme="minorEastAsia" w:hAnsiTheme="minorEastAsia" w:cstheme="minorEastAsia"/>
          <w:color w:val="000000"/>
          <w:sz w:val="28"/>
          <w:szCs w:val="28"/>
          <w:lang w:val="zh-CN"/>
        </w:rPr>
      </w:pPr>
      <w:r>
        <w:rPr>
          <w:rFonts w:hint="eastAsia" w:asciiTheme="minorEastAsia" w:hAnsiTheme="minorEastAsia" w:cstheme="minorEastAsia"/>
          <w:color w:val="000000"/>
          <w:sz w:val="28"/>
          <w:szCs w:val="28"/>
          <w:lang w:val="zh-CN"/>
        </w:rPr>
        <w:t>主要经营范围：以自有资金从事投资活动；供应链管理服务；国内货物运输代理；陆路国际货物运输代理；普通货物仓储服务（不含危险化学品等需许可审批的项目）等。</w:t>
      </w:r>
    </w:p>
    <w:p>
      <w:pPr>
        <w:adjustRightInd w:val="0"/>
        <w:snapToGrid w:val="0"/>
        <w:spacing w:line="5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lang w:val="zh-CN"/>
        </w:rPr>
        <w:t>福建东沃及福建东创为目标公司股东，就本次交易前后所持有的目标公司股权比例</w:t>
      </w:r>
      <w:r>
        <w:rPr>
          <w:rFonts w:asciiTheme="minorEastAsia" w:hAnsiTheme="minorEastAsia" w:cstheme="minorEastAsia"/>
          <w:color w:val="000000"/>
          <w:sz w:val="28"/>
          <w:szCs w:val="28"/>
        </w:rPr>
        <w:t>详见“三、交易标的基本情况”</w:t>
      </w:r>
      <w:r>
        <w:rPr>
          <w:rFonts w:hint="eastAsia" w:asciiTheme="minorEastAsia" w:hAnsiTheme="minorEastAsia" w:cstheme="minorEastAsia"/>
          <w:color w:val="000000"/>
          <w:sz w:val="28"/>
          <w:szCs w:val="28"/>
        </w:rPr>
        <w:t>。</w:t>
      </w:r>
    </w:p>
    <w:p>
      <w:pPr>
        <w:pStyle w:val="1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zh-CN"/>
        </w:rPr>
        <w:t>（三）截至</w:t>
      </w:r>
      <w:r>
        <w:rPr>
          <w:rFonts w:hint="eastAsia" w:asciiTheme="minorEastAsia" w:hAnsiTheme="minorEastAsia" w:eastAsiaTheme="minorEastAsia" w:cstheme="minorEastAsia"/>
          <w:color w:val="000000"/>
          <w:sz w:val="28"/>
          <w:szCs w:val="28"/>
          <w:lang w:val="en-US" w:eastAsia="zh-CN"/>
        </w:rPr>
        <w:t>本公告披露日</w:t>
      </w:r>
      <w:r>
        <w:rPr>
          <w:rFonts w:hint="eastAsia" w:asciiTheme="minorEastAsia" w:hAnsiTheme="minorEastAsia" w:eastAsiaTheme="minorEastAsia" w:cstheme="minorEastAsia"/>
          <w:color w:val="000000"/>
          <w:sz w:val="28"/>
          <w:szCs w:val="28"/>
          <w:lang w:val="zh-CN"/>
        </w:rPr>
        <w:t>，上述协议签署主体均不是失信被执行人</w:t>
      </w:r>
      <w:r>
        <w:rPr>
          <w:rFonts w:hint="eastAsia" w:asciiTheme="minorEastAsia" w:hAnsiTheme="minorEastAsia" w:eastAsiaTheme="minorEastAsia" w:cstheme="minorEastAsia"/>
          <w:color w:val="000000"/>
          <w:sz w:val="28"/>
          <w:szCs w:val="28"/>
        </w:rPr>
        <w:t>。</w:t>
      </w:r>
    </w:p>
    <w:p>
      <w:pPr>
        <w:autoSpaceDE w:val="0"/>
        <w:autoSpaceDN w:val="0"/>
        <w:adjustRightInd w:val="0"/>
        <w:snapToGrid w:val="0"/>
        <w:spacing w:line="50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三、交易标的基本情况</w:t>
      </w:r>
    </w:p>
    <w:p>
      <w:pPr>
        <w:pStyle w:val="10"/>
        <w:widowControl w:val="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（一）目标公司的基本信息</w:t>
      </w:r>
    </w:p>
    <w:p>
      <w:pPr>
        <w:pStyle w:val="10"/>
        <w:widowControl w:val="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rPr>
      </w:pPr>
      <w:r>
        <w:rPr>
          <w:rFonts w:asciiTheme="minorEastAsia" w:hAnsiTheme="minorEastAsia" w:eastAsiaTheme="minorEastAsia" w:cstheme="minorEastAsia"/>
          <w:color w:val="000000"/>
          <w:sz w:val="28"/>
          <w:szCs w:val="28"/>
        </w:rPr>
        <w:t>企业名称：</w:t>
      </w:r>
      <w:r>
        <w:rPr>
          <w:rFonts w:hint="eastAsia" w:asciiTheme="minorEastAsia" w:hAnsiTheme="minorEastAsia" w:eastAsiaTheme="minorEastAsia" w:cstheme="minorEastAsia"/>
          <w:color w:val="000000"/>
          <w:sz w:val="28"/>
          <w:szCs w:val="28"/>
        </w:rPr>
        <w:t>物泊科技有限公司</w:t>
      </w:r>
    </w:p>
    <w:p>
      <w:pPr>
        <w:pStyle w:val="10"/>
        <w:widowControl w:val="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rPr>
      </w:pPr>
      <w:r>
        <w:rPr>
          <w:rFonts w:asciiTheme="minorEastAsia" w:hAnsiTheme="minorEastAsia" w:eastAsiaTheme="minorEastAsia" w:cstheme="minorEastAsia"/>
          <w:color w:val="000000"/>
          <w:sz w:val="28"/>
          <w:szCs w:val="28"/>
        </w:rPr>
        <w:t>统一社会信用代码：91350305MA31M7846M</w:t>
      </w:r>
    </w:p>
    <w:p>
      <w:pPr>
        <w:pStyle w:val="10"/>
        <w:widowControl w:val="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rPr>
      </w:pPr>
      <w:r>
        <w:rPr>
          <w:rFonts w:asciiTheme="minorEastAsia" w:hAnsiTheme="minorEastAsia" w:eastAsiaTheme="minorEastAsia" w:cstheme="minorEastAsia"/>
          <w:color w:val="000000"/>
          <w:sz w:val="28"/>
          <w:szCs w:val="28"/>
        </w:rPr>
        <w:t>法定代表人：</w:t>
      </w:r>
      <w:r>
        <w:rPr>
          <w:rFonts w:hint="eastAsia" w:asciiTheme="minorEastAsia" w:hAnsiTheme="minorEastAsia" w:eastAsiaTheme="minorEastAsia" w:cstheme="minorEastAsia"/>
          <w:color w:val="000000"/>
          <w:sz w:val="28"/>
          <w:szCs w:val="28"/>
        </w:rPr>
        <w:t>张仕平</w:t>
      </w:r>
    </w:p>
    <w:p>
      <w:pPr>
        <w:pStyle w:val="10"/>
        <w:widowControl w:val="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rPr>
      </w:pPr>
      <w:r>
        <w:rPr>
          <w:rFonts w:asciiTheme="minorEastAsia" w:hAnsiTheme="minorEastAsia" w:eastAsiaTheme="minorEastAsia" w:cstheme="minorEastAsia"/>
          <w:color w:val="000000"/>
          <w:sz w:val="28"/>
          <w:szCs w:val="28"/>
        </w:rPr>
        <w:t>类型：</w:t>
      </w:r>
      <w:r>
        <w:rPr>
          <w:rFonts w:hint="eastAsia" w:asciiTheme="minorEastAsia" w:hAnsiTheme="minorEastAsia" w:eastAsiaTheme="minorEastAsia" w:cstheme="minorEastAsia"/>
          <w:color w:val="000000"/>
          <w:sz w:val="28"/>
          <w:szCs w:val="28"/>
        </w:rPr>
        <w:t>其他有限责任公司</w:t>
      </w:r>
    </w:p>
    <w:p>
      <w:pPr>
        <w:pStyle w:val="10"/>
        <w:widowControl w:val="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rPr>
      </w:pPr>
      <w:r>
        <w:rPr>
          <w:rFonts w:asciiTheme="minorEastAsia" w:hAnsiTheme="minorEastAsia" w:eastAsiaTheme="minorEastAsia" w:cstheme="minorEastAsia"/>
          <w:color w:val="000000"/>
          <w:sz w:val="28"/>
          <w:szCs w:val="28"/>
        </w:rPr>
        <w:t>成立日期：2018年4月17日</w:t>
      </w:r>
    </w:p>
    <w:p>
      <w:pPr>
        <w:pStyle w:val="10"/>
        <w:widowControl w:val="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rPr>
      </w:pPr>
      <w:r>
        <w:rPr>
          <w:rFonts w:asciiTheme="minorEastAsia" w:hAnsiTheme="minorEastAsia" w:eastAsiaTheme="minorEastAsia" w:cstheme="minorEastAsia"/>
          <w:color w:val="000000"/>
          <w:sz w:val="28"/>
          <w:szCs w:val="28"/>
        </w:rPr>
        <w:t>注册资本：54,849.4227万</w:t>
      </w:r>
      <w:r>
        <w:rPr>
          <w:rFonts w:hint="eastAsia" w:asciiTheme="minorEastAsia" w:hAnsiTheme="minorEastAsia" w:eastAsiaTheme="minorEastAsia" w:cstheme="minorEastAsia"/>
          <w:color w:val="000000"/>
          <w:sz w:val="28"/>
          <w:szCs w:val="28"/>
        </w:rPr>
        <w:t>元</w:t>
      </w:r>
      <w:r>
        <w:rPr>
          <w:rFonts w:asciiTheme="minorEastAsia" w:hAnsiTheme="minorEastAsia" w:eastAsiaTheme="minorEastAsia" w:cstheme="minorEastAsia"/>
          <w:color w:val="000000"/>
          <w:sz w:val="28"/>
          <w:szCs w:val="28"/>
        </w:rPr>
        <w:t>人民币</w:t>
      </w:r>
    </w:p>
    <w:p>
      <w:pPr>
        <w:pStyle w:val="10"/>
        <w:widowControl w:val="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rPr>
      </w:pPr>
      <w:r>
        <w:rPr>
          <w:rFonts w:asciiTheme="minorEastAsia" w:hAnsiTheme="minorEastAsia" w:eastAsiaTheme="minorEastAsia" w:cstheme="minorEastAsia"/>
          <w:color w:val="000000"/>
          <w:sz w:val="28"/>
          <w:szCs w:val="28"/>
        </w:rPr>
        <w:t>营业期限：2018年4月17日至</w:t>
      </w:r>
      <w:r>
        <w:rPr>
          <w:rFonts w:hint="eastAsia" w:asciiTheme="minorEastAsia" w:hAnsiTheme="minorEastAsia" w:eastAsiaTheme="minorEastAsia" w:cstheme="minorEastAsia"/>
          <w:color w:val="000000"/>
          <w:sz w:val="28"/>
          <w:szCs w:val="28"/>
        </w:rPr>
        <w:t>无固定期限</w:t>
      </w:r>
    </w:p>
    <w:p>
      <w:pPr>
        <w:pStyle w:val="10"/>
        <w:widowControl w:val="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rPr>
      </w:pPr>
      <w:r>
        <w:rPr>
          <w:rFonts w:asciiTheme="minorEastAsia" w:hAnsiTheme="minorEastAsia" w:eastAsiaTheme="minorEastAsia" w:cstheme="minorEastAsia"/>
          <w:color w:val="000000"/>
          <w:sz w:val="28"/>
          <w:szCs w:val="28"/>
        </w:rPr>
        <w:t>登记机关：</w:t>
      </w:r>
      <w:r>
        <w:rPr>
          <w:rFonts w:hint="eastAsia" w:asciiTheme="minorEastAsia" w:hAnsiTheme="minorEastAsia" w:eastAsiaTheme="minorEastAsia" w:cstheme="minorEastAsia"/>
          <w:color w:val="000000"/>
          <w:sz w:val="28"/>
          <w:szCs w:val="28"/>
        </w:rPr>
        <w:t>莆田市市场监督管理局北岸分局</w:t>
      </w:r>
    </w:p>
    <w:p>
      <w:pPr>
        <w:pStyle w:val="10"/>
        <w:widowControl w:val="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经营</w:t>
      </w:r>
      <w:r>
        <w:rPr>
          <w:rFonts w:asciiTheme="minorEastAsia" w:hAnsiTheme="minorEastAsia" w:eastAsiaTheme="minorEastAsia" w:cstheme="minorEastAsia"/>
          <w:color w:val="000000"/>
          <w:sz w:val="28"/>
          <w:szCs w:val="28"/>
        </w:rPr>
        <w:t>状态：</w:t>
      </w:r>
      <w:r>
        <w:rPr>
          <w:rFonts w:hint="eastAsia" w:asciiTheme="minorEastAsia" w:hAnsiTheme="minorEastAsia" w:eastAsiaTheme="minorEastAsia" w:cstheme="minorEastAsia"/>
          <w:color w:val="000000"/>
          <w:sz w:val="28"/>
          <w:szCs w:val="28"/>
        </w:rPr>
        <w:t>存续</w:t>
      </w:r>
    </w:p>
    <w:p>
      <w:pPr>
        <w:pStyle w:val="10"/>
        <w:widowControl w:val="0"/>
        <w:tabs>
          <w:tab w:val="left" w:pos="1260"/>
        </w:tabs>
        <w:adjustRightInd w:val="0"/>
        <w:snapToGrid w:val="0"/>
        <w:spacing w:before="0" w:beforeAutospacing="0" w:after="0" w:afterAutospacing="0" w:line="500" w:lineRule="exact"/>
        <w:ind w:firstLine="560" w:firstLineChars="200"/>
        <w:jc w:val="both"/>
        <w:rPr>
          <w:rFonts w:asciiTheme="minorEastAsia" w:hAnsiTheme="minorEastAsia" w:eastAsiaTheme="minorEastAsia" w:cstheme="minorEastAsia"/>
          <w:color w:val="000000"/>
          <w:sz w:val="28"/>
          <w:szCs w:val="28"/>
        </w:rPr>
      </w:pPr>
      <w:r>
        <w:rPr>
          <w:rFonts w:asciiTheme="minorEastAsia" w:hAnsiTheme="minorEastAsia" w:eastAsiaTheme="minorEastAsia" w:cstheme="minorEastAsia"/>
          <w:color w:val="000000"/>
          <w:sz w:val="28"/>
          <w:szCs w:val="28"/>
        </w:rPr>
        <w:t>住所：</w:t>
      </w:r>
      <w:r>
        <w:rPr>
          <w:rFonts w:hint="eastAsia" w:asciiTheme="minorEastAsia" w:hAnsiTheme="minorEastAsia" w:eastAsiaTheme="minorEastAsia" w:cstheme="minorEastAsia"/>
          <w:color w:val="000000"/>
          <w:sz w:val="28"/>
          <w:szCs w:val="28"/>
        </w:rPr>
        <w:t>福建省莆田市湄洲湾北岸经济开发区经济城</w:t>
      </w:r>
      <w:r>
        <w:rPr>
          <w:rFonts w:asciiTheme="minorEastAsia" w:hAnsiTheme="minorEastAsia" w:eastAsiaTheme="minorEastAsia" w:cstheme="minorEastAsia"/>
          <w:color w:val="000000"/>
          <w:sz w:val="28"/>
          <w:szCs w:val="28"/>
        </w:rPr>
        <w:t>856</w:t>
      </w:r>
      <w:r>
        <w:rPr>
          <w:rFonts w:hint="eastAsia" w:asciiTheme="minorEastAsia" w:hAnsiTheme="minorEastAsia" w:eastAsiaTheme="minorEastAsia" w:cstheme="minorEastAsia"/>
          <w:color w:val="000000"/>
          <w:sz w:val="28"/>
          <w:szCs w:val="28"/>
        </w:rPr>
        <w:t>号</w:t>
      </w:r>
    </w:p>
    <w:p>
      <w:pPr>
        <w:autoSpaceDE w:val="0"/>
        <w:autoSpaceDN w:val="0"/>
        <w:adjustRightInd w:val="0"/>
        <w:snapToGrid w:val="0"/>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color w:val="000000"/>
          <w:sz w:val="28"/>
          <w:szCs w:val="28"/>
        </w:rPr>
        <w:t>主要经营范围：物联网技术服务；网络与信息安全软件开发；无船承运业务；国际货物运输代理；供应链管理服务；数据处理和存储支持服务；道路货物运输（网络货运）；第一类增值电信业务；第二类增值电信业务等。</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（二）主要财务数据</w:t>
      </w:r>
    </w:p>
    <w:p>
      <w:pPr>
        <w:spacing w:line="500" w:lineRule="exact"/>
        <w:ind w:firstLine="600"/>
        <w:rPr>
          <w:rFonts w:asciiTheme="minorEastAsia" w:hAnsiTheme="minorEastAsia" w:cstheme="minorEastAsia"/>
          <w:color w:val="000000"/>
          <w:kern w:val="0"/>
          <w:sz w:val="28"/>
          <w:szCs w:val="28"/>
        </w:rPr>
      </w:pPr>
      <w:r>
        <w:rPr>
          <w:rFonts w:asciiTheme="minorEastAsia" w:hAnsiTheme="minorEastAsia" w:cstheme="minorEastAsia"/>
          <w:color w:val="000000"/>
          <w:kern w:val="0"/>
          <w:sz w:val="28"/>
          <w:szCs w:val="28"/>
        </w:rPr>
        <w:t xml:space="preserve">1. </w:t>
      </w:r>
      <w:r>
        <w:rPr>
          <w:rFonts w:hint="eastAsia" w:asciiTheme="minorEastAsia" w:hAnsiTheme="minorEastAsia" w:cstheme="minorEastAsia"/>
          <w:color w:val="000000"/>
          <w:kern w:val="0"/>
          <w:sz w:val="28"/>
          <w:szCs w:val="28"/>
        </w:rPr>
        <w:t>目标公司最近两年及一期财务数据（合并口径）如下：</w:t>
      </w:r>
    </w:p>
    <w:p>
      <w:pPr>
        <w:adjustRightInd w:val="0"/>
        <w:snapToGrid w:val="0"/>
        <w:spacing w:line="500" w:lineRule="exact"/>
        <w:ind w:firstLine="560" w:firstLineChars="200"/>
        <w:jc w:val="righ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单位：万元</w:t>
      </w:r>
    </w:p>
    <w:tbl>
      <w:tblPr>
        <w:tblStyle w:val="12"/>
        <w:tblpPr w:leftFromText="180" w:rightFromText="180" w:vertAnchor="text" w:tblpY="166"/>
        <w:tblW w:w="5000" w:type="pct"/>
        <w:tblInd w:w="0" w:type="dxa"/>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Layout w:type="autofit"/>
        <w:tblCellMar>
          <w:top w:w="0" w:type="dxa"/>
          <w:left w:w="28" w:type="dxa"/>
          <w:bottom w:w="0" w:type="dxa"/>
          <w:right w:w="28" w:type="dxa"/>
        </w:tblCellMar>
      </w:tblPr>
      <w:tblGrid>
        <w:gridCol w:w="1732"/>
        <w:gridCol w:w="2251"/>
        <w:gridCol w:w="2255"/>
        <w:gridCol w:w="2251"/>
      </w:tblGrid>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757" w:hRule="exact"/>
          <w:tblHeader/>
        </w:trPr>
        <w:tc>
          <w:tcPr>
            <w:tcW w:w="1020" w:type="pct"/>
            <w:shd w:val="clear" w:color="auto" w:fill="D8D8D8" w:themeFill="background1" w:themeFillShade="D9"/>
            <w:tcMar>
              <w:top w:w="8" w:type="dxa"/>
              <w:left w:w="104" w:type="dxa"/>
              <w:bottom w:w="0" w:type="dxa"/>
              <w:right w:w="79" w:type="dxa"/>
            </w:tcMar>
            <w:vAlign w:val="center"/>
          </w:tcPr>
          <w:p>
            <w:pPr>
              <w:keepNext/>
              <w:adjustRightInd w:val="0"/>
              <w:snapToGrid w:val="0"/>
              <w:spacing w:line="360" w:lineRule="exact"/>
              <w:jc w:val="center"/>
              <w:rPr>
                <w:rFonts w:ascii="宋体" w:hAnsi="宋体"/>
                <w:b/>
                <w:sz w:val="24"/>
              </w:rPr>
            </w:pPr>
            <w:r>
              <w:rPr>
                <w:rFonts w:ascii="宋体" w:hAnsi="宋体"/>
                <w:b/>
                <w:sz w:val="24"/>
              </w:rPr>
              <w:t>科目或比率</w:t>
            </w:r>
          </w:p>
        </w:tc>
        <w:tc>
          <w:tcPr>
            <w:tcW w:w="1326" w:type="pct"/>
            <w:shd w:val="clear" w:color="auto" w:fill="D8D8D8" w:themeFill="background1" w:themeFillShade="D9"/>
            <w:tcMar>
              <w:top w:w="8" w:type="dxa"/>
              <w:left w:w="104" w:type="dxa"/>
              <w:bottom w:w="0" w:type="dxa"/>
              <w:right w:w="79" w:type="dxa"/>
            </w:tcMar>
            <w:vAlign w:val="center"/>
          </w:tcPr>
          <w:p>
            <w:pPr>
              <w:keepNext/>
              <w:adjustRightInd w:val="0"/>
              <w:snapToGrid w:val="0"/>
              <w:spacing w:line="360" w:lineRule="exact"/>
              <w:jc w:val="center"/>
              <w:rPr>
                <w:rFonts w:ascii="宋体" w:hAnsi="宋体"/>
                <w:b/>
                <w:sz w:val="24"/>
              </w:rPr>
            </w:pPr>
            <w:r>
              <w:rPr>
                <w:rFonts w:ascii="宋体" w:hAnsi="宋体"/>
                <w:b/>
                <w:bCs/>
                <w:sz w:val="24"/>
              </w:rPr>
              <w:t>202</w:t>
            </w:r>
            <w:r>
              <w:rPr>
                <w:rFonts w:hint="eastAsia" w:ascii="宋体" w:hAnsi="宋体"/>
                <w:b/>
                <w:bCs/>
                <w:sz w:val="24"/>
              </w:rPr>
              <w:t>4</w:t>
            </w:r>
            <w:r>
              <w:rPr>
                <w:rFonts w:ascii="宋体" w:hAnsi="宋体"/>
                <w:b/>
                <w:bCs/>
                <w:sz w:val="24"/>
              </w:rPr>
              <w:t>年</w:t>
            </w:r>
            <w:r>
              <w:rPr>
                <w:rFonts w:hint="eastAsia" w:ascii="宋体" w:hAnsi="宋体"/>
                <w:b/>
                <w:bCs/>
                <w:sz w:val="24"/>
              </w:rPr>
              <w:t>3</w:t>
            </w:r>
            <w:r>
              <w:rPr>
                <w:rFonts w:ascii="宋体" w:hAnsi="宋体"/>
                <w:b/>
                <w:bCs/>
                <w:sz w:val="24"/>
              </w:rPr>
              <w:t>月31日/202</w:t>
            </w:r>
            <w:r>
              <w:rPr>
                <w:rFonts w:hint="eastAsia" w:ascii="宋体" w:hAnsi="宋体"/>
                <w:b/>
                <w:bCs/>
                <w:sz w:val="24"/>
              </w:rPr>
              <w:t>4</w:t>
            </w:r>
            <w:r>
              <w:rPr>
                <w:rFonts w:ascii="宋体" w:hAnsi="宋体"/>
                <w:b/>
                <w:bCs/>
                <w:sz w:val="24"/>
              </w:rPr>
              <w:t>年</w:t>
            </w:r>
            <w:r>
              <w:rPr>
                <w:rFonts w:hint="eastAsia" w:ascii="宋体" w:hAnsi="宋体"/>
                <w:b/>
                <w:bCs/>
                <w:sz w:val="24"/>
              </w:rPr>
              <w:t>1-3月</w:t>
            </w:r>
          </w:p>
        </w:tc>
        <w:tc>
          <w:tcPr>
            <w:tcW w:w="1328" w:type="pct"/>
            <w:shd w:val="clear" w:color="auto" w:fill="D8D8D8" w:themeFill="background1" w:themeFillShade="D9"/>
            <w:tcMar>
              <w:top w:w="8" w:type="dxa"/>
              <w:left w:w="104" w:type="dxa"/>
              <w:bottom w:w="0" w:type="dxa"/>
              <w:right w:w="79" w:type="dxa"/>
            </w:tcMar>
            <w:vAlign w:val="center"/>
          </w:tcPr>
          <w:p>
            <w:pPr>
              <w:keepNext/>
              <w:adjustRightInd w:val="0"/>
              <w:snapToGrid w:val="0"/>
              <w:spacing w:line="360" w:lineRule="exact"/>
              <w:jc w:val="center"/>
              <w:rPr>
                <w:rFonts w:ascii="宋体" w:hAnsi="宋体"/>
                <w:b/>
                <w:sz w:val="24"/>
              </w:rPr>
            </w:pPr>
            <w:r>
              <w:rPr>
                <w:rFonts w:ascii="宋体" w:hAnsi="宋体"/>
                <w:b/>
                <w:bCs/>
                <w:sz w:val="24"/>
              </w:rPr>
              <w:t>202</w:t>
            </w:r>
            <w:r>
              <w:rPr>
                <w:rFonts w:hint="eastAsia" w:ascii="宋体" w:hAnsi="宋体"/>
                <w:b/>
                <w:bCs/>
                <w:sz w:val="24"/>
              </w:rPr>
              <w:t>3</w:t>
            </w:r>
            <w:r>
              <w:rPr>
                <w:rFonts w:ascii="宋体" w:hAnsi="宋体"/>
                <w:b/>
                <w:bCs/>
                <w:sz w:val="24"/>
              </w:rPr>
              <w:t>年12月31日/202</w:t>
            </w:r>
            <w:r>
              <w:rPr>
                <w:rFonts w:hint="eastAsia" w:ascii="宋体" w:hAnsi="宋体"/>
                <w:b/>
                <w:bCs/>
                <w:sz w:val="24"/>
              </w:rPr>
              <w:t>3</w:t>
            </w:r>
            <w:r>
              <w:rPr>
                <w:rFonts w:ascii="宋体" w:hAnsi="宋体"/>
                <w:b/>
                <w:bCs/>
                <w:sz w:val="24"/>
              </w:rPr>
              <w:t>年度</w:t>
            </w:r>
          </w:p>
        </w:tc>
        <w:tc>
          <w:tcPr>
            <w:tcW w:w="1326" w:type="pct"/>
            <w:shd w:val="clear" w:color="auto" w:fill="D8D8D8" w:themeFill="background1" w:themeFillShade="D9"/>
            <w:tcMar>
              <w:top w:w="8" w:type="dxa"/>
              <w:left w:w="104" w:type="dxa"/>
              <w:bottom w:w="0" w:type="dxa"/>
              <w:right w:w="79" w:type="dxa"/>
            </w:tcMar>
            <w:vAlign w:val="center"/>
          </w:tcPr>
          <w:p>
            <w:pPr>
              <w:keepNext/>
              <w:adjustRightInd w:val="0"/>
              <w:snapToGrid w:val="0"/>
              <w:spacing w:line="360" w:lineRule="exact"/>
              <w:jc w:val="center"/>
              <w:rPr>
                <w:rFonts w:ascii="宋体" w:hAnsi="宋体"/>
                <w:b/>
                <w:sz w:val="24"/>
              </w:rPr>
            </w:pPr>
            <w:r>
              <w:rPr>
                <w:rFonts w:ascii="宋体" w:hAnsi="宋体"/>
                <w:b/>
                <w:bCs/>
                <w:sz w:val="24"/>
              </w:rPr>
              <w:t>202</w:t>
            </w:r>
            <w:r>
              <w:rPr>
                <w:rFonts w:hint="eastAsia" w:ascii="宋体" w:hAnsi="宋体"/>
                <w:b/>
                <w:bCs/>
                <w:sz w:val="24"/>
              </w:rPr>
              <w:t>2</w:t>
            </w:r>
            <w:r>
              <w:rPr>
                <w:rFonts w:ascii="宋体" w:hAnsi="宋体"/>
                <w:b/>
                <w:bCs/>
                <w:sz w:val="24"/>
              </w:rPr>
              <w:t>年12月31日/202</w:t>
            </w:r>
            <w:r>
              <w:rPr>
                <w:rFonts w:hint="eastAsia" w:ascii="宋体" w:hAnsi="宋体"/>
                <w:b/>
                <w:bCs/>
                <w:sz w:val="24"/>
              </w:rPr>
              <w:t>2</w:t>
            </w:r>
            <w:r>
              <w:rPr>
                <w:rFonts w:ascii="宋体" w:hAnsi="宋体"/>
                <w:b/>
                <w:bCs/>
                <w:sz w:val="24"/>
              </w:rPr>
              <w:t>年度</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567" w:hRule="exact"/>
        </w:trPr>
        <w:tc>
          <w:tcPr>
            <w:tcW w:w="1020" w:type="pct"/>
            <w:shd w:val="clear" w:color="auto" w:fill="auto"/>
            <w:tcMar>
              <w:top w:w="8" w:type="dxa"/>
              <w:left w:w="104" w:type="dxa"/>
              <w:bottom w:w="0" w:type="dxa"/>
              <w:right w:w="79" w:type="dxa"/>
            </w:tcMar>
            <w:vAlign w:val="center"/>
          </w:tcPr>
          <w:p>
            <w:pPr>
              <w:widowControl/>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资产总计</w:t>
            </w:r>
          </w:p>
        </w:tc>
        <w:tc>
          <w:tcPr>
            <w:tcW w:w="1326" w:type="pct"/>
            <w:shd w:val="clear" w:color="auto" w:fill="auto"/>
            <w:tcMar>
              <w:top w:w="8" w:type="dxa"/>
              <w:left w:w="104" w:type="dxa"/>
              <w:bottom w:w="0" w:type="dxa"/>
              <w:right w:w="79" w:type="dxa"/>
            </w:tcMar>
            <w:vAlign w:val="center"/>
          </w:tcPr>
          <w:p>
            <w:pPr>
              <w:widowControl/>
              <w:jc w:val="right"/>
              <w:textAlignment w:val="center"/>
              <w:rPr>
                <w:rFonts w:ascii="宋体" w:hAnsi="宋体"/>
                <w:sz w:val="24"/>
              </w:rPr>
            </w:pPr>
            <w:r>
              <w:rPr>
                <w:rFonts w:hint="eastAsia" w:ascii="宋体" w:hAnsi="宋体" w:eastAsia="宋体" w:cs="宋体"/>
                <w:color w:val="000000"/>
                <w:kern w:val="0"/>
                <w:sz w:val="24"/>
                <w:szCs w:val="24"/>
                <w:lang w:bidi="ar"/>
              </w:rPr>
              <w:t>363,650.21</w:t>
            </w:r>
          </w:p>
        </w:tc>
        <w:tc>
          <w:tcPr>
            <w:tcW w:w="1328" w:type="pct"/>
            <w:shd w:val="clear" w:color="auto" w:fill="auto"/>
            <w:tcMar>
              <w:top w:w="8" w:type="dxa"/>
              <w:left w:w="104" w:type="dxa"/>
              <w:bottom w:w="0" w:type="dxa"/>
              <w:right w:w="79" w:type="dxa"/>
            </w:tcMar>
            <w:vAlign w:val="center"/>
          </w:tcPr>
          <w:p>
            <w:pPr>
              <w:widowControl/>
              <w:jc w:val="right"/>
              <w:textAlignment w:val="center"/>
              <w:rPr>
                <w:rFonts w:ascii="宋体" w:hAnsi="宋体"/>
                <w:sz w:val="24"/>
              </w:rPr>
            </w:pPr>
            <w:r>
              <w:rPr>
                <w:rFonts w:hint="eastAsia" w:ascii="宋体" w:hAnsi="宋体" w:eastAsia="宋体" w:cs="宋体"/>
                <w:color w:val="000000"/>
                <w:kern w:val="0"/>
                <w:sz w:val="24"/>
                <w:szCs w:val="24"/>
                <w:lang w:bidi="ar"/>
              </w:rPr>
              <w:t>367,755.51</w:t>
            </w:r>
          </w:p>
        </w:tc>
        <w:tc>
          <w:tcPr>
            <w:tcW w:w="1326" w:type="pct"/>
            <w:shd w:val="clear" w:color="auto" w:fill="auto"/>
            <w:tcMar>
              <w:top w:w="8" w:type="dxa"/>
              <w:left w:w="104" w:type="dxa"/>
              <w:bottom w:w="0" w:type="dxa"/>
              <w:right w:w="79" w:type="dxa"/>
            </w:tcMar>
            <w:vAlign w:val="center"/>
          </w:tcPr>
          <w:p>
            <w:pPr>
              <w:widowControl/>
              <w:jc w:val="right"/>
              <w:textAlignment w:val="center"/>
              <w:rPr>
                <w:rFonts w:ascii="宋体" w:hAnsi="宋体"/>
                <w:sz w:val="24"/>
              </w:rPr>
            </w:pPr>
            <w:r>
              <w:rPr>
                <w:rFonts w:hint="eastAsia" w:ascii="宋体" w:hAnsi="宋体" w:cs="宋体"/>
                <w:color w:val="000000"/>
                <w:kern w:val="0"/>
                <w:sz w:val="24"/>
                <w:lang w:bidi="ar"/>
              </w:rPr>
              <w:t xml:space="preserve">276,976.82 </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567" w:hRule="exact"/>
        </w:trPr>
        <w:tc>
          <w:tcPr>
            <w:tcW w:w="1020" w:type="pct"/>
            <w:shd w:val="clear" w:color="auto" w:fill="auto"/>
            <w:tcMar>
              <w:top w:w="8" w:type="dxa"/>
              <w:left w:w="104" w:type="dxa"/>
              <w:bottom w:w="0" w:type="dxa"/>
              <w:right w:w="79" w:type="dxa"/>
            </w:tcMar>
            <w:vAlign w:val="center"/>
          </w:tcPr>
          <w:p>
            <w:pPr>
              <w:widowControl/>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所有者权益</w:t>
            </w:r>
          </w:p>
        </w:tc>
        <w:tc>
          <w:tcPr>
            <w:tcW w:w="1326" w:type="pct"/>
            <w:shd w:val="clear" w:color="auto" w:fill="auto"/>
            <w:tcMar>
              <w:top w:w="8" w:type="dxa"/>
              <w:left w:w="104" w:type="dxa"/>
              <w:bottom w:w="0" w:type="dxa"/>
              <w:right w:w="79" w:type="dxa"/>
            </w:tcMar>
            <w:vAlign w:val="center"/>
          </w:tcPr>
          <w:p>
            <w:pPr>
              <w:widowControl/>
              <w:jc w:val="right"/>
              <w:textAlignment w:val="center"/>
              <w:rPr>
                <w:rFonts w:ascii="宋体" w:hAnsi="宋体"/>
                <w:sz w:val="24"/>
              </w:rPr>
            </w:pPr>
            <w:r>
              <w:rPr>
                <w:rFonts w:hint="eastAsia" w:ascii="宋体" w:hAnsi="宋体" w:eastAsia="宋体" w:cs="宋体"/>
                <w:color w:val="000000"/>
                <w:kern w:val="0"/>
                <w:sz w:val="24"/>
                <w:szCs w:val="24"/>
                <w:lang w:bidi="ar"/>
              </w:rPr>
              <w:t>161</w:t>
            </w:r>
            <w:r>
              <w:rPr>
                <w:rFonts w:hint="eastAsia" w:ascii="宋体" w:hAnsi="宋体" w:cs="宋体"/>
                <w:color w:val="000000"/>
                <w:kern w:val="0"/>
                <w:sz w:val="24"/>
                <w:szCs w:val="24"/>
                <w:lang w:bidi="ar"/>
              </w:rPr>
              <w:t>,</w:t>
            </w:r>
            <w:r>
              <w:rPr>
                <w:rFonts w:hint="eastAsia" w:ascii="宋体" w:hAnsi="宋体" w:eastAsia="宋体" w:cs="宋体"/>
                <w:color w:val="000000"/>
                <w:kern w:val="0"/>
                <w:sz w:val="24"/>
                <w:szCs w:val="24"/>
                <w:lang w:bidi="ar"/>
              </w:rPr>
              <w:t>222.</w:t>
            </w:r>
            <w:r>
              <w:rPr>
                <w:rFonts w:hint="eastAsia" w:ascii="宋体" w:hAnsi="宋体" w:cs="宋体"/>
                <w:color w:val="000000"/>
                <w:kern w:val="0"/>
                <w:sz w:val="24"/>
                <w:szCs w:val="24"/>
                <w:lang w:bidi="ar"/>
              </w:rPr>
              <w:t>30</w:t>
            </w:r>
          </w:p>
        </w:tc>
        <w:tc>
          <w:tcPr>
            <w:tcW w:w="1328" w:type="pct"/>
            <w:shd w:val="clear" w:color="auto" w:fill="auto"/>
            <w:tcMar>
              <w:top w:w="8" w:type="dxa"/>
              <w:left w:w="104" w:type="dxa"/>
              <w:bottom w:w="0" w:type="dxa"/>
              <w:right w:w="79" w:type="dxa"/>
            </w:tcMar>
            <w:vAlign w:val="center"/>
          </w:tcPr>
          <w:p>
            <w:pPr>
              <w:widowControl/>
              <w:jc w:val="right"/>
              <w:textAlignment w:val="center"/>
              <w:rPr>
                <w:rFonts w:ascii="宋体" w:hAnsi="宋体"/>
                <w:sz w:val="24"/>
              </w:rPr>
            </w:pPr>
            <w:r>
              <w:rPr>
                <w:rFonts w:hint="eastAsia" w:ascii="宋体" w:hAnsi="宋体" w:eastAsia="宋体" w:cs="宋体"/>
                <w:color w:val="000000"/>
                <w:kern w:val="0"/>
                <w:sz w:val="24"/>
                <w:szCs w:val="24"/>
                <w:lang w:bidi="ar"/>
              </w:rPr>
              <w:t>160</w:t>
            </w:r>
            <w:r>
              <w:rPr>
                <w:rFonts w:hint="eastAsia" w:ascii="宋体" w:hAnsi="宋体" w:cs="宋体"/>
                <w:color w:val="000000"/>
                <w:kern w:val="0"/>
                <w:sz w:val="24"/>
                <w:szCs w:val="24"/>
                <w:lang w:bidi="ar"/>
              </w:rPr>
              <w:t>,</w:t>
            </w:r>
            <w:r>
              <w:rPr>
                <w:rFonts w:hint="eastAsia" w:ascii="宋体" w:hAnsi="宋体" w:eastAsia="宋体" w:cs="宋体"/>
                <w:color w:val="000000"/>
                <w:kern w:val="0"/>
                <w:sz w:val="24"/>
                <w:szCs w:val="24"/>
                <w:lang w:bidi="ar"/>
              </w:rPr>
              <w:t>040.40</w:t>
            </w:r>
          </w:p>
        </w:tc>
        <w:tc>
          <w:tcPr>
            <w:tcW w:w="1326" w:type="pct"/>
            <w:shd w:val="clear" w:color="auto" w:fill="auto"/>
            <w:tcMar>
              <w:top w:w="8" w:type="dxa"/>
              <w:left w:w="104" w:type="dxa"/>
              <w:bottom w:w="0" w:type="dxa"/>
              <w:right w:w="79" w:type="dxa"/>
            </w:tcMar>
            <w:vAlign w:val="center"/>
          </w:tcPr>
          <w:p>
            <w:pPr>
              <w:widowControl/>
              <w:jc w:val="right"/>
              <w:textAlignment w:val="center"/>
              <w:rPr>
                <w:rFonts w:ascii="宋体" w:hAnsi="宋体"/>
                <w:sz w:val="24"/>
              </w:rPr>
            </w:pPr>
            <w:r>
              <w:rPr>
                <w:rFonts w:hint="eastAsia" w:ascii="宋体" w:hAnsi="宋体" w:cs="宋体"/>
                <w:color w:val="000000"/>
                <w:kern w:val="0"/>
                <w:sz w:val="24"/>
                <w:lang w:bidi="ar"/>
              </w:rPr>
              <w:t xml:space="preserve">146,034.21 </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567" w:hRule="exact"/>
        </w:trPr>
        <w:tc>
          <w:tcPr>
            <w:tcW w:w="1020" w:type="pct"/>
            <w:shd w:val="clear" w:color="auto" w:fill="auto"/>
            <w:tcMar>
              <w:top w:w="8" w:type="dxa"/>
              <w:left w:w="104" w:type="dxa"/>
              <w:bottom w:w="0" w:type="dxa"/>
              <w:right w:w="79" w:type="dxa"/>
            </w:tcMar>
            <w:vAlign w:val="center"/>
          </w:tcPr>
          <w:p>
            <w:pPr>
              <w:widowControl/>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营业收入</w:t>
            </w:r>
          </w:p>
        </w:tc>
        <w:tc>
          <w:tcPr>
            <w:tcW w:w="1326" w:type="pct"/>
            <w:shd w:val="clear" w:color="auto" w:fill="auto"/>
            <w:tcMar>
              <w:top w:w="8" w:type="dxa"/>
              <w:left w:w="104" w:type="dxa"/>
              <w:bottom w:w="0" w:type="dxa"/>
              <w:right w:w="79" w:type="dxa"/>
            </w:tcMar>
            <w:vAlign w:val="center"/>
          </w:tcPr>
          <w:p>
            <w:pPr>
              <w:widowControl/>
              <w:jc w:val="right"/>
              <w:textAlignment w:val="center"/>
              <w:rPr>
                <w:rFonts w:ascii="宋体" w:hAnsi="宋体"/>
                <w:sz w:val="24"/>
              </w:rPr>
            </w:pPr>
            <w:r>
              <w:rPr>
                <w:rFonts w:hint="eastAsia" w:ascii="宋体" w:hAnsi="宋体" w:eastAsia="宋体" w:cs="宋体"/>
                <w:color w:val="000000"/>
                <w:kern w:val="0"/>
                <w:sz w:val="24"/>
                <w:szCs w:val="24"/>
                <w:lang w:bidi="ar"/>
              </w:rPr>
              <w:t xml:space="preserve">409,011.00 </w:t>
            </w:r>
          </w:p>
        </w:tc>
        <w:tc>
          <w:tcPr>
            <w:tcW w:w="1328" w:type="pct"/>
            <w:shd w:val="clear" w:color="auto" w:fill="auto"/>
            <w:tcMar>
              <w:top w:w="8" w:type="dxa"/>
              <w:left w:w="104" w:type="dxa"/>
              <w:bottom w:w="0" w:type="dxa"/>
              <w:right w:w="79" w:type="dxa"/>
            </w:tcMar>
            <w:vAlign w:val="center"/>
          </w:tcPr>
          <w:p>
            <w:pPr>
              <w:widowControl/>
              <w:jc w:val="right"/>
              <w:textAlignment w:val="center"/>
              <w:rPr>
                <w:rFonts w:ascii="宋体" w:hAnsi="宋体"/>
                <w:sz w:val="24"/>
              </w:rPr>
            </w:pPr>
            <w:r>
              <w:rPr>
                <w:rFonts w:hint="eastAsia" w:ascii="宋体" w:hAnsi="宋体" w:eastAsia="宋体" w:cs="宋体"/>
                <w:color w:val="000000"/>
                <w:kern w:val="0"/>
                <w:sz w:val="24"/>
                <w:szCs w:val="24"/>
                <w:lang w:bidi="ar"/>
              </w:rPr>
              <w:t xml:space="preserve">2,194,176.88 </w:t>
            </w:r>
          </w:p>
        </w:tc>
        <w:tc>
          <w:tcPr>
            <w:tcW w:w="1326" w:type="pct"/>
            <w:shd w:val="clear" w:color="auto" w:fill="auto"/>
            <w:tcMar>
              <w:top w:w="8" w:type="dxa"/>
              <w:left w:w="104" w:type="dxa"/>
              <w:bottom w:w="0" w:type="dxa"/>
              <w:right w:w="79" w:type="dxa"/>
            </w:tcMar>
            <w:vAlign w:val="center"/>
          </w:tcPr>
          <w:p>
            <w:pPr>
              <w:widowControl/>
              <w:jc w:val="right"/>
              <w:textAlignment w:val="center"/>
              <w:rPr>
                <w:rFonts w:ascii="宋体" w:hAnsi="宋体"/>
                <w:sz w:val="24"/>
              </w:rPr>
            </w:pPr>
            <w:r>
              <w:rPr>
                <w:rFonts w:hint="eastAsia" w:ascii="宋体" w:hAnsi="宋体" w:cs="宋体"/>
                <w:color w:val="000000"/>
                <w:kern w:val="0"/>
                <w:sz w:val="24"/>
                <w:lang w:bidi="ar"/>
              </w:rPr>
              <w:t xml:space="preserve">2,081,230.27 </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567" w:hRule="exact"/>
        </w:trPr>
        <w:tc>
          <w:tcPr>
            <w:tcW w:w="1020" w:type="pct"/>
            <w:shd w:val="clear" w:color="auto" w:fill="auto"/>
            <w:tcMar>
              <w:top w:w="8" w:type="dxa"/>
              <w:left w:w="104" w:type="dxa"/>
              <w:bottom w:w="0" w:type="dxa"/>
              <w:right w:w="79" w:type="dxa"/>
            </w:tcMar>
            <w:vAlign w:val="center"/>
          </w:tcPr>
          <w:p>
            <w:pPr>
              <w:widowControl/>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净利润</w:t>
            </w:r>
          </w:p>
        </w:tc>
        <w:tc>
          <w:tcPr>
            <w:tcW w:w="1326" w:type="pct"/>
            <w:shd w:val="clear" w:color="auto" w:fill="auto"/>
            <w:tcMar>
              <w:top w:w="8" w:type="dxa"/>
              <w:left w:w="104" w:type="dxa"/>
              <w:bottom w:w="0" w:type="dxa"/>
              <w:right w:w="79" w:type="dxa"/>
            </w:tcMar>
            <w:vAlign w:val="center"/>
          </w:tcPr>
          <w:p>
            <w:pPr>
              <w:widowControl/>
              <w:jc w:val="right"/>
              <w:textAlignment w:val="center"/>
              <w:rPr>
                <w:rFonts w:ascii="宋体" w:hAnsi="宋体"/>
                <w:sz w:val="24"/>
              </w:rPr>
            </w:pPr>
            <w:r>
              <w:rPr>
                <w:rFonts w:hint="eastAsia" w:ascii="宋体" w:hAnsi="宋体" w:eastAsia="宋体" w:cs="宋体"/>
                <w:color w:val="000000"/>
                <w:kern w:val="0"/>
                <w:sz w:val="24"/>
                <w:szCs w:val="24"/>
                <w:lang w:bidi="ar"/>
              </w:rPr>
              <w:t xml:space="preserve">1,167.51 </w:t>
            </w:r>
          </w:p>
        </w:tc>
        <w:tc>
          <w:tcPr>
            <w:tcW w:w="1328" w:type="pct"/>
            <w:shd w:val="clear" w:color="auto" w:fill="auto"/>
            <w:tcMar>
              <w:top w:w="8" w:type="dxa"/>
              <w:left w:w="104" w:type="dxa"/>
              <w:bottom w:w="0" w:type="dxa"/>
              <w:right w:w="79" w:type="dxa"/>
            </w:tcMar>
            <w:vAlign w:val="center"/>
          </w:tcPr>
          <w:p>
            <w:pPr>
              <w:widowControl/>
              <w:jc w:val="right"/>
              <w:textAlignment w:val="center"/>
              <w:rPr>
                <w:rFonts w:ascii="宋体" w:hAnsi="宋体"/>
                <w:sz w:val="24"/>
              </w:rPr>
            </w:pPr>
            <w:r>
              <w:rPr>
                <w:rFonts w:hint="eastAsia" w:ascii="宋体" w:hAnsi="宋体" w:eastAsia="宋体" w:cs="宋体"/>
                <w:color w:val="000000"/>
                <w:kern w:val="0"/>
                <w:sz w:val="24"/>
                <w:szCs w:val="24"/>
                <w:lang w:bidi="ar"/>
              </w:rPr>
              <w:t xml:space="preserve">8,707.38 </w:t>
            </w:r>
          </w:p>
        </w:tc>
        <w:tc>
          <w:tcPr>
            <w:tcW w:w="1326" w:type="pct"/>
            <w:shd w:val="clear" w:color="auto" w:fill="auto"/>
            <w:tcMar>
              <w:top w:w="8" w:type="dxa"/>
              <w:left w:w="104" w:type="dxa"/>
              <w:bottom w:w="0" w:type="dxa"/>
              <w:right w:w="79" w:type="dxa"/>
            </w:tcMar>
            <w:vAlign w:val="center"/>
          </w:tcPr>
          <w:p>
            <w:pPr>
              <w:widowControl/>
              <w:jc w:val="right"/>
              <w:textAlignment w:val="center"/>
              <w:rPr>
                <w:rFonts w:ascii="宋体" w:hAnsi="宋体"/>
                <w:sz w:val="24"/>
              </w:rPr>
            </w:pPr>
            <w:r>
              <w:rPr>
                <w:rFonts w:hint="eastAsia" w:ascii="宋体" w:hAnsi="宋体" w:cs="宋体"/>
                <w:color w:val="000000"/>
                <w:kern w:val="0"/>
                <w:sz w:val="24"/>
                <w:lang w:bidi="ar"/>
              </w:rPr>
              <w:t xml:space="preserve">8,118.44 </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567" w:hRule="exact"/>
        </w:trPr>
        <w:tc>
          <w:tcPr>
            <w:tcW w:w="1020" w:type="pct"/>
            <w:shd w:val="clear" w:color="auto" w:fill="auto"/>
            <w:tcMar>
              <w:top w:w="8" w:type="dxa"/>
              <w:left w:w="104" w:type="dxa"/>
              <w:bottom w:w="0" w:type="dxa"/>
              <w:right w:w="79" w:type="dxa"/>
            </w:tcMar>
            <w:vAlign w:val="center"/>
          </w:tcPr>
          <w:p>
            <w:pPr>
              <w:widowControl/>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资产负债率</w:t>
            </w:r>
          </w:p>
        </w:tc>
        <w:tc>
          <w:tcPr>
            <w:tcW w:w="1326" w:type="pct"/>
            <w:shd w:val="clear" w:color="auto" w:fill="auto"/>
            <w:tcMar>
              <w:top w:w="8" w:type="dxa"/>
              <w:left w:w="104" w:type="dxa"/>
              <w:bottom w:w="0" w:type="dxa"/>
              <w:right w:w="79" w:type="dxa"/>
            </w:tcMar>
            <w:vAlign w:val="center"/>
          </w:tcPr>
          <w:p>
            <w:pPr>
              <w:widowControl/>
              <w:jc w:val="right"/>
              <w:textAlignment w:val="center"/>
              <w:rPr>
                <w:rFonts w:ascii="宋体" w:hAnsi="宋体"/>
                <w:sz w:val="24"/>
              </w:rPr>
            </w:pPr>
            <w:r>
              <w:rPr>
                <w:rFonts w:hint="eastAsia" w:ascii="宋体" w:hAnsi="宋体" w:eastAsia="宋体" w:cs="宋体"/>
                <w:color w:val="000000"/>
                <w:kern w:val="0"/>
                <w:sz w:val="24"/>
                <w:szCs w:val="24"/>
                <w:lang w:bidi="ar"/>
              </w:rPr>
              <w:t>55.67%</w:t>
            </w:r>
          </w:p>
        </w:tc>
        <w:tc>
          <w:tcPr>
            <w:tcW w:w="1328" w:type="pct"/>
            <w:shd w:val="clear" w:color="auto" w:fill="auto"/>
            <w:tcMar>
              <w:top w:w="8" w:type="dxa"/>
              <w:left w:w="104" w:type="dxa"/>
              <w:bottom w:w="0" w:type="dxa"/>
              <w:right w:w="79" w:type="dxa"/>
            </w:tcMar>
            <w:vAlign w:val="center"/>
          </w:tcPr>
          <w:p>
            <w:pPr>
              <w:widowControl/>
              <w:jc w:val="right"/>
              <w:textAlignment w:val="center"/>
              <w:rPr>
                <w:rFonts w:ascii="宋体" w:hAnsi="宋体"/>
                <w:sz w:val="24"/>
              </w:rPr>
            </w:pPr>
            <w:r>
              <w:rPr>
                <w:rFonts w:hint="eastAsia" w:ascii="宋体" w:hAnsi="宋体" w:eastAsia="宋体" w:cs="宋体"/>
                <w:color w:val="000000"/>
                <w:kern w:val="0"/>
                <w:sz w:val="24"/>
                <w:szCs w:val="24"/>
                <w:lang w:bidi="ar"/>
              </w:rPr>
              <w:t>56.48%</w:t>
            </w:r>
          </w:p>
        </w:tc>
        <w:tc>
          <w:tcPr>
            <w:tcW w:w="1326" w:type="pct"/>
            <w:shd w:val="clear" w:color="auto" w:fill="auto"/>
            <w:tcMar>
              <w:top w:w="8" w:type="dxa"/>
              <w:left w:w="104" w:type="dxa"/>
              <w:bottom w:w="0" w:type="dxa"/>
              <w:right w:w="79" w:type="dxa"/>
            </w:tcMar>
            <w:vAlign w:val="center"/>
          </w:tcPr>
          <w:p>
            <w:pPr>
              <w:widowControl/>
              <w:jc w:val="right"/>
              <w:textAlignment w:val="center"/>
              <w:rPr>
                <w:rFonts w:ascii="宋体" w:hAnsi="宋体"/>
                <w:sz w:val="24"/>
              </w:rPr>
            </w:pPr>
            <w:r>
              <w:rPr>
                <w:rFonts w:hint="eastAsia" w:ascii="宋体" w:hAnsi="宋体" w:cs="宋体"/>
                <w:color w:val="000000"/>
                <w:kern w:val="0"/>
                <w:sz w:val="24"/>
                <w:lang w:bidi="ar"/>
              </w:rPr>
              <w:t>47.28%</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567" w:hRule="exact"/>
        </w:trPr>
        <w:tc>
          <w:tcPr>
            <w:tcW w:w="1020" w:type="pct"/>
            <w:shd w:val="clear" w:color="auto" w:fill="auto"/>
            <w:tcMar>
              <w:top w:w="8" w:type="dxa"/>
              <w:left w:w="104" w:type="dxa"/>
              <w:bottom w:w="0" w:type="dxa"/>
              <w:right w:w="79" w:type="dxa"/>
            </w:tcMar>
            <w:vAlign w:val="center"/>
          </w:tcPr>
          <w:p>
            <w:pPr>
              <w:widowControl/>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毛利率</w:t>
            </w:r>
          </w:p>
        </w:tc>
        <w:tc>
          <w:tcPr>
            <w:tcW w:w="1326" w:type="pct"/>
            <w:shd w:val="clear" w:color="auto" w:fill="auto"/>
            <w:tcMar>
              <w:top w:w="8" w:type="dxa"/>
              <w:left w:w="104" w:type="dxa"/>
              <w:bottom w:w="0" w:type="dxa"/>
              <w:right w:w="79" w:type="dxa"/>
            </w:tcMar>
            <w:vAlign w:val="center"/>
          </w:tcPr>
          <w:p>
            <w:pPr>
              <w:widowControl/>
              <w:jc w:val="right"/>
              <w:textAlignment w:val="center"/>
              <w:rPr>
                <w:rFonts w:ascii="宋体" w:hAnsi="宋体"/>
                <w:sz w:val="24"/>
              </w:rPr>
            </w:pPr>
            <w:r>
              <w:rPr>
                <w:rFonts w:hint="eastAsia" w:ascii="宋体" w:hAnsi="宋体" w:eastAsia="宋体" w:cs="宋体"/>
                <w:color w:val="000000"/>
                <w:kern w:val="0"/>
                <w:sz w:val="24"/>
                <w:szCs w:val="24"/>
                <w:lang w:bidi="ar"/>
              </w:rPr>
              <w:t>2.10%</w:t>
            </w:r>
          </w:p>
        </w:tc>
        <w:tc>
          <w:tcPr>
            <w:tcW w:w="1328" w:type="pct"/>
            <w:shd w:val="clear" w:color="auto" w:fill="auto"/>
            <w:tcMar>
              <w:top w:w="8" w:type="dxa"/>
              <w:left w:w="104" w:type="dxa"/>
              <w:bottom w:w="0" w:type="dxa"/>
              <w:right w:w="79" w:type="dxa"/>
            </w:tcMar>
            <w:vAlign w:val="center"/>
          </w:tcPr>
          <w:p>
            <w:pPr>
              <w:widowControl/>
              <w:jc w:val="right"/>
              <w:textAlignment w:val="center"/>
              <w:rPr>
                <w:rFonts w:ascii="宋体" w:hAnsi="宋体"/>
                <w:sz w:val="24"/>
              </w:rPr>
            </w:pPr>
            <w:r>
              <w:rPr>
                <w:rFonts w:hint="eastAsia" w:ascii="宋体" w:hAnsi="宋体" w:eastAsia="宋体" w:cs="宋体"/>
                <w:color w:val="000000"/>
                <w:kern w:val="0"/>
                <w:sz w:val="24"/>
                <w:szCs w:val="24"/>
                <w:lang w:bidi="ar"/>
              </w:rPr>
              <w:t>2.03%</w:t>
            </w:r>
          </w:p>
        </w:tc>
        <w:tc>
          <w:tcPr>
            <w:tcW w:w="1326" w:type="pct"/>
            <w:shd w:val="clear" w:color="auto" w:fill="auto"/>
            <w:tcMar>
              <w:top w:w="8" w:type="dxa"/>
              <w:left w:w="104" w:type="dxa"/>
              <w:bottom w:w="0" w:type="dxa"/>
              <w:right w:w="79" w:type="dxa"/>
            </w:tcMar>
            <w:vAlign w:val="center"/>
          </w:tcPr>
          <w:p>
            <w:pPr>
              <w:widowControl/>
              <w:jc w:val="right"/>
              <w:textAlignment w:val="center"/>
              <w:rPr>
                <w:rFonts w:ascii="宋体" w:hAnsi="宋体"/>
                <w:sz w:val="24"/>
              </w:rPr>
            </w:pPr>
            <w:r>
              <w:rPr>
                <w:rFonts w:hint="eastAsia" w:ascii="宋体" w:hAnsi="宋体" w:cs="宋体"/>
                <w:color w:val="000000"/>
                <w:kern w:val="0"/>
                <w:sz w:val="24"/>
                <w:lang w:bidi="ar"/>
              </w:rPr>
              <w:t>2.02%</w:t>
            </w:r>
          </w:p>
        </w:tc>
      </w:tr>
      <w:tr>
        <w:tblPrEx>
          <w:tblBorders>
            <w:top w:val="single" w:color="010000" w:sz="4" w:space="0"/>
            <w:left w:val="single" w:color="010000" w:sz="4" w:space="0"/>
            <w:bottom w:val="single" w:color="010000" w:sz="4" w:space="0"/>
            <w:right w:val="single" w:color="010000" w:sz="4" w:space="0"/>
            <w:insideH w:val="single" w:color="010000" w:sz="4" w:space="0"/>
            <w:insideV w:val="single" w:color="010000" w:sz="4" w:space="0"/>
          </w:tblBorders>
          <w:tblCellMar>
            <w:top w:w="0" w:type="dxa"/>
            <w:left w:w="28" w:type="dxa"/>
            <w:bottom w:w="0" w:type="dxa"/>
            <w:right w:w="28" w:type="dxa"/>
          </w:tblCellMar>
        </w:tblPrEx>
        <w:trPr>
          <w:trHeight w:val="567" w:hRule="exact"/>
        </w:trPr>
        <w:tc>
          <w:tcPr>
            <w:tcW w:w="1020" w:type="pct"/>
            <w:shd w:val="clear" w:color="auto" w:fill="auto"/>
            <w:tcMar>
              <w:top w:w="8" w:type="dxa"/>
              <w:left w:w="104" w:type="dxa"/>
              <w:bottom w:w="0" w:type="dxa"/>
              <w:right w:w="79" w:type="dxa"/>
            </w:tcMar>
            <w:vAlign w:val="center"/>
          </w:tcPr>
          <w:p>
            <w:pPr>
              <w:widowControl/>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净利率</w:t>
            </w:r>
          </w:p>
        </w:tc>
        <w:tc>
          <w:tcPr>
            <w:tcW w:w="1326" w:type="pct"/>
            <w:shd w:val="clear" w:color="auto" w:fill="auto"/>
            <w:tcMar>
              <w:top w:w="8" w:type="dxa"/>
              <w:left w:w="104" w:type="dxa"/>
              <w:bottom w:w="0" w:type="dxa"/>
              <w:right w:w="79" w:type="dxa"/>
            </w:tcMar>
            <w:vAlign w:val="center"/>
          </w:tcPr>
          <w:p>
            <w:pPr>
              <w:widowControl/>
              <w:jc w:val="right"/>
              <w:textAlignment w:val="center"/>
              <w:rPr>
                <w:rFonts w:ascii="宋体" w:hAnsi="宋体"/>
                <w:sz w:val="24"/>
                <w:szCs w:val="24"/>
              </w:rPr>
            </w:pPr>
            <w:r>
              <w:rPr>
                <w:rFonts w:ascii="宋体" w:hAnsi="宋体" w:eastAsia="宋体" w:cs="宋体"/>
                <w:color w:val="000000"/>
                <w:kern w:val="0"/>
                <w:sz w:val="24"/>
                <w:szCs w:val="24"/>
                <w:lang w:bidi="ar"/>
              </w:rPr>
              <w:t>0.29%</w:t>
            </w:r>
          </w:p>
        </w:tc>
        <w:tc>
          <w:tcPr>
            <w:tcW w:w="1328" w:type="pct"/>
            <w:shd w:val="clear" w:color="auto" w:fill="auto"/>
            <w:tcMar>
              <w:top w:w="8" w:type="dxa"/>
              <w:left w:w="104" w:type="dxa"/>
              <w:bottom w:w="0" w:type="dxa"/>
              <w:right w:w="79" w:type="dxa"/>
            </w:tcMar>
            <w:vAlign w:val="center"/>
          </w:tcPr>
          <w:p>
            <w:pPr>
              <w:widowControl/>
              <w:jc w:val="right"/>
              <w:textAlignment w:val="center"/>
              <w:rPr>
                <w:rFonts w:ascii="宋体" w:hAnsi="宋体"/>
                <w:sz w:val="24"/>
                <w:szCs w:val="24"/>
              </w:rPr>
            </w:pPr>
            <w:r>
              <w:rPr>
                <w:rFonts w:ascii="宋体" w:hAnsi="宋体" w:eastAsia="宋体" w:cs="宋体"/>
                <w:color w:val="000000"/>
                <w:kern w:val="0"/>
                <w:sz w:val="24"/>
                <w:szCs w:val="24"/>
                <w:lang w:bidi="ar"/>
              </w:rPr>
              <w:t>0.40%</w:t>
            </w:r>
          </w:p>
        </w:tc>
        <w:tc>
          <w:tcPr>
            <w:tcW w:w="1326" w:type="pct"/>
            <w:shd w:val="clear" w:color="auto" w:fill="auto"/>
            <w:tcMar>
              <w:top w:w="8" w:type="dxa"/>
              <w:left w:w="104" w:type="dxa"/>
              <w:bottom w:w="0" w:type="dxa"/>
              <w:right w:w="79" w:type="dxa"/>
            </w:tcMar>
            <w:vAlign w:val="center"/>
          </w:tcPr>
          <w:p>
            <w:pPr>
              <w:widowControl/>
              <w:jc w:val="right"/>
              <w:textAlignment w:val="center"/>
              <w:rPr>
                <w:rFonts w:ascii="宋体" w:hAnsi="宋体"/>
                <w:sz w:val="24"/>
              </w:rPr>
            </w:pPr>
            <w:r>
              <w:rPr>
                <w:rFonts w:hint="eastAsia" w:ascii="宋体" w:hAnsi="宋体" w:cs="宋体"/>
                <w:color w:val="000000"/>
                <w:kern w:val="0"/>
                <w:sz w:val="24"/>
                <w:lang w:bidi="ar"/>
              </w:rPr>
              <w:t>0.39%</w:t>
            </w:r>
          </w:p>
        </w:tc>
      </w:tr>
    </w:tbl>
    <w:p>
      <w:pPr>
        <w:pStyle w:val="10"/>
        <w:widowControl w:val="0"/>
        <w:tabs>
          <w:tab w:val="left" w:pos="1260"/>
        </w:tabs>
        <w:adjustRightInd w:val="0"/>
        <w:snapToGrid w:val="0"/>
        <w:spacing w:before="0" w:beforeAutospacing="0" w:after="0" w:afterAutospacing="0" w:line="440" w:lineRule="exact"/>
        <w:ind w:firstLine="480" w:firstLineChars="200"/>
        <w:jc w:val="both"/>
        <w:rPr>
          <w:color w:val="000000"/>
          <w:lang w:bidi="ar"/>
        </w:rPr>
      </w:pPr>
      <w:r>
        <w:rPr>
          <w:rFonts w:hint="eastAsia"/>
          <w:color w:val="000000"/>
          <w:lang w:bidi="ar"/>
        </w:rPr>
        <w:t>注：</w:t>
      </w:r>
    </w:p>
    <w:p>
      <w:pPr>
        <w:pStyle w:val="10"/>
        <w:widowControl w:val="0"/>
        <w:tabs>
          <w:tab w:val="left" w:pos="1260"/>
        </w:tabs>
        <w:adjustRightInd w:val="0"/>
        <w:snapToGrid w:val="0"/>
        <w:spacing w:before="0" w:beforeAutospacing="0" w:after="0" w:afterAutospacing="0" w:line="440" w:lineRule="exact"/>
        <w:ind w:left="480"/>
        <w:jc w:val="both"/>
        <w:rPr>
          <w:color w:val="000000"/>
          <w:lang w:bidi="ar"/>
        </w:rPr>
      </w:pPr>
      <w:r>
        <w:rPr>
          <w:rFonts w:hint="eastAsia"/>
          <w:color w:val="000000"/>
          <w:lang w:bidi="ar"/>
        </w:rPr>
        <w:t>（1）</w:t>
      </w:r>
      <w:r>
        <w:rPr>
          <w:color w:val="000000"/>
          <w:lang w:bidi="ar"/>
        </w:rPr>
        <w:t>2022年数据为经审计数据</w:t>
      </w:r>
      <w:r>
        <w:rPr>
          <w:rFonts w:hint="eastAsia"/>
          <w:color w:val="000000"/>
          <w:lang w:bidi="ar"/>
        </w:rPr>
        <w:t>，</w:t>
      </w:r>
      <w:r>
        <w:rPr>
          <w:color w:val="000000"/>
          <w:lang w:bidi="ar"/>
        </w:rPr>
        <w:t>2023年</w:t>
      </w:r>
      <w:r>
        <w:rPr>
          <w:rFonts w:hint="eastAsia"/>
          <w:color w:val="000000"/>
          <w:lang w:bidi="ar"/>
        </w:rPr>
        <w:t>及2024年1-3月</w:t>
      </w:r>
      <w:r>
        <w:rPr>
          <w:color w:val="000000"/>
          <w:lang w:bidi="ar"/>
        </w:rPr>
        <w:t>数据未经审计。</w:t>
      </w:r>
    </w:p>
    <w:p>
      <w:pPr>
        <w:pStyle w:val="10"/>
        <w:widowControl w:val="0"/>
        <w:tabs>
          <w:tab w:val="left" w:pos="1260"/>
        </w:tabs>
        <w:adjustRightInd w:val="0"/>
        <w:snapToGrid w:val="0"/>
        <w:spacing w:before="0" w:beforeAutospacing="0" w:after="0" w:afterAutospacing="0" w:line="440" w:lineRule="exact"/>
        <w:ind w:firstLine="480" w:firstLineChars="200"/>
        <w:jc w:val="both"/>
        <w:rPr>
          <w:color w:val="000000"/>
          <w:lang w:bidi="ar"/>
        </w:rPr>
      </w:pPr>
      <w:r>
        <w:rPr>
          <w:rFonts w:hint="eastAsia"/>
          <w:color w:val="000000"/>
          <w:lang w:bidi="ar"/>
        </w:rPr>
        <w:t>（2）2024年1-3月营业收入下降，主要是受春节影响，客户及供应商放假，春节前后业务量为一年中的最低点，从而直接影响1-3月营业收入、净利润、净利率。</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asciiTheme="minorEastAsia" w:hAnsiTheme="minorEastAsia" w:cstheme="minorEastAsia"/>
          <w:color w:val="000000"/>
          <w:kern w:val="0"/>
          <w:sz w:val="28"/>
          <w:szCs w:val="28"/>
        </w:rPr>
        <w:t xml:space="preserve">2. </w:t>
      </w:r>
      <w:r>
        <w:rPr>
          <w:rFonts w:hint="eastAsia" w:asciiTheme="minorEastAsia" w:hAnsiTheme="minorEastAsia" w:cstheme="minorEastAsia"/>
          <w:color w:val="000000"/>
          <w:kern w:val="0"/>
          <w:sz w:val="28"/>
          <w:szCs w:val="28"/>
        </w:rPr>
        <w:t>根据天健会计师事务所（特殊普通合伙）出具的天健审〔</w:t>
      </w:r>
      <w:r>
        <w:rPr>
          <w:rFonts w:asciiTheme="minorEastAsia" w:hAnsiTheme="minorEastAsia" w:cstheme="minorEastAsia"/>
          <w:color w:val="000000"/>
          <w:kern w:val="0"/>
          <w:sz w:val="28"/>
          <w:szCs w:val="28"/>
        </w:rPr>
        <w:t>2024〕4-4号《物泊科技有限公司2020年-2023年8月专项审计报告》：基于合并报表口径，截至2023年8月31日，</w:t>
      </w:r>
      <w:r>
        <w:rPr>
          <w:rFonts w:hint="eastAsia" w:asciiTheme="minorEastAsia" w:hAnsiTheme="minorEastAsia" w:cstheme="minorEastAsia"/>
          <w:color w:val="000000"/>
          <w:sz w:val="28"/>
          <w:szCs w:val="28"/>
        </w:rPr>
        <w:t>目标公司</w:t>
      </w:r>
      <w:r>
        <w:rPr>
          <w:rFonts w:hint="eastAsia" w:asciiTheme="minorEastAsia" w:hAnsiTheme="minorEastAsia" w:cstheme="minorEastAsia"/>
          <w:color w:val="000000"/>
          <w:kern w:val="0"/>
          <w:sz w:val="28"/>
          <w:szCs w:val="28"/>
        </w:rPr>
        <w:t>资产总额</w:t>
      </w:r>
      <w:r>
        <w:rPr>
          <w:rFonts w:asciiTheme="minorEastAsia" w:hAnsiTheme="minorEastAsia" w:cstheme="minorEastAsia"/>
          <w:color w:val="000000"/>
          <w:kern w:val="0"/>
          <w:sz w:val="28"/>
          <w:szCs w:val="28"/>
        </w:rPr>
        <w:t>35.88亿元，净资产15.24亿元，2023年1月-8月营业收入140.85亿元，</w:t>
      </w:r>
      <w:r>
        <w:rPr>
          <w:rFonts w:hint="eastAsia" w:asciiTheme="minorEastAsia" w:hAnsiTheme="minorEastAsia" w:cstheme="minorEastAsia"/>
          <w:color w:val="000000"/>
          <w:kern w:val="0"/>
          <w:sz w:val="28"/>
          <w:szCs w:val="28"/>
        </w:rPr>
        <w:t>净利润5</w:t>
      </w:r>
      <w:r>
        <w:rPr>
          <w:rFonts w:asciiTheme="minorEastAsia" w:hAnsiTheme="minorEastAsia" w:cstheme="minorEastAsia"/>
          <w:color w:val="000000"/>
          <w:kern w:val="0"/>
          <w:sz w:val="28"/>
          <w:szCs w:val="28"/>
        </w:rPr>
        <w:t>,</w:t>
      </w:r>
      <w:r>
        <w:rPr>
          <w:rFonts w:hint="eastAsia" w:asciiTheme="minorEastAsia" w:hAnsiTheme="minorEastAsia" w:cstheme="minorEastAsia"/>
          <w:color w:val="000000"/>
          <w:kern w:val="0"/>
          <w:sz w:val="28"/>
          <w:szCs w:val="28"/>
        </w:rPr>
        <w:t>899.40万元；基于母公司</w:t>
      </w:r>
      <w:r>
        <w:rPr>
          <w:rFonts w:hint="eastAsia" w:asciiTheme="minorEastAsia" w:hAnsiTheme="minorEastAsia" w:cstheme="minorEastAsia"/>
          <w:color w:val="000000"/>
          <w:sz w:val="28"/>
          <w:szCs w:val="28"/>
        </w:rPr>
        <w:t>报表口径，截至2023年8月31日，目标公司资产总额</w:t>
      </w:r>
      <w:r>
        <w:rPr>
          <w:rFonts w:asciiTheme="minorEastAsia" w:hAnsiTheme="minorEastAsia" w:cstheme="minorEastAsia"/>
          <w:color w:val="000000"/>
          <w:sz w:val="28"/>
          <w:szCs w:val="28"/>
        </w:rPr>
        <w:t>29</w:t>
      </w:r>
      <w:r>
        <w:rPr>
          <w:rFonts w:hint="eastAsia" w:asciiTheme="minorEastAsia" w:hAnsiTheme="minorEastAsia" w:cstheme="minorEastAsia"/>
          <w:color w:val="000000"/>
          <w:sz w:val="28"/>
          <w:szCs w:val="28"/>
        </w:rPr>
        <w:t>.</w:t>
      </w:r>
      <w:r>
        <w:rPr>
          <w:rFonts w:asciiTheme="minorEastAsia" w:hAnsiTheme="minorEastAsia" w:cstheme="minorEastAsia"/>
          <w:color w:val="000000"/>
          <w:sz w:val="28"/>
          <w:szCs w:val="28"/>
        </w:rPr>
        <w:t>85</w:t>
      </w:r>
      <w:r>
        <w:rPr>
          <w:rFonts w:hint="eastAsia" w:asciiTheme="minorEastAsia" w:hAnsiTheme="minorEastAsia" w:cstheme="minorEastAsia"/>
          <w:color w:val="000000"/>
          <w:sz w:val="28"/>
          <w:szCs w:val="28"/>
        </w:rPr>
        <w:t>亿元，净资产12.18亿元，</w:t>
      </w:r>
      <w:r>
        <w:rPr>
          <w:rFonts w:asciiTheme="minorEastAsia" w:hAnsiTheme="minorEastAsia" w:cstheme="minorEastAsia"/>
          <w:color w:val="000000"/>
          <w:kern w:val="0"/>
          <w:sz w:val="28"/>
          <w:szCs w:val="28"/>
        </w:rPr>
        <w:t>2023年1月-8月营业收入</w:t>
      </w:r>
      <w:r>
        <w:rPr>
          <w:rFonts w:hint="eastAsia" w:asciiTheme="minorEastAsia" w:hAnsiTheme="minorEastAsia" w:cstheme="minorEastAsia"/>
          <w:color w:val="000000"/>
          <w:kern w:val="0"/>
          <w:sz w:val="28"/>
          <w:szCs w:val="28"/>
        </w:rPr>
        <w:t>16.38</w:t>
      </w:r>
      <w:r>
        <w:rPr>
          <w:rFonts w:asciiTheme="minorEastAsia" w:hAnsiTheme="minorEastAsia" w:cstheme="minorEastAsia"/>
          <w:color w:val="000000"/>
          <w:kern w:val="0"/>
          <w:sz w:val="28"/>
          <w:szCs w:val="28"/>
        </w:rPr>
        <w:t>亿元，净利润</w:t>
      </w:r>
      <w:r>
        <w:rPr>
          <w:rFonts w:hint="eastAsia" w:asciiTheme="minorEastAsia" w:hAnsiTheme="minorEastAsia" w:cstheme="minorEastAsia"/>
          <w:color w:val="000000"/>
          <w:kern w:val="0"/>
          <w:sz w:val="28"/>
          <w:szCs w:val="28"/>
        </w:rPr>
        <w:t>803</w:t>
      </w:r>
      <w:r>
        <w:rPr>
          <w:rFonts w:asciiTheme="minorEastAsia" w:hAnsiTheme="minorEastAsia" w:cstheme="minorEastAsia"/>
          <w:color w:val="000000"/>
          <w:kern w:val="0"/>
          <w:sz w:val="28"/>
          <w:szCs w:val="28"/>
        </w:rPr>
        <w:t>.05</w:t>
      </w:r>
      <w:r>
        <w:rPr>
          <w:rFonts w:hint="eastAsia" w:asciiTheme="minorEastAsia" w:hAnsiTheme="minorEastAsia" w:cstheme="minorEastAsia"/>
          <w:color w:val="000000"/>
          <w:kern w:val="0"/>
          <w:sz w:val="28"/>
          <w:szCs w:val="28"/>
        </w:rPr>
        <w:t>万</w:t>
      </w:r>
      <w:r>
        <w:rPr>
          <w:rFonts w:asciiTheme="minorEastAsia" w:hAnsiTheme="minorEastAsia" w:cstheme="minorEastAsia"/>
          <w:color w:val="000000"/>
          <w:kern w:val="0"/>
          <w:sz w:val="28"/>
          <w:szCs w:val="28"/>
        </w:rPr>
        <w:t>元</w:t>
      </w:r>
      <w:r>
        <w:rPr>
          <w:rFonts w:hint="eastAsia" w:asciiTheme="minorEastAsia" w:hAnsiTheme="minorEastAsia" w:cstheme="minorEastAsia"/>
          <w:color w:val="000000"/>
          <w:kern w:val="0"/>
          <w:sz w:val="28"/>
          <w:szCs w:val="28"/>
        </w:rPr>
        <w:t>。</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（三）本次交易前后的股权比例及表决权比例</w:t>
      </w:r>
    </w:p>
    <w:tbl>
      <w:tblPr>
        <w:tblStyle w:val="12"/>
        <w:tblW w:w="53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4143"/>
        <w:gridCol w:w="1402"/>
        <w:gridCol w:w="1402"/>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blHeader/>
          <w:jc w:val="center"/>
        </w:trPr>
        <w:tc>
          <w:tcPr>
            <w:tcW w:w="283" w:type="pct"/>
            <w:vMerge w:val="restart"/>
            <w:shd w:val="clear" w:color="auto" w:fill="D8D8D8" w:themeFill="background1" w:themeFillShade="D9"/>
            <w:vAlign w:val="center"/>
          </w:tcPr>
          <w:p>
            <w:pPr>
              <w:pStyle w:val="10"/>
              <w:tabs>
                <w:tab w:val="left" w:pos="1260"/>
              </w:tabs>
              <w:adjustRightInd w:val="0"/>
              <w:snapToGrid w:val="0"/>
              <w:spacing w:before="0" w:beforeAutospacing="0" w:after="0" w:afterAutospacing="0"/>
              <w:jc w:val="center"/>
              <w:rPr>
                <w:rFonts w:cstheme="minorEastAsia"/>
                <w:b/>
                <w:bCs/>
                <w:color w:val="000000"/>
              </w:rPr>
            </w:pPr>
            <w:r>
              <w:rPr>
                <w:rFonts w:cstheme="minorEastAsia"/>
                <w:b/>
                <w:bCs/>
                <w:color w:val="000000"/>
              </w:rPr>
              <w:t>序号</w:t>
            </w:r>
          </w:p>
        </w:tc>
        <w:tc>
          <w:tcPr>
            <w:tcW w:w="2284" w:type="pct"/>
            <w:vMerge w:val="restart"/>
            <w:shd w:val="clear" w:color="auto" w:fill="D8D8D8" w:themeFill="background1" w:themeFillShade="D9"/>
            <w:vAlign w:val="center"/>
          </w:tcPr>
          <w:p>
            <w:pPr>
              <w:pStyle w:val="10"/>
              <w:tabs>
                <w:tab w:val="left" w:pos="1260"/>
              </w:tabs>
              <w:adjustRightInd w:val="0"/>
              <w:snapToGrid w:val="0"/>
              <w:spacing w:before="0" w:beforeAutospacing="0" w:after="0" w:afterAutospacing="0"/>
              <w:jc w:val="center"/>
              <w:rPr>
                <w:rFonts w:cstheme="minorEastAsia"/>
                <w:b/>
                <w:bCs/>
                <w:color w:val="000000"/>
              </w:rPr>
            </w:pPr>
            <w:r>
              <w:rPr>
                <w:rFonts w:hint="eastAsia" w:cstheme="minorEastAsia"/>
                <w:b/>
                <w:bCs/>
                <w:color w:val="000000"/>
              </w:rPr>
              <w:t>股东</w:t>
            </w:r>
          </w:p>
        </w:tc>
        <w:tc>
          <w:tcPr>
            <w:tcW w:w="773" w:type="pct"/>
            <w:shd w:val="clear" w:color="auto" w:fill="D8D8D8" w:themeFill="background1" w:themeFillShade="D9"/>
            <w:vAlign w:val="center"/>
          </w:tcPr>
          <w:p>
            <w:pPr>
              <w:pStyle w:val="10"/>
              <w:tabs>
                <w:tab w:val="left" w:pos="1352"/>
              </w:tabs>
              <w:adjustRightInd w:val="0"/>
              <w:snapToGrid w:val="0"/>
              <w:spacing w:before="0" w:beforeAutospacing="0" w:after="0" w:afterAutospacing="0"/>
              <w:jc w:val="center"/>
              <w:rPr>
                <w:rFonts w:cstheme="minorEastAsia"/>
                <w:b/>
                <w:bCs/>
                <w:color w:val="000000"/>
              </w:rPr>
            </w:pPr>
            <w:r>
              <w:rPr>
                <w:rFonts w:cstheme="minorEastAsia"/>
                <w:b/>
                <w:bCs/>
                <w:color w:val="000000"/>
              </w:rPr>
              <w:t>交易前</w:t>
            </w:r>
          </w:p>
        </w:tc>
        <w:tc>
          <w:tcPr>
            <w:tcW w:w="1660" w:type="pct"/>
            <w:gridSpan w:val="2"/>
            <w:shd w:val="clear" w:color="auto" w:fill="D8D8D8" w:themeFill="background1" w:themeFillShade="D9"/>
            <w:vAlign w:val="center"/>
          </w:tcPr>
          <w:p>
            <w:pPr>
              <w:pStyle w:val="10"/>
              <w:tabs>
                <w:tab w:val="left" w:pos="1352"/>
              </w:tabs>
              <w:adjustRightInd w:val="0"/>
              <w:snapToGrid w:val="0"/>
              <w:spacing w:before="0" w:beforeAutospacing="0" w:after="0" w:afterAutospacing="0"/>
              <w:jc w:val="center"/>
              <w:rPr>
                <w:rFonts w:cstheme="minorEastAsia"/>
                <w:b/>
                <w:bCs/>
                <w:color w:val="000000"/>
              </w:rPr>
            </w:pPr>
            <w:r>
              <w:rPr>
                <w:rFonts w:cstheme="minorEastAsia"/>
                <w:b/>
                <w:bCs/>
                <w:color w:val="000000"/>
              </w:rPr>
              <w:t>交易后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tblHeader/>
          <w:jc w:val="center"/>
        </w:trPr>
        <w:tc>
          <w:tcPr>
            <w:tcW w:w="283" w:type="pct"/>
            <w:vMerge w:val="continue"/>
            <w:shd w:val="clear" w:color="auto" w:fill="D8D8D8" w:themeFill="background1" w:themeFillShade="D9"/>
            <w:vAlign w:val="center"/>
          </w:tcPr>
          <w:p>
            <w:pPr>
              <w:pStyle w:val="10"/>
              <w:tabs>
                <w:tab w:val="left" w:pos="1260"/>
              </w:tabs>
              <w:adjustRightInd w:val="0"/>
              <w:snapToGrid w:val="0"/>
              <w:spacing w:before="0" w:beforeAutospacing="0" w:after="0" w:afterAutospacing="0"/>
              <w:jc w:val="center"/>
              <w:rPr>
                <w:rFonts w:cstheme="minorEastAsia"/>
                <w:b/>
                <w:bCs/>
                <w:color w:val="000000"/>
              </w:rPr>
            </w:pPr>
          </w:p>
        </w:tc>
        <w:tc>
          <w:tcPr>
            <w:tcW w:w="2284" w:type="pct"/>
            <w:vMerge w:val="continue"/>
            <w:shd w:val="clear" w:color="auto" w:fill="D8D8D8" w:themeFill="background1" w:themeFillShade="D9"/>
            <w:vAlign w:val="center"/>
          </w:tcPr>
          <w:p>
            <w:pPr>
              <w:pStyle w:val="10"/>
              <w:tabs>
                <w:tab w:val="left" w:pos="1260"/>
              </w:tabs>
              <w:adjustRightInd w:val="0"/>
              <w:snapToGrid w:val="0"/>
              <w:spacing w:before="0" w:beforeAutospacing="0" w:after="0" w:afterAutospacing="0"/>
              <w:rPr>
                <w:rFonts w:cstheme="minorEastAsia"/>
                <w:b/>
                <w:bCs/>
                <w:color w:val="000000"/>
              </w:rPr>
            </w:pPr>
          </w:p>
        </w:tc>
        <w:tc>
          <w:tcPr>
            <w:tcW w:w="773" w:type="pct"/>
            <w:shd w:val="clear" w:color="auto" w:fill="D8D8D8" w:themeFill="background1" w:themeFillShade="D9"/>
            <w:vAlign w:val="center"/>
          </w:tcPr>
          <w:p>
            <w:pPr>
              <w:pStyle w:val="10"/>
              <w:tabs>
                <w:tab w:val="left" w:pos="1352"/>
              </w:tabs>
              <w:adjustRightInd w:val="0"/>
              <w:snapToGrid w:val="0"/>
              <w:spacing w:before="0" w:beforeAutospacing="0" w:after="0" w:afterAutospacing="0"/>
              <w:jc w:val="center"/>
              <w:rPr>
                <w:rFonts w:cstheme="minorEastAsia"/>
                <w:b/>
                <w:bCs/>
                <w:color w:val="000000"/>
              </w:rPr>
            </w:pPr>
            <w:r>
              <w:rPr>
                <w:rFonts w:cstheme="minorEastAsia"/>
                <w:b/>
                <w:bCs/>
                <w:color w:val="000000"/>
              </w:rPr>
              <w:t>持股比例</w:t>
            </w:r>
          </w:p>
        </w:tc>
        <w:tc>
          <w:tcPr>
            <w:tcW w:w="773" w:type="pct"/>
            <w:shd w:val="clear" w:color="auto" w:fill="D8D8D8" w:themeFill="background1" w:themeFillShade="D9"/>
            <w:vAlign w:val="center"/>
          </w:tcPr>
          <w:p>
            <w:pPr>
              <w:pStyle w:val="10"/>
              <w:tabs>
                <w:tab w:val="left" w:pos="1352"/>
              </w:tabs>
              <w:adjustRightInd w:val="0"/>
              <w:snapToGrid w:val="0"/>
              <w:spacing w:before="0" w:beforeAutospacing="0" w:after="0" w:afterAutospacing="0"/>
              <w:jc w:val="center"/>
              <w:rPr>
                <w:rFonts w:cstheme="minorEastAsia"/>
                <w:b/>
                <w:bCs/>
                <w:color w:val="000000"/>
              </w:rPr>
            </w:pPr>
            <w:r>
              <w:rPr>
                <w:rFonts w:cstheme="minorEastAsia"/>
                <w:b/>
                <w:bCs/>
                <w:color w:val="000000"/>
              </w:rPr>
              <w:t>持股比例</w:t>
            </w:r>
          </w:p>
        </w:tc>
        <w:tc>
          <w:tcPr>
            <w:tcW w:w="887" w:type="pct"/>
            <w:shd w:val="clear" w:color="auto" w:fill="D8D8D8" w:themeFill="background1" w:themeFillShade="D9"/>
            <w:vAlign w:val="center"/>
          </w:tcPr>
          <w:p>
            <w:pPr>
              <w:pStyle w:val="10"/>
              <w:tabs>
                <w:tab w:val="left" w:pos="1352"/>
              </w:tabs>
              <w:adjustRightInd w:val="0"/>
              <w:snapToGrid w:val="0"/>
              <w:spacing w:before="0" w:beforeAutospacing="0" w:after="0" w:afterAutospacing="0"/>
              <w:jc w:val="center"/>
              <w:rPr>
                <w:rFonts w:cstheme="minorEastAsia"/>
                <w:b/>
                <w:bCs/>
                <w:color w:val="000000"/>
              </w:rPr>
            </w:pPr>
            <w:r>
              <w:rPr>
                <w:rFonts w:cstheme="minorEastAsia"/>
                <w:b/>
                <w:bCs/>
                <w:color w:val="000000"/>
              </w:rPr>
              <w:t>表决权比例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3" w:type="pct"/>
            <w:shd w:val="clear" w:color="auto" w:fill="auto"/>
            <w:vAlign w:val="center"/>
          </w:tcPr>
          <w:p>
            <w:pPr>
              <w:pStyle w:val="10"/>
              <w:tabs>
                <w:tab w:val="left" w:pos="1260"/>
              </w:tabs>
              <w:adjustRightInd w:val="0"/>
              <w:snapToGrid w:val="0"/>
              <w:spacing w:before="0" w:beforeAutospacing="0" w:after="0" w:afterAutospacing="0"/>
              <w:jc w:val="center"/>
              <w:rPr>
                <w:rFonts w:cstheme="minorEastAsia"/>
                <w:color w:val="000000"/>
              </w:rPr>
            </w:pPr>
            <w:r>
              <w:rPr>
                <w:rFonts w:hint="eastAsia" w:cstheme="minorEastAsia"/>
                <w:color w:val="000000"/>
              </w:rPr>
              <w:t>1</w:t>
            </w:r>
          </w:p>
        </w:tc>
        <w:tc>
          <w:tcPr>
            <w:tcW w:w="2284" w:type="pct"/>
            <w:shd w:val="clear" w:color="auto" w:fill="auto"/>
            <w:vAlign w:val="center"/>
          </w:tcPr>
          <w:p>
            <w:pPr>
              <w:pStyle w:val="10"/>
              <w:tabs>
                <w:tab w:val="left" w:pos="1260"/>
              </w:tabs>
              <w:adjustRightInd w:val="0"/>
              <w:snapToGrid w:val="0"/>
              <w:spacing w:before="0" w:beforeAutospacing="0" w:after="0" w:afterAutospacing="0"/>
              <w:rPr>
                <w:rFonts w:cstheme="minorEastAsia"/>
                <w:color w:val="000000"/>
              </w:rPr>
            </w:pPr>
            <w:r>
              <w:rPr>
                <w:rFonts w:cstheme="minorEastAsia"/>
                <w:color w:val="000000"/>
              </w:rPr>
              <w:t>兖矿能源</w:t>
            </w:r>
            <w:r>
              <w:rPr>
                <w:rStyle w:val="16"/>
                <w:rFonts w:hint="eastAsia" w:cstheme="minorEastAsia"/>
                <w:kern w:val="2"/>
                <w:sz w:val="24"/>
                <w:szCs w:val="24"/>
              </w:rPr>
              <w:t>集团股份有限公司</w:t>
            </w:r>
          </w:p>
        </w:tc>
        <w:tc>
          <w:tcPr>
            <w:tcW w:w="773" w:type="pct"/>
            <w:shd w:val="clear" w:color="auto" w:fill="auto"/>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w:t>
            </w:r>
          </w:p>
        </w:tc>
        <w:tc>
          <w:tcPr>
            <w:tcW w:w="773"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45.00%</w:t>
            </w:r>
          </w:p>
        </w:tc>
        <w:tc>
          <w:tcPr>
            <w:tcW w:w="887" w:type="pct"/>
            <w:vAlign w:val="center"/>
          </w:tcPr>
          <w:p>
            <w:pPr>
              <w:pStyle w:val="10"/>
              <w:tabs>
                <w:tab w:val="left" w:pos="1352"/>
              </w:tabs>
              <w:adjustRightInd w:val="0"/>
              <w:snapToGrid w:val="0"/>
              <w:spacing w:before="0" w:beforeAutospacing="0" w:after="0" w:afterAutospacing="0"/>
              <w:jc w:val="right"/>
              <w:rPr>
                <w:rFonts w:cstheme="minorEastAsia"/>
                <w:color w:val="000000"/>
              </w:rPr>
            </w:pPr>
            <w:r>
              <w:rPr>
                <w:rFonts w:cstheme="minorEastAsia"/>
                <w:color w:val="000000"/>
              </w:rPr>
              <w:t>51.32%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3" w:type="pct"/>
            <w:shd w:val="clear" w:color="auto" w:fill="auto"/>
            <w:vAlign w:val="center"/>
          </w:tcPr>
          <w:p>
            <w:pPr>
              <w:pStyle w:val="10"/>
              <w:tabs>
                <w:tab w:val="left" w:pos="1260"/>
              </w:tabs>
              <w:adjustRightInd w:val="0"/>
              <w:snapToGrid w:val="0"/>
              <w:spacing w:before="0" w:beforeAutospacing="0" w:after="0" w:afterAutospacing="0"/>
              <w:jc w:val="center"/>
              <w:rPr>
                <w:rFonts w:cstheme="minorEastAsia"/>
                <w:color w:val="000000"/>
              </w:rPr>
            </w:pPr>
            <w:r>
              <w:rPr>
                <w:rFonts w:hint="eastAsia" w:cstheme="minorEastAsia"/>
                <w:color w:val="000000"/>
              </w:rPr>
              <w:t>2</w:t>
            </w:r>
          </w:p>
        </w:tc>
        <w:tc>
          <w:tcPr>
            <w:tcW w:w="2284" w:type="pct"/>
            <w:shd w:val="clear" w:color="auto" w:fill="auto"/>
            <w:vAlign w:val="center"/>
          </w:tcPr>
          <w:p>
            <w:pPr>
              <w:pStyle w:val="10"/>
              <w:tabs>
                <w:tab w:val="left" w:pos="1260"/>
              </w:tabs>
              <w:adjustRightInd w:val="0"/>
              <w:snapToGrid w:val="0"/>
              <w:spacing w:before="0" w:beforeAutospacing="0" w:after="0" w:afterAutospacing="0"/>
              <w:rPr>
                <w:rFonts w:cstheme="minorEastAsia"/>
                <w:color w:val="000000"/>
              </w:rPr>
            </w:pPr>
            <w:r>
              <w:rPr>
                <w:rFonts w:cstheme="minorEastAsia"/>
                <w:color w:val="000000"/>
              </w:rPr>
              <w:t>福建东聚</w:t>
            </w:r>
            <w:r>
              <w:rPr>
                <w:rStyle w:val="16"/>
                <w:rFonts w:hint="eastAsia" w:cstheme="minorEastAsia"/>
                <w:kern w:val="2"/>
                <w:sz w:val="24"/>
                <w:szCs w:val="24"/>
              </w:rPr>
              <w:t>科技有限公司</w:t>
            </w:r>
          </w:p>
        </w:tc>
        <w:tc>
          <w:tcPr>
            <w:tcW w:w="773" w:type="pct"/>
            <w:shd w:val="clear" w:color="auto" w:fill="auto"/>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27.35%</w:t>
            </w:r>
          </w:p>
        </w:tc>
        <w:tc>
          <w:tcPr>
            <w:tcW w:w="773"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15.04%</w:t>
            </w:r>
          </w:p>
        </w:tc>
        <w:tc>
          <w:tcPr>
            <w:tcW w:w="887" w:type="pct"/>
            <w:vAlign w:val="center"/>
          </w:tcPr>
          <w:p>
            <w:pPr>
              <w:pStyle w:val="10"/>
              <w:tabs>
                <w:tab w:val="left" w:pos="1352"/>
              </w:tabs>
              <w:adjustRightInd w:val="0"/>
              <w:snapToGrid w:val="0"/>
              <w:spacing w:before="0" w:beforeAutospacing="0" w:after="0" w:afterAutospacing="0"/>
              <w:jc w:val="right"/>
              <w:rPr>
                <w:rFonts w:cstheme="minorEastAsia"/>
                <w:color w:val="000000"/>
              </w:rPr>
            </w:pPr>
            <w:r>
              <w:rPr>
                <w:rFonts w:cstheme="minorEastAsia"/>
                <w:color w:val="000000"/>
              </w:rPr>
              <w:t>15.04%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3" w:type="pct"/>
            <w:shd w:val="clear" w:color="auto" w:fill="auto"/>
            <w:vAlign w:val="center"/>
          </w:tcPr>
          <w:p>
            <w:pPr>
              <w:pStyle w:val="10"/>
              <w:tabs>
                <w:tab w:val="left" w:pos="1260"/>
              </w:tabs>
              <w:adjustRightInd w:val="0"/>
              <w:snapToGrid w:val="0"/>
              <w:spacing w:before="0" w:beforeAutospacing="0" w:after="0" w:afterAutospacing="0"/>
              <w:jc w:val="center"/>
              <w:rPr>
                <w:rFonts w:cstheme="minorEastAsia"/>
                <w:color w:val="000000"/>
              </w:rPr>
            </w:pPr>
            <w:r>
              <w:rPr>
                <w:rFonts w:hint="eastAsia" w:cstheme="minorEastAsia"/>
                <w:color w:val="000000"/>
              </w:rPr>
              <w:t>3</w:t>
            </w:r>
          </w:p>
        </w:tc>
        <w:tc>
          <w:tcPr>
            <w:tcW w:w="2284" w:type="pct"/>
            <w:shd w:val="clear" w:color="auto" w:fill="auto"/>
            <w:vAlign w:val="center"/>
          </w:tcPr>
          <w:p>
            <w:pPr>
              <w:pStyle w:val="10"/>
              <w:tabs>
                <w:tab w:val="left" w:pos="1260"/>
              </w:tabs>
              <w:adjustRightInd w:val="0"/>
              <w:snapToGrid w:val="0"/>
              <w:spacing w:before="0" w:beforeAutospacing="0" w:after="0" w:afterAutospacing="0"/>
              <w:rPr>
                <w:rFonts w:cstheme="minorEastAsia"/>
                <w:color w:val="000000"/>
              </w:rPr>
            </w:pPr>
            <w:r>
              <w:rPr>
                <w:rFonts w:hint="eastAsia" w:cstheme="minorEastAsia"/>
                <w:color w:val="000000"/>
              </w:rPr>
              <w:t>福建东普投资中心（有限合伙）</w:t>
            </w:r>
          </w:p>
        </w:tc>
        <w:tc>
          <w:tcPr>
            <w:tcW w:w="773" w:type="pct"/>
            <w:shd w:val="clear" w:color="auto" w:fill="auto"/>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17.50%</w:t>
            </w:r>
          </w:p>
        </w:tc>
        <w:tc>
          <w:tcPr>
            <w:tcW w:w="773"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9.63%</w:t>
            </w:r>
          </w:p>
        </w:tc>
        <w:tc>
          <w:tcPr>
            <w:tcW w:w="887"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3" w:type="pct"/>
            <w:shd w:val="clear" w:color="auto" w:fill="auto"/>
            <w:vAlign w:val="center"/>
          </w:tcPr>
          <w:p>
            <w:pPr>
              <w:pStyle w:val="10"/>
              <w:tabs>
                <w:tab w:val="left" w:pos="1260"/>
              </w:tabs>
              <w:adjustRightInd w:val="0"/>
              <w:snapToGrid w:val="0"/>
              <w:spacing w:before="0" w:beforeAutospacing="0" w:after="0" w:afterAutospacing="0"/>
              <w:jc w:val="center"/>
              <w:rPr>
                <w:rFonts w:cstheme="minorEastAsia"/>
                <w:color w:val="000000"/>
              </w:rPr>
            </w:pPr>
            <w:r>
              <w:rPr>
                <w:rFonts w:cstheme="minorEastAsia"/>
                <w:color w:val="000000"/>
              </w:rPr>
              <w:t>4</w:t>
            </w:r>
          </w:p>
        </w:tc>
        <w:tc>
          <w:tcPr>
            <w:tcW w:w="2284" w:type="pct"/>
            <w:shd w:val="clear" w:color="auto" w:fill="auto"/>
            <w:vAlign w:val="center"/>
          </w:tcPr>
          <w:p>
            <w:pPr>
              <w:pStyle w:val="10"/>
              <w:tabs>
                <w:tab w:val="left" w:pos="1260"/>
              </w:tabs>
              <w:adjustRightInd w:val="0"/>
              <w:snapToGrid w:val="0"/>
              <w:spacing w:before="0" w:beforeAutospacing="0" w:after="0" w:afterAutospacing="0"/>
              <w:rPr>
                <w:rFonts w:cstheme="minorEastAsia"/>
                <w:color w:val="000000"/>
              </w:rPr>
            </w:pPr>
            <w:r>
              <w:rPr>
                <w:rFonts w:hint="eastAsia" w:cstheme="minorEastAsia"/>
                <w:color w:val="000000"/>
              </w:rPr>
              <w:t>福建东震投资中心（有限合伙）</w:t>
            </w:r>
          </w:p>
        </w:tc>
        <w:tc>
          <w:tcPr>
            <w:tcW w:w="773" w:type="pct"/>
            <w:shd w:val="clear" w:color="auto" w:fill="auto"/>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15.86%</w:t>
            </w:r>
          </w:p>
        </w:tc>
        <w:tc>
          <w:tcPr>
            <w:tcW w:w="773"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8.72%</w:t>
            </w:r>
          </w:p>
        </w:tc>
        <w:tc>
          <w:tcPr>
            <w:tcW w:w="887"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3" w:type="pct"/>
            <w:shd w:val="clear" w:color="auto" w:fill="auto"/>
            <w:vAlign w:val="center"/>
          </w:tcPr>
          <w:p>
            <w:pPr>
              <w:pStyle w:val="10"/>
              <w:tabs>
                <w:tab w:val="left" w:pos="1260"/>
              </w:tabs>
              <w:adjustRightInd w:val="0"/>
              <w:snapToGrid w:val="0"/>
              <w:spacing w:before="0" w:beforeAutospacing="0" w:after="0" w:afterAutospacing="0"/>
              <w:jc w:val="center"/>
              <w:rPr>
                <w:rFonts w:cstheme="minorEastAsia"/>
                <w:color w:val="000000"/>
              </w:rPr>
            </w:pPr>
            <w:r>
              <w:rPr>
                <w:rFonts w:cstheme="minorEastAsia"/>
                <w:color w:val="000000"/>
              </w:rPr>
              <w:t>5</w:t>
            </w:r>
          </w:p>
        </w:tc>
        <w:tc>
          <w:tcPr>
            <w:tcW w:w="2284" w:type="pct"/>
            <w:shd w:val="clear" w:color="auto" w:fill="auto"/>
            <w:vAlign w:val="center"/>
          </w:tcPr>
          <w:p>
            <w:pPr>
              <w:pStyle w:val="10"/>
              <w:tabs>
                <w:tab w:val="left" w:pos="1260"/>
              </w:tabs>
              <w:adjustRightInd w:val="0"/>
              <w:snapToGrid w:val="0"/>
              <w:spacing w:before="0" w:beforeAutospacing="0" w:after="0" w:afterAutospacing="0"/>
              <w:rPr>
                <w:rFonts w:cstheme="minorEastAsia"/>
                <w:color w:val="000000"/>
              </w:rPr>
            </w:pPr>
            <w:r>
              <w:rPr>
                <w:rFonts w:hint="eastAsia" w:cstheme="minorEastAsia"/>
                <w:color w:val="000000"/>
              </w:rPr>
              <w:t>福建东熹投资中心（有限合伙）</w:t>
            </w:r>
          </w:p>
        </w:tc>
        <w:tc>
          <w:tcPr>
            <w:tcW w:w="773" w:type="pct"/>
            <w:shd w:val="clear" w:color="auto" w:fill="auto"/>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9.12%</w:t>
            </w:r>
          </w:p>
        </w:tc>
        <w:tc>
          <w:tcPr>
            <w:tcW w:w="773"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5.01%</w:t>
            </w:r>
          </w:p>
        </w:tc>
        <w:tc>
          <w:tcPr>
            <w:tcW w:w="887"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3" w:type="pct"/>
            <w:shd w:val="clear" w:color="auto" w:fill="auto"/>
            <w:vAlign w:val="center"/>
          </w:tcPr>
          <w:p>
            <w:pPr>
              <w:pStyle w:val="10"/>
              <w:tabs>
                <w:tab w:val="left" w:pos="1260"/>
              </w:tabs>
              <w:adjustRightInd w:val="0"/>
              <w:snapToGrid w:val="0"/>
              <w:spacing w:before="0" w:beforeAutospacing="0" w:after="0" w:afterAutospacing="0"/>
              <w:jc w:val="center"/>
              <w:rPr>
                <w:rFonts w:cstheme="minorEastAsia"/>
                <w:color w:val="000000"/>
              </w:rPr>
            </w:pPr>
            <w:r>
              <w:rPr>
                <w:rFonts w:cstheme="minorEastAsia"/>
                <w:color w:val="000000"/>
              </w:rPr>
              <w:t>6</w:t>
            </w:r>
          </w:p>
        </w:tc>
        <w:tc>
          <w:tcPr>
            <w:tcW w:w="2284" w:type="pct"/>
            <w:shd w:val="clear" w:color="auto" w:fill="auto"/>
            <w:vAlign w:val="center"/>
          </w:tcPr>
          <w:p>
            <w:pPr>
              <w:pStyle w:val="10"/>
              <w:tabs>
                <w:tab w:val="left" w:pos="1260"/>
              </w:tabs>
              <w:adjustRightInd w:val="0"/>
              <w:snapToGrid w:val="0"/>
              <w:spacing w:before="0" w:beforeAutospacing="0" w:after="0" w:afterAutospacing="0"/>
              <w:rPr>
                <w:rFonts w:cstheme="minorEastAsia"/>
                <w:color w:val="000000"/>
              </w:rPr>
            </w:pPr>
            <w:r>
              <w:rPr>
                <w:rFonts w:hint="eastAsia" w:cstheme="minorEastAsia"/>
                <w:color w:val="000000"/>
              </w:rPr>
              <w:t>福建东泊投资中心（有限合伙）</w:t>
            </w:r>
          </w:p>
        </w:tc>
        <w:tc>
          <w:tcPr>
            <w:tcW w:w="773" w:type="pct"/>
            <w:shd w:val="clear" w:color="auto" w:fill="auto"/>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6.02%</w:t>
            </w:r>
          </w:p>
        </w:tc>
        <w:tc>
          <w:tcPr>
            <w:tcW w:w="773"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3.31%</w:t>
            </w:r>
          </w:p>
        </w:tc>
        <w:tc>
          <w:tcPr>
            <w:tcW w:w="887"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3" w:type="pct"/>
            <w:shd w:val="clear" w:color="auto" w:fill="auto"/>
            <w:vAlign w:val="center"/>
          </w:tcPr>
          <w:p>
            <w:pPr>
              <w:pStyle w:val="10"/>
              <w:tabs>
                <w:tab w:val="left" w:pos="1260"/>
              </w:tabs>
              <w:adjustRightInd w:val="0"/>
              <w:snapToGrid w:val="0"/>
              <w:spacing w:before="0" w:beforeAutospacing="0" w:after="0" w:afterAutospacing="0"/>
              <w:jc w:val="center"/>
              <w:rPr>
                <w:rFonts w:cstheme="minorEastAsia"/>
                <w:color w:val="000000"/>
              </w:rPr>
            </w:pPr>
            <w:r>
              <w:rPr>
                <w:rFonts w:cstheme="minorEastAsia"/>
                <w:color w:val="000000"/>
              </w:rPr>
              <w:t>7</w:t>
            </w:r>
          </w:p>
        </w:tc>
        <w:tc>
          <w:tcPr>
            <w:tcW w:w="2284" w:type="pct"/>
            <w:shd w:val="clear" w:color="auto" w:fill="auto"/>
            <w:vAlign w:val="center"/>
          </w:tcPr>
          <w:p>
            <w:pPr>
              <w:pStyle w:val="10"/>
              <w:tabs>
                <w:tab w:val="left" w:pos="1260"/>
              </w:tabs>
              <w:adjustRightInd w:val="0"/>
              <w:snapToGrid w:val="0"/>
              <w:spacing w:before="0" w:beforeAutospacing="0" w:after="0" w:afterAutospacing="0"/>
              <w:rPr>
                <w:rFonts w:cstheme="minorEastAsia"/>
                <w:color w:val="000000"/>
              </w:rPr>
            </w:pPr>
            <w:r>
              <w:rPr>
                <w:rFonts w:hint="eastAsia" w:cstheme="minorEastAsia"/>
                <w:color w:val="000000"/>
              </w:rPr>
              <w:t>福建东沃投资中心（有限合伙）</w:t>
            </w:r>
          </w:p>
        </w:tc>
        <w:tc>
          <w:tcPr>
            <w:tcW w:w="773" w:type="pct"/>
            <w:shd w:val="clear" w:color="auto" w:fill="auto"/>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6.02%</w:t>
            </w:r>
          </w:p>
        </w:tc>
        <w:tc>
          <w:tcPr>
            <w:tcW w:w="773"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3.31%</w:t>
            </w:r>
          </w:p>
        </w:tc>
        <w:tc>
          <w:tcPr>
            <w:tcW w:w="887"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3" w:type="pct"/>
            <w:shd w:val="clear" w:color="auto" w:fill="auto"/>
            <w:vAlign w:val="center"/>
          </w:tcPr>
          <w:p>
            <w:pPr>
              <w:pStyle w:val="10"/>
              <w:tabs>
                <w:tab w:val="left" w:pos="1260"/>
              </w:tabs>
              <w:adjustRightInd w:val="0"/>
              <w:snapToGrid w:val="0"/>
              <w:spacing w:before="0" w:beforeAutospacing="0" w:after="0" w:afterAutospacing="0"/>
              <w:jc w:val="center"/>
              <w:rPr>
                <w:rFonts w:cstheme="minorEastAsia"/>
                <w:color w:val="000000"/>
              </w:rPr>
            </w:pPr>
            <w:r>
              <w:rPr>
                <w:rFonts w:cstheme="minorEastAsia"/>
                <w:color w:val="000000"/>
              </w:rPr>
              <w:t>8</w:t>
            </w:r>
          </w:p>
        </w:tc>
        <w:tc>
          <w:tcPr>
            <w:tcW w:w="2284" w:type="pct"/>
            <w:shd w:val="clear" w:color="auto" w:fill="auto"/>
            <w:vAlign w:val="center"/>
          </w:tcPr>
          <w:p>
            <w:pPr>
              <w:pStyle w:val="10"/>
              <w:tabs>
                <w:tab w:val="left" w:pos="1260"/>
              </w:tabs>
              <w:adjustRightInd w:val="0"/>
              <w:snapToGrid w:val="0"/>
              <w:spacing w:before="0" w:beforeAutospacing="0" w:after="0" w:afterAutospacing="0"/>
              <w:rPr>
                <w:rFonts w:cstheme="minorEastAsia"/>
                <w:color w:val="000000"/>
              </w:rPr>
            </w:pPr>
            <w:r>
              <w:rPr>
                <w:rFonts w:hint="eastAsia" w:cstheme="minorEastAsia"/>
                <w:color w:val="000000"/>
              </w:rPr>
              <w:t>福建东创投资中心（有限合伙）</w:t>
            </w:r>
          </w:p>
        </w:tc>
        <w:tc>
          <w:tcPr>
            <w:tcW w:w="773" w:type="pct"/>
            <w:shd w:val="clear" w:color="auto" w:fill="auto"/>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5.47%</w:t>
            </w:r>
          </w:p>
        </w:tc>
        <w:tc>
          <w:tcPr>
            <w:tcW w:w="773"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3.01%</w:t>
            </w:r>
          </w:p>
        </w:tc>
        <w:tc>
          <w:tcPr>
            <w:tcW w:w="887"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3" w:type="pct"/>
            <w:shd w:val="clear" w:color="auto" w:fill="auto"/>
            <w:vAlign w:val="center"/>
          </w:tcPr>
          <w:p>
            <w:pPr>
              <w:pStyle w:val="10"/>
              <w:tabs>
                <w:tab w:val="left" w:pos="1260"/>
              </w:tabs>
              <w:adjustRightInd w:val="0"/>
              <w:snapToGrid w:val="0"/>
              <w:spacing w:before="0" w:beforeAutospacing="0" w:after="0" w:afterAutospacing="0"/>
              <w:jc w:val="center"/>
              <w:rPr>
                <w:rFonts w:cstheme="minorEastAsia"/>
                <w:color w:val="000000"/>
              </w:rPr>
            </w:pPr>
            <w:r>
              <w:rPr>
                <w:rFonts w:hint="eastAsia" w:cstheme="minorEastAsia"/>
                <w:color w:val="000000"/>
              </w:rPr>
              <w:t>9</w:t>
            </w:r>
          </w:p>
        </w:tc>
        <w:tc>
          <w:tcPr>
            <w:tcW w:w="2284" w:type="pct"/>
            <w:shd w:val="clear" w:color="auto" w:fill="auto"/>
            <w:vAlign w:val="center"/>
          </w:tcPr>
          <w:p>
            <w:pPr>
              <w:pStyle w:val="10"/>
              <w:tabs>
                <w:tab w:val="left" w:pos="1260"/>
              </w:tabs>
              <w:adjustRightInd w:val="0"/>
              <w:snapToGrid w:val="0"/>
              <w:spacing w:before="0" w:beforeAutospacing="0" w:after="0" w:afterAutospacing="0"/>
              <w:rPr>
                <w:rFonts w:cstheme="minorEastAsia"/>
                <w:color w:val="000000"/>
              </w:rPr>
            </w:pPr>
            <w:r>
              <w:rPr>
                <w:rFonts w:hint="eastAsia" w:cstheme="minorEastAsia"/>
                <w:color w:val="000000"/>
              </w:rPr>
              <w:t>福建东潭投资中心（有限合伙）</w:t>
            </w:r>
          </w:p>
        </w:tc>
        <w:tc>
          <w:tcPr>
            <w:tcW w:w="773" w:type="pct"/>
            <w:shd w:val="clear" w:color="auto" w:fill="auto"/>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2.92%</w:t>
            </w:r>
          </w:p>
        </w:tc>
        <w:tc>
          <w:tcPr>
            <w:tcW w:w="773"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1.60%</w:t>
            </w:r>
          </w:p>
        </w:tc>
        <w:tc>
          <w:tcPr>
            <w:tcW w:w="887"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jc w:val="center"/>
        </w:trPr>
        <w:tc>
          <w:tcPr>
            <w:tcW w:w="283" w:type="pct"/>
            <w:shd w:val="clear" w:color="auto" w:fill="auto"/>
            <w:vAlign w:val="center"/>
          </w:tcPr>
          <w:p>
            <w:pPr>
              <w:pStyle w:val="10"/>
              <w:tabs>
                <w:tab w:val="left" w:pos="1260"/>
              </w:tabs>
              <w:adjustRightInd w:val="0"/>
              <w:snapToGrid w:val="0"/>
              <w:spacing w:before="0" w:beforeAutospacing="0" w:after="0" w:afterAutospacing="0"/>
              <w:jc w:val="center"/>
              <w:rPr>
                <w:rFonts w:cstheme="minorEastAsia"/>
                <w:color w:val="000000"/>
              </w:rPr>
            </w:pPr>
            <w:r>
              <w:rPr>
                <w:rFonts w:hint="eastAsia" w:cstheme="minorEastAsia"/>
                <w:color w:val="000000"/>
              </w:rPr>
              <w:t>1</w:t>
            </w:r>
            <w:r>
              <w:rPr>
                <w:rFonts w:cstheme="minorEastAsia"/>
                <w:color w:val="000000"/>
              </w:rPr>
              <w:t>0</w:t>
            </w:r>
          </w:p>
        </w:tc>
        <w:tc>
          <w:tcPr>
            <w:tcW w:w="2284" w:type="pct"/>
            <w:shd w:val="clear" w:color="auto" w:fill="auto"/>
            <w:vAlign w:val="center"/>
          </w:tcPr>
          <w:p>
            <w:pPr>
              <w:pStyle w:val="10"/>
              <w:tabs>
                <w:tab w:val="left" w:pos="1260"/>
              </w:tabs>
              <w:adjustRightInd w:val="0"/>
              <w:snapToGrid w:val="0"/>
              <w:spacing w:before="0" w:beforeAutospacing="0" w:after="0" w:afterAutospacing="0"/>
              <w:rPr>
                <w:rFonts w:cstheme="minorEastAsia"/>
                <w:color w:val="000000"/>
              </w:rPr>
            </w:pPr>
            <w:r>
              <w:rPr>
                <w:rFonts w:hint="eastAsia" w:cstheme="minorEastAsia"/>
                <w:color w:val="000000"/>
              </w:rPr>
              <w:t>天津海河沄柏产业投资基金合伙企业（有限合伙）</w:t>
            </w:r>
          </w:p>
        </w:tc>
        <w:tc>
          <w:tcPr>
            <w:tcW w:w="773" w:type="pct"/>
            <w:shd w:val="clear" w:color="auto" w:fill="auto"/>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2.71%</w:t>
            </w:r>
          </w:p>
        </w:tc>
        <w:tc>
          <w:tcPr>
            <w:tcW w:w="773"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1.49%</w:t>
            </w:r>
          </w:p>
        </w:tc>
        <w:tc>
          <w:tcPr>
            <w:tcW w:w="887"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3" w:type="pct"/>
            <w:shd w:val="clear" w:color="auto" w:fill="auto"/>
            <w:vAlign w:val="center"/>
          </w:tcPr>
          <w:p>
            <w:pPr>
              <w:pStyle w:val="10"/>
              <w:tabs>
                <w:tab w:val="left" w:pos="1260"/>
              </w:tabs>
              <w:adjustRightInd w:val="0"/>
              <w:snapToGrid w:val="0"/>
              <w:spacing w:before="0" w:beforeAutospacing="0" w:after="0" w:afterAutospacing="0"/>
              <w:jc w:val="center"/>
              <w:rPr>
                <w:rFonts w:cstheme="minorEastAsia"/>
                <w:color w:val="000000"/>
              </w:rPr>
            </w:pPr>
            <w:r>
              <w:rPr>
                <w:rFonts w:hint="eastAsia" w:cstheme="minorEastAsia"/>
                <w:color w:val="000000"/>
              </w:rPr>
              <w:t>1</w:t>
            </w:r>
            <w:r>
              <w:rPr>
                <w:rFonts w:cstheme="minorEastAsia"/>
                <w:color w:val="000000"/>
              </w:rPr>
              <w:t>1</w:t>
            </w:r>
          </w:p>
        </w:tc>
        <w:tc>
          <w:tcPr>
            <w:tcW w:w="2284" w:type="pct"/>
            <w:shd w:val="clear" w:color="auto" w:fill="auto"/>
            <w:vAlign w:val="center"/>
          </w:tcPr>
          <w:p>
            <w:pPr>
              <w:pStyle w:val="10"/>
              <w:tabs>
                <w:tab w:val="left" w:pos="1260"/>
              </w:tabs>
              <w:adjustRightInd w:val="0"/>
              <w:snapToGrid w:val="0"/>
              <w:spacing w:before="0" w:beforeAutospacing="0" w:after="0" w:afterAutospacing="0"/>
              <w:rPr>
                <w:rFonts w:cstheme="minorEastAsia"/>
                <w:color w:val="000000"/>
              </w:rPr>
            </w:pPr>
            <w:r>
              <w:rPr>
                <w:rFonts w:hint="eastAsia" w:cstheme="minorEastAsia"/>
                <w:color w:val="000000"/>
              </w:rPr>
              <w:t>前海股权投资基金（有限合伙）</w:t>
            </w:r>
          </w:p>
        </w:tc>
        <w:tc>
          <w:tcPr>
            <w:tcW w:w="773" w:type="pct"/>
            <w:shd w:val="clear" w:color="auto" w:fill="auto"/>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2.71%</w:t>
            </w:r>
          </w:p>
        </w:tc>
        <w:tc>
          <w:tcPr>
            <w:tcW w:w="773"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1.49%</w:t>
            </w:r>
          </w:p>
        </w:tc>
        <w:tc>
          <w:tcPr>
            <w:tcW w:w="887"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3" w:type="pct"/>
            <w:shd w:val="clear" w:color="auto" w:fill="auto"/>
            <w:vAlign w:val="center"/>
          </w:tcPr>
          <w:p>
            <w:pPr>
              <w:pStyle w:val="10"/>
              <w:tabs>
                <w:tab w:val="left" w:pos="1260"/>
              </w:tabs>
              <w:adjustRightInd w:val="0"/>
              <w:snapToGrid w:val="0"/>
              <w:spacing w:before="0" w:beforeAutospacing="0" w:after="0" w:afterAutospacing="0"/>
              <w:jc w:val="center"/>
              <w:rPr>
                <w:rFonts w:cstheme="minorEastAsia"/>
                <w:color w:val="000000"/>
              </w:rPr>
            </w:pPr>
            <w:r>
              <w:rPr>
                <w:rFonts w:hint="eastAsia" w:cstheme="minorEastAsia"/>
                <w:color w:val="000000"/>
              </w:rPr>
              <w:t>1</w:t>
            </w:r>
            <w:r>
              <w:rPr>
                <w:rFonts w:cstheme="minorEastAsia"/>
                <w:color w:val="000000"/>
              </w:rPr>
              <w:t>2</w:t>
            </w:r>
          </w:p>
        </w:tc>
        <w:tc>
          <w:tcPr>
            <w:tcW w:w="2284" w:type="pct"/>
            <w:shd w:val="clear" w:color="auto" w:fill="auto"/>
            <w:vAlign w:val="center"/>
          </w:tcPr>
          <w:p>
            <w:pPr>
              <w:pStyle w:val="10"/>
              <w:tabs>
                <w:tab w:val="left" w:pos="1260"/>
              </w:tabs>
              <w:adjustRightInd w:val="0"/>
              <w:snapToGrid w:val="0"/>
              <w:spacing w:before="0" w:beforeAutospacing="0" w:after="0" w:afterAutospacing="0"/>
              <w:rPr>
                <w:rFonts w:cstheme="minorEastAsia"/>
                <w:color w:val="000000"/>
              </w:rPr>
            </w:pPr>
            <w:r>
              <w:rPr>
                <w:rFonts w:hint="eastAsia" w:cstheme="minorEastAsia"/>
                <w:color w:val="000000"/>
              </w:rPr>
              <w:t>中信证券投资有限公司</w:t>
            </w:r>
          </w:p>
        </w:tc>
        <w:tc>
          <w:tcPr>
            <w:tcW w:w="773" w:type="pct"/>
            <w:shd w:val="clear" w:color="auto" w:fill="auto"/>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1.54%</w:t>
            </w:r>
          </w:p>
        </w:tc>
        <w:tc>
          <w:tcPr>
            <w:tcW w:w="773"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0.85%</w:t>
            </w:r>
          </w:p>
        </w:tc>
        <w:tc>
          <w:tcPr>
            <w:tcW w:w="887"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3" w:type="pct"/>
            <w:shd w:val="clear" w:color="auto" w:fill="auto"/>
            <w:vAlign w:val="center"/>
          </w:tcPr>
          <w:p>
            <w:pPr>
              <w:pStyle w:val="10"/>
              <w:tabs>
                <w:tab w:val="left" w:pos="1260"/>
              </w:tabs>
              <w:adjustRightInd w:val="0"/>
              <w:snapToGrid w:val="0"/>
              <w:spacing w:before="0" w:beforeAutospacing="0" w:after="0" w:afterAutospacing="0"/>
              <w:jc w:val="center"/>
              <w:rPr>
                <w:rFonts w:cstheme="minorEastAsia"/>
                <w:color w:val="000000"/>
              </w:rPr>
            </w:pPr>
            <w:r>
              <w:rPr>
                <w:rFonts w:hint="eastAsia" w:cstheme="minorEastAsia"/>
                <w:color w:val="000000"/>
              </w:rPr>
              <w:t>1</w:t>
            </w:r>
            <w:r>
              <w:rPr>
                <w:rFonts w:cstheme="minorEastAsia"/>
                <w:color w:val="000000"/>
              </w:rPr>
              <w:t>3</w:t>
            </w:r>
          </w:p>
        </w:tc>
        <w:tc>
          <w:tcPr>
            <w:tcW w:w="2284" w:type="pct"/>
            <w:shd w:val="clear" w:color="auto" w:fill="auto"/>
            <w:vAlign w:val="center"/>
          </w:tcPr>
          <w:p>
            <w:pPr>
              <w:pStyle w:val="10"/>
              <w:tabs>
                <w:tab w:val="left" w:pos="1260"/>
              </w:tabs>
              <w:adjustRightInd w:val="0"/>
              <w:snapToGrid w:val="0"/>
              <w:spacing w:before="0" w:beforeAutospacing="0" w:after="0" w:afterAutospacing="0"/>
              <w:rPr>
                <w:rFonts w:cstheme="minorEastAsia"/>
                <w:color w:val="000000"/>
              </w:rPr>
            </w:pPr>
            <w:r>
              <w:rPr>
                <w:rFonts w:hint="eastAsia" w:cstheme="minorEastAsia"/>
                <w:color w:val="000000"/>
              </w:rPr>
              <w:t>福建东厦投资中心（有限合伙）</w:t>
            </w:r>
          </w:p>
        </w:tc>
        <w:tc>
          <w:tcPr>
            <w:tcW w:w="773" w:type="pct"/>
            <w:shd w:val="clear" w:color="auto" w:fill="auto"/>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1.09%</w:t>
            </w:r>
          </w:p>
        </w:tc>
        <w:tc>
          <w:tcPr>
            <w:tcW w:w="773"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0.60%</w:t>
            </w:r>
          </w:p>
        </w:tc>
        <w:tc>
          <w:tcPr>
            <w:tcW w:w="887"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3" w:type="pct"/>
            <w:shd w:val="clear" w:color="auto" w:fill="auto"/>
            <w:vAlign w:val="center"/>
          </w:tcPr>
          <w:p>
            <w:pPr>
              <w:pStyle w:val="10"/>
              <w:tabs>
                <w:tab w:val="left" w:pos="1260"/>
              </w:tabs>
              <w:adjustRightInd w:val="0"/>
              <w:snapToGrid w:val="0"/>
              <w:spacing w:before="0" w:beforeAutospacing="0" w:after="0" w:afterAutospacing="0"/>
              <w:jc w:val="center"/>
              <w:rPr>
                <w:rFonts w:cstheme="minorEastAsia"/>
                <w:color w:val="000000"/>
              </w:rPr>
            </w:pPr>
            <w:r>
              <w:rPr>
                <w:rFonts w:hint="eastAsia" w:cstheme="minorEastAsia"/>
                <w:color w:val="000000"/>
              </w:rPr>
              <w:t>1</w:t>
            </w:r>
            <w:r>
              <w:rPr>
                <w:rFonts w:cstheme="minorEastAsia"/>
                <w:color w:val="000000"/>
              </w:rPr>
              <w:t>4</w:t>
            </w:r>
          </w:p>
        </w:tc>
        <w:tc>
          <w:tcPr>
            <w:tcW w:w="2284" w:type="pct"/>
            <w:shd w:val="clear" w:color="auto" w:fill="auto"/>
            <w:vAlign w:val="center"/>
          </w:tcPr>
          <w:p>
            <w:pPr>
              <w:pStyle w:val="10"/>
              <w:tabs>
                <w:tab w:val="left" w:pos="1260"/>
              </w:tabs>
              <w:adjustRightInd w:val="0"/>
              <w:snapToGrid w:val="0"/>
              <w:spacing w:before="0" w:beforeAutospacing="0" w:after="0" w:afterAutospacing="0"/>
              <w:rPr>
                <w:rFonts w:cstheme="minorEastAsia"/>
                <w:color w:val="000000"/>
              </w:rPr>
            </w:pPr>
            <w:r>
              <w:rPr>
                <w:rFonts w:hint="eastAsia" w:cstheme="minorEastAsia"/>
                <w:color w:val="000000"/>
              </w:rPr>
              <w:t>福建东达投资中心（有限合伙）</w:t>
            </w:r>
          </w:p>
        </w:tc>
        <w:tc>
          <w:tcPr>
            <w:tcW w:w="773" w:type="pct"/>
            <w:shd w:val="clear" w:color="auto" w:fill="auto"/>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0.93%</w:t>
            </w:r>
          </w:p>
        </w:tc>
        <w:tc>
          <w:tcPr>
            <w:tcW w:w="773"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0.51%</w:t>
            </w:r>
          </w:p>
        </w:tc>
        <w:tc>
          <w:tcPr>
            <w:tcW w:w="887"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3" w:type="pct"/>
            <w:shd w:val="clear" w:color="auto" w:fill="auto"/>
            <w:vAlign w:val="center"/>
          </w:tcPr>
          <w:p>
            <w:pPr>
              <w:pStyle w:val="10"/>
              <w:tabs>
                <w:tab w:val="left" w:pos="1260"/>
              </w:tabs>
              <w:adjustRightInd w:val="0"/>
              <w:snapToGrid w:val="0"/>
              <w:spacing w:before="0" w:beforeAutospacing="0" w:after="0" w:afterAutospacing="0"/>
              <w:jc w:val="center"/>
              <w:rPr>
                <w:rFonts w:cstheme="minorEastAsia"/>
                <w:color w:val="000000"/>
              </w:rPr>
            </w:pPr>
            <w:r>
              <w:rPr>
                <w:rFonts w:hint="eastAsia" w:cstheme="minorEastAsia"/>
                <w:color w:val="000000"/>
              </w:rPr>
              <w:t>1</w:t>
            </w:r>
            <w:r>
              <w:rPr>
                <w:rFonts w:cstheme="minorEastAsia"/>
                <w:color w:val="000000"/>
              </w:rPr>
              <w:t>5</w:t>
            </w:r>
          </w:p>
        </w:tc>
        <w:tc>
          <w:tcPr>
            <w:tcW w:w="2284" w:type="pct"/>
            <w:shd w:val="clear" w:color="auto" w:fill="auto"/>
            <w:vAlign w:val="center"/>
          </w:tcPr>
          <w:p>
            <w:pPr>
              <w:pStyle w:val="10"/>
              <w:tabs>
                <w:tab w:val="left" w:pos="1260"/>
              </w:tabs>
              <w:adjustRightInd w:val="0"/>
              <w:snapToGrid w:val="0"/>
              <w:spacing w:before="0" w:beforeAutospacing="0" w:after="0" w:afterAutospacing="0"/>
              <w:rPr>
                <w:rFonts w:cstheme="minorEastAsia"/>
                <w:color w:val="000000"/>
              </w:rPr>
            </w:pPr>
            <w:r>
              <w:rPr>
                <w:rFonts w:hint="eastAsia" w:cstheme="minorEastAsia"/>
                <w:color w:val="000000"/>
              </w:rPr>
              <w:t>竞点（福建）国际贸易有限公司</w:t>
            </w:r>
          </w:p>
        </w:tc>
        <w:tc>
          <w:tcPr>
            <w:tcW w:w="773" w:type="pct"/>
            <w:shd w:val="clear" w:color="auto" w:fill="auto"/>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0.47%</w:t>
            </w:r>
          </w:p>
        </w:tc>
        <w:tc>
          <w:tcPr>
            <w:tcW w:w="773"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0.26%</w:t>
            </w:r>
          </w:p>
        </w:tc>
        <w:tc>
          <w:tcPr>
            <w:tcW w:w="887"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3" w:type="pct"/>
            <w:shd w:val="clear" w:color="auto" w:fill="auto"/>
            <w:vAlign w:val="center"/>
          </w:tcPr>
          <w:p>
            <w:pPr>
              <w:pStyle w:val="10"/>
              <w:tabs>
                <w:tab w:val="left" w:pos="1260"/>
              </w:tabs>
              <w:adjustRightInd w:val="0"/>
              <w:snapToGrid w:val="0"/>
              <w:spacing w:before="0" w:beforeAutospacing="0" w:after="0" w:afterAutospacing="0"/>
              <w:jc w:val="center"/>
              <w:rPr>
                <w:rFonts w:cstheme="minorEastAsia"/>
                <w:color w:val="000000"/>
              </w:rPr>
            </w:pPr>
            <w:r>
              <w:rPr>
                <w:rFonts w:cstheme="minorEastAsia"/>
                <w:color w:val="000000"/>
              </w:rPr>
              <w:t>16</w:t>
            </w:r>
          </w:p>
        </w:tc>
        <w:tc>
          <w:tcPr>
            <w:tcW w:w="2284" w:type="pct"/>
            <w:shd w:val="clear" w:color="auto" w:fill="auto"/>
            <w:vAlign w:val="center"/>
          </w:tcPr>
          <w:p>
            <w:pPr>
              <w:pStyle w:val="10"/>
              <w:tabs>
                <w:tab w:val="left" w:pos="1260"/>
              </w:tabs>
              <w:adjustRightInd w:val="0"/>
              <w:snapToGrid w:val="0"/>
              <w:spacing w:before="0" w:beforeAutospacing="0" w:after="0" w:afterAutospacing="0"/>
              <w:rPr>
                <w:rFonts w:cstheme="minorEastAsia"/>
                <w:color w:val="000000"/>
              </w:rPr>
            </w:pPr>
            <w:r>
              <w:rPr>
                <w:rFonts w:hint="eastAsia" w:cstheme="minorEastAsia"/>
                <w:color w:val="000000"/>
              </w:rPr>
              <w:t>福建东投投资中心（有限合伙）</w:t>
            </w:r>
          </w:p>
        </w:tc>
        <w:tc>
          <w:tcPr>
            <w:tcW w:w="773" w:type="pct"/>
            <w:shd w:val="clear" w:color="auto" w:fill="auto"/>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0.29%</w:t>
            </w:r>
          </w:p>
        </w:tc>
        <w:tc>
          <w:tcPr>
            <w:tcW w:w="773"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0.16%</w:t>
            </w:r>
          </w:p>
        </w:tc>
        <w:tc>
          <w:tcPr>
            <w:tcW w:w="887"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67" w:type="pct"/>
            <w:gridSpan w:val="2"/>
            <w:shd w:val="clear" w:color="auto" w:fill="auto"/>
            <w:vAlign w:val="center"/>
          </w:tcPr>
          <w:p>
            <w:pPr>
              <w:pStyle w:val="10"/>
              <w:tabs>
                <w:tab w:val="left" w:pos="1260"/>
              </w:tabs>
              <w:adjustRightInd w:val="0"/>
              <w:snapToGrid w:val="0"/>
              <w:spacing w:before="0" w:beforeAutospacing="0" w:after="0" w:afterAutospacing="0"/>
              <w:jc w:val="center"/>
              <w:rPr>
                <w:rFonts w:cstheme="minorEastAsia"/>
                <w:color w:val="000000"/>
              </w:rPr>
            </w:pPr>
            <w:r>
              <w:rPr>
                <w:rFonts w:hint="eastAsia" w:cstheme="minorEastAsia"/>
                <w:color w:val="000000"/>
              </w:rPr>
              <w:t>合计</w:t>
            </w:r>
          </w:p>
        </w:tc>
        <w:tc>
          <w:tcPr>
            <w:tcW w:w="773" w:type="pct"/>
            <w:shd w:val="clear" w:color="auto" w:fill="auto"/>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100%</w:t>
            </w:r>
          </w:p>
        </w:tc>
        <w:tc>
          <w:tcPr>
            <w:tcW w:w="773"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100%</w:t>
            </w:r>
          </w:p>
        </w:tc>
        <w:tc>
          <w:tcPr>
            <w:tcW w:w="887" w:type="pct"/>
            <w:vAlign w:val="center"/>
          </w:tcPr>
          <w:p>
            <w:pPr>
              <w:pStyle w:val="10"/>
              <w:tabs>
                <w:tab w:val="left" w:pos="1260"/>
              </w:tabs>
              <w:adjustRightInd w:val="0"/>
              <w:snapToGrid w:val="0"/>
              <w:spacing w:before="0" w:beforeAutospacing="0" w:after="0" w:afterAutospacing="0"/>
              <w:jc w:val="right"/>
              <w:rPr>
                <w:rFonts w:cstheme="minorEastAsia"/>
                <w:color w:val="000000"/>
              </w:rPr>
            </w:pPr>
            <w:r>
              <w:rPr>
                <w:rFonts w:cstheme="minorEastAsia"/>
                <w:color w:val="000000"/>
              </w:rPr>
              <w:t>100%</w:t>
            </w:r>
          </w:p>
        </w:tc>
      </w:tr>
    </w:tbl>
    <w:p>
      <w:pPr>
        <w:pStyle w:val="10"/>
        <w:widowControl w:val="0"/>
        <w:tabs>
          <w:tab w:val="left" w:pos="1260"/>
        </w:tabs>
        <w:adjustRightInd w:val="0"/>
        <w:snapToGrid w:val="0"/>
        <w:spacing w:before="0" w:beforeAutospacing="0" w:after="0" w:afterAutospacing="0" w:line="440" w:lineRule="exact"/>
        <w:ind w:firstLine="480" w:firstLineChars="200"/>
        <w:jc w:val="both"/>
        <w:rPr>
          <w:color w:val="000000"/>
          <w:lang w:bidi="ar"/>
        </w:rPr>
      </w:pPr>
      <w:r>
        <w:rPr>
          <w:rFonts w:hint="eastAsia"/>
          <w:color w:val="000000"/>
          <w:lang w:bidi="ar"/>
        </w:rPr>
        <w:t>注：于本次交易前，福建东聚自身及通过其作为执行事务合伙人的有限合伙企业福建东普投资中心（有限合伙）、福建东震投资中心（有限合伙）、福建东熹投资中心（有限合伙）、福建东泊投资中心（有限合伙）、福建东沃投资中心（有限合伙）、福建东潭投资中心（有限合伙）、福建东厦投资中心（有限合伙）、福建东投投资中心（有限合伙）、福建东达投资中心（有限合伙）直接及间接合计持有目标公司87.09%的股权；于本次交易完成后，福建东聚自身及通过其作为执行事务合伙人的前述有限合伙企业合计持有目标公司</w:t>
      </w:r>
      <w:r>
        <w:rPr>
          <w:color w:val="000000"/>
          <w:lang w:bidi="ar"/>
        </w:rPr>
        <w:t>47.90%</w:t>
      </w:r>
      <w:r>
        <w:rPr>
          <w:rFonts w:hint="eastAsia"/>
          <w:color w:val="000000"/>
          <w:lang w:bidi="ar"/>
        </w:rPr>
        <w:t>的股权并在表决权委托后实际享有目标公司4</w:t>
      </w:r>
      <w:r>
        <w:rPr>
          <w:color w:val="000000"/>
          <w:lang w:bidi="ar"/>
        </w:rPr>
        <w:t>4.59%</w:t>
      </w:r>
      <w:r>
        <w:rPr>
          <w:rFonts w:hint="eastAsia"/>
          <w:color w:val="000000"/>
          <w:lang w:bidi="ar"/>
        </w:rPr>
        <w:t>的表决权。</w:t>
      </w:r>
    </w:p>
    <w:p>
      <w:pPr>
        <w:autoSpaceDE w:val="0"/>
        <w:autoSpaceDN w:val="0"/>
        <w:adjustRightInd w:val="0"/>
        <w:snapToGrid w:val="0"/>
        <w:spacing w:line="50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四、本次交易的评估及定价依据</w:t>
      </w:r>
    </w:p>
    <w:p>
      <w:pPr>
        <w:tabs>
          <w:tab w:val="left" w:pos="1260"/>
        </w:tabs>
        <w:adjustRightInd w:val="0"/>
        <w:snapToGrid w:val="0"/>
        <w:spacing w:line="5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北京华亚正信资产评估有限公司以2023年8月31日为评估基准日，对目标公司股东全部权益进行评估，并出具华亚正信评报字〔2024〕第A11-0002《资产评估报告》。截至评估基准日，目标公司母公司净资产账面价值为12.18亿元，采用收益法评估值为19.26亿元，增值率58.09%。即，目标公司每一注册资本评估值约为人民币</w:t>
      </w:r>
      <w:r>
        <w:rPr>
          <w:rFonts w:asciiTheme="minorEastAsia" w:hAnsiTheme="minorEastAsia" w:cstheme="minorEastAsia"/>
          <w:color w:val="000000"/>
          <w:sz w:val="28"/>
          <w:szCs w:val="28"/>
        </w:rPr>
        <w:t>3.51</w:t>
      </w:r>
      <w:r>
        <w:rPr>
          <w:rFonts w:hint="eastAsia" w:asciiTheme="minorEastAsia" w:hAnsiTheme="minorEastAsia" w:cstheme="minorEastAsia"/>
          <w:color w:val="000000"/>
          <w:sz w:val="28"/>
          <w:szCs w:val="28"/>
        </w:rPr>
        <w:t>元，评估结论的使用有效期为自评估基准日起一年。</w:t>
      </w:r>
    </w:p>
    <w:p>
      <w:pPr>
        <w:tabs>
          <w:tab w:val="left" w:pos="1260"/>
        </w:tabs>
        <w:adjustRightInd w:val="0"/>
        <w:snapToGrid w:val="0"/>
        <w:spacing w:line="5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经各方协商确认，按照目标公司整体估值19</w:t>
      </w:r>
      <w:r>
        <w:rPr>
          <w:rFonts w:asciiTheme="minorEastAsia" w:hAnsiTheme="minorEastAsia" w:cstheme="minorEastAsia"/>
          <w:color w:val="000000"/>
          <w:sz w:val="28"/>
          <w:szCs w:val="28"/>
        </w:rPr>
        <w:t>.00</w:t>
      </w:r>
      <w:r>
        <w:rPr>
          <w:rFonts w:hint="eastAsia" w:asciiTheme="minorEastAsia" w:hAnsiTheme="minorEastAsia" w:cstheme="minorEastAsia"/>
          <w:color w:val="000000"/>
          <w:sz w:val="28"/>
          <w:szCs w:val="28"/>
        </w:rPr>
        <w:t>亿元厘定交易对价，较评估值降低0.26亿元。据此，确定增资价格为3.46元每一注册资本。</w:t>
      </w:r>
    </w:p>
    <w:p>
      <w:pPr>
        <w:autoSpaceDE w:val="0"/>
        <w:autoSpaceDN w:val="0"/>
        <w:adjustRightInd w:val="0"/>
        <w:snapToGrid w:val="0"/>
        <w:spacing w:line="50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五、本次交易协议的主要内容</w:t>
      </w:r>
    </w:p>
    <w:p>
      <w:pPr>
        <w:tabs>
          <w:tab w:val="left" w:pos="1260"/>
        </w:tabs>
        <w:adjustRightInd w:val="0"/>
        <w:snapToGrid w:val="0"/>
        <w:spacing w:line="5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（一）本次增资</w:t>
      </w:r>
    </w:p>
    <w:p>
      <w:pPr>
        <w:tabs>
          <w:tab w:val="left" w:pos="1260"/>
        </w:tabs>
        <w:adjustRightInd w:val="0"/>
        <w:snapToGrid w:val="0"/>
        <w:spacing w:line="500" w:lineRule="exact"/>
        <w:ind w:firstLine="560" w:firstLineChars="200"/>
        <w:rPr>
          <w:rFonts w:asciiTheme="minorEastAsia" w:hAnsiTheme="minorEastAsia" w:cstheme="minorEastAsia"/>
          <w:color w:val="000000"/>
          <w:sz w:val="28"/>
          <w:szCs w:val="28"/>
        </w:rPr>
      </w:pPr>
      <w:r>
        <w:rPr>
          <w:rFonts w:asciiTheme="minorEastAsia" w:hAnsiTheme="minorEastAsia" w:cstheme="minorEastAsia"/>
          <w:color w:val="000000"/>
          <w:sz w:val="28"/>
          <w:szCs w:val="28"/>
        </w:rPr>
        <w:t xml:space="preserve">1. </w:t>
      </w:r>
      <w:r>
        <w:rPr>
          <w:rFonts w:hint="eastAsia" w:asciiTheme="minorEastAsia" w:hAnsiTheme="minorEastAsia" w:cstheme="minorEastAsia"/>
          <w:color w:val="000000"/>
          <w:sz w:val="28"/>
          <w:szCs w:val="28"/>
        </w:rPr>
        <w:t>公司以现金方式出资人民币1,554,545,455元，认购目标公司新增注册资本人民币448,768,004元，占本次交易完成后目标公司全部股权的45%，超出部分计入目标公司资本公积金。本次增资完成后，目标公司注册资本变更为997,262,231元，实收资本为997,262,231元。</w:t>
      </w:r>
    </w:p>
    <w:p>
      <w:pPr>
        <w:tabs>
          <w:tab w:val="left" w:pos="1260"/>
        </w:tabs>
        <w:adjustRightInd w:val="0"/>
        <w:snapToGrid w:val="0"/>
        <w:spacing w:line="500" w:lineRule="exact"/>
        <w:ind w:firstLine="560" w:firstLineChars="200"/>
        <w:rPr>
          <w:rFonts w:asciiTheme="minorEastAsia" w:hAnsiTheme="minorEastAsia" w:cstheme="minorEastAsia"/>
          <w:color w:val="000000"/>
          <w:sz w:val="28"/>
          <w:szCs w:val="28"/>
        </w:rPr>
      </w:pPr>
      <w:r>
        <w:rPr>
          <w:rFonts w:asciiTheme="minorEastAsia" w:hAnsiTheme="minorEastAsia" w:cstheme="minorEastAsia"/>
          <w:color w:val="000000"/>
          <w:sz w:val="28"/>
          <w:szCs w:val="28"/>
        </w:rPr>
        <w:t xml:space="preserve">2. </w:t>
      </w:r>
      <w:r>
        <w:rPr>
          <w:rFonts w:hint="eastAsia" w:asciiTheme="minorEastAsia" w:hAnsiTheme="minorEastAsia" w:cstheme="minorEastAsia"/>
          <w:color w:val="000000"/>
          <w:sz w:val="28"/>
          <w:szCs w:val="28"/>
        </w:rPr>
        <w:t>《增资协议》的主要生效条件</w:t>
      </w:r>
    </w:p>
    <w:p>
      <w:pPr>
        <w:tabs>
          <w:tab w:val="left" w:pos="1260"/>
        </w:tabs>
        <w:adjustRightInd w:val="0"/>
        <w:snapToGrid w:val="0"/>
        <w:spacing w:line="5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w:t>
      </w:r>
      <w:r>
        <w:rPr>
          <w:rFonts w:asciiTheme="minorEastAsia" w:hAnsiTheme="minorEastAsia" w:cstheme="minorEastAsia"/>
          <w:color w:val="000000"/>
          <w:sz w:val="28"/>
          <w:szCs w:val="28"/>
        </w:rPr>
        <w:t>目标公司股东福建东聚</w:t>
      </w:r>
      <w:r>
        <w:rPr>
          <w:rFonts w:hint="eastAsia" w:asciiTheme="minorEastAsia" w:hAnsiTheme="minorEastAsia" w:cstheme="minorEastAsia"/>
          <w:color w:val="000000"/>
          <w:sz w:val="28"/>
          <w:szCs w:val="28"/>
        </w:rPr>
        <w:t>已经</w:t>
      </w:r>
      <w:r>
        <w:rPr>
          <w:rFonts w:asciiTheme="minorEastAsia" w:hAnsiTheme="minorEastAsia" w:cstheme="minorEastAsia"/>
          <w:color w:val="000000"/>
          <w:sz w:val="28"/>
          <w:szCs w:val="28"/>
        </w:rPr>
        <w:t>与</w:t>
      </w:r>
      <w:r>
        <w:rPr>
          <w:rFonts w:hint="eastAsia" w:asciiTheme="minorEastAsia" w:hAnsiTheme="minorEastAsia" w:cstheme="minorEastAsia"/>
          <w:color w:val="000000"/>
          <w:sz w:val="28"/>
          <w:szCs w:val="28"/>
        </w:rPr>
        <w:t>目标公司其他全体原股东共同签署《委托及承诺书》，目标公司其他全体原股东共同委托福建东聚代为其参与与本次交易有关的谈判，代为签署《增资协议》等与本次交易相关的其他所有协议、承诺、保证、授权、声明等文件并认可该等文件之全部内容及效力。该《委托及承诺书》</w:t>
      </w:r>
      <w:r>
        <w:rPr>
          <w:rFonts w:asciiTheme="minorEastAsia" w:hAnsiTheme="minorEastAsia" w:cstheme="minorEastAsia"/>
          <w:color w:val="000000"/>
          <w:sz w:val="28"/>
          <w:szCs w:val="28"/>
        </w:rPr>
        <w:t>原件已经提交给</w:t>
      </w:r>
      <w:r>
        <w:rPr>
          <w:rFonts w:hint="eastAsia" w:asciiTheme="minorEastAsia" w:hAnsiTheme="minorEastAsia" w:cstheme="minorEastAsia"/>
          <w:color w:val="000000"/>
          <w:sz w:val="28"/>
          <w:szCs w:val="28"/>
        </w:rPr>
        <w:t>公司。</w:t>
      </w:r>
    </w:p>
    <w:p>
      <w:pPr>
        <w:tabs>
          <w:tab w:val="left" w:pos="1260"/>
        </w:tabs>
        <w:adjustRightInd w:val="0"/>
        <w:snapToGrid w:val="0"/>
        <w:spacing w:line="50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w:t>
      </w:r>
      <w:r>
        <w:rPr>
          <w:rFonts w:asciiTheme="minorEastAsia" w:hAnsiTheme="minorEastAsia" w:cstheme="minorEastAsia"/>
          <w:color w:val="000000"/>
          <w:sz w:val="28"/>
          <w:szCs w:val="28"/>
        </w:rPr>
        <w:t>2</w:t>
      </w:r>
      <w:r>
        <w:rPr>
          <w:rFonts w:hint="eastAsia" w:asciiTheme="minorEastAsia" w:hAnsiTheme="minorEastAsia" w:cstheme="minorEastAsia"/>
          <w:color w:val="000000"/>
          <w:sz w:val="28"/>
          <w:szCs w:val="28"/>
        </w:rPr>
        <w:t>）全部前轮外部投资人，即天津海河沄柏产业投资基金合伙企业（有限合伙）、前海股权投资基金（有限合伙）及中信证券投资有限公司已经出具书面声明，确认前轮投资协议及相关协议文件已经终止、放弃前轮投资所有协议约定的全部特殊股东权利且不会依据前轮投资协议及相关协议文件向目标公司主张任何权利。</w:t>
      </w:r>
    </w:p>
    <w:p>
      <w:pPr>
        <w:tabs>
          <w:tab w:val="left" w:pos="1260"/>
        </w:tabs>
        <w:adjustRightInd w:val="0"/>
        <w:snapToGrid w:val="0"/>
        <w:spacing w:line="50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w:t>
      </w:r>
      <w:r>
        <w:rPr>
          <w:rFonts w:asciiTheme="minorEastAsia" w:hAnsiTheme="minorEastAsia" w:cstheme="minorEastAsia"/>
          <w:sz w:val="28"/>
          <w:szCs w:val="28"/>
        </w:rPr>
        <w:t>3</w:t>
      </w:r>
      <w:r>
        <w:rPr>
          <w:rFonts w:hint="eastAsia" w:asciiTheme="minorEastAsia" w:hAnsiTheme="minorEastAsia" w:cstheme="minorEastAsia"/>
          <w:sz w:val="28"/>
          <w:szCs w:val="28"/>
        </w:rPr>
        <w:t>）在不产生额外支付义务及责任的前提下，目标公司已完成对其直接或间接持股公司的清理整合，在保持持股比例和权益不变的前提下将二级以下全资或控股子公司变更登记为二级子公司。</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w:t>
      </w:r>
      <w:r>
        <w:rPr>
          <w:rFonts w:asciiTheme="minorEastAsia" w:hAnsiTheme="minorEastAsia" w:cstheme="minorEastAsia"/>
          <w:color w:val="000000"/>
          <w:kern w:val="0"/>
          <w:sz w:val="28"/>
          <w:szCs w:val="28"/>
        </w:rPr>
        <w:t>4）本次交易已取得国资监管机构核准或备案。</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（5）各方已经取得签署和履行协议必需的所有有关政府主管部门、审批机关和/或监管部门的批准、许可、核准、同意、备案、豁免等，包括但不限于有关审批机关就协议下交易出具的批复。</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（二）增资款的支付</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asciiTheme="minorEastAsia" w:hAnsiTheme="minorEastAsia" w:cstheme="minorEastAsia"/>
          <w:color w:val="000000"/>
          <w:kern w:val="0"/>
          <w:sz w:val="28"/>
          <w:szCs w:val="28"/>
        </w:rPr>
        <w:t xml:space="preserve">1. </w:t>
      </w:r>
      <w:r>
        <w:rPr>
          <w:rFonts w:hint="eastAsia" w:asciiTheme="minorEastAsia" w:hAnsiTheme="minorEastAsia" w:cstheme="minorEastAsia"/>
          <w:color w:val="000000"/>
          <w:kern w:val="0"/>
          <w:sz w:val="28"/>
          <w:szCs w:val="28"/>
        </w:rPr>
        <w:t>付款先决条件全部成就或虽未全部成就但已获得公司书面豁免后，协议各方签署书面确认文件之日起十五（</w:t>
      </w:r>
      <w:r>
        <w:rPr>
          <w:rFonts w:asciiTheme="minorEastAsia" w:hAnsiTheme="minorEastAsia" w:cstheme="minorEastAsia"/>
          <w:color w:val="000000"/>
          <w:kern w:val="0"/>
          <w:sz w:val="28"/>
          <w:szCs w:val="28"/>
        </w:rPr>
        <w:t>15）个工作日内，公司将全部增资款1,554,545,455元支付至目标公司。</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asciiTheme="minorEastAsia" w:hAnsiTheme="minorEastAsia" w:cstheme="minorEastAsia"/>
          <w:color w:val="000000"/>
          <w:kern w:val="0"/>
          <w:sz w:val="28"/>
          <w:szCs w:val="28"/>
        </w:rPr>
        <w:t xml:space="preserve">2. </w:t>
      </w:r>
      <w:r>
        <w:rPr>
          <w:rFonts w:hint="eastAsia" w:asciiTheme="minorEastAsia" w:hAnsiTheme="minorEastAsia" w:cstheme="minorEastAsia"/>
          <w:color w:val="000000"/>
          <w:kern w:val="0"/>
          <w:sz w:val="28"/>
          <w:szCs w:val="28"/>
        </w:rPr>
        <w:t>主要</w:t>
      </w:r>
      <w:r>
        <w:rPr>
          <w:rFonts w:asciiTheme="minorEastAsia" w:hAnsiTheme="minorEastAsia" w:cstheme="minorEastAsia"/>
          <w:color w:val="000000"/>
          <w:kern w:val="0"/>
          <w:sz w:val="28"/>
          <w:szCs w:val="28"/>
        </w:rPr>
        <w:t>付款先决条件</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w:t>
      </w:r>
      <w:r>
        <w:rPr>
          <w:rFonts w:asciiTheme="minorEastAsia" w:hAnsiTheme="minorEastAsia" w:cstheme="minorEastAsia"/>
          <w:color w:val="000000"/>
          <w:kern w:val="0"/>
          <w:sz w:val="28"/>
          <w:szCs w:val="28"/>
        </w:rPr>
        <w:t>1）目标公司于2023年8月31日前对非关联方</w:t>
      </w:r>
      <w:r>
        <w:rPr>
          <w:rFonts w:hint="eastAsia" w:asciiTheme="minorEastAsia" w:hAnsiTheme="minorEastAsia" w:cstheme="minorEastAsia"/>
          <w:color w:val="000000"/>
          <w:kern w:val="0"/>
          <w:sz w:val="28"/>
          <w:szCs w:val="28"/>
        </w:rPr>
        <w:t>（“关联方”指依据《企业会计准则第36号-关联方披露》（财会</w:t>
      </w:r>
      <w:r>
        <w:rPr>
          <w:rFonts w:asciiTheme="minorEastAsia" w:hAnsiTheme="minorEastAsia" w:cstheme="minorEastAsia"/>
          <w:color w:val="000000"/>
          <w:kern w:val="0"/>
          <w:sz w:val="28"/>
          <w:szCs w:val="28"/>
        </w:rPr>
        <w:t>〔</w:t>
      </w:r>
      <w:r>
        <w:rPr>
          <w:rFonts w:hint="eastAsia" w:asciiTheme="minorEastAsia" w:hAnsiTheme="minorEastAsia" w:cstheme="minorEastAsia"/>
          <w:color w:val="000000"/>
          <w:kern w:val="0"/>
          <w:sz w:val="28"/>
          <w:szCs w:val="28"/>
        </w:rPr>
        <w:t>2006</w:t>
      </w:r>
      <w:r>
        <w:rPr>
          <w:rFonts w:asciiTheme="minorEastAsia" w:hAnsiTheme="minorEastAsia" w:cstheme="minorEastAsia"/>
          <w:color w:val="000000"/>
          <w:kern w:val="0"/>
          <w:sz w:val="28"/>
          <w:szCs w:val="28"/>
        </w:rPr>
        <w:t>〕</w:t>
      </w:r>
      <w:r>
        <w:rPr>
          <w:rFonts w:hint="eastAsia" w:asciiTheme="minorEastAsia" w:hAnsiTheme="minorEastAsia" w:cstheme="minorEastAsia"/>
          <w:color w:val="000000"/>
          <w:kern w:val="0"/>
          <w:sz w:val="28"/>
          <w:szCs w:val="28"/>
        </w:rPr>
        <w:t>3号）的规定所确认的关联方）</w:t>
      </w:r>
      <w:r>
        <w:rPr>
          <w:rFonts w:asciiTheme="minorEastAsia" w:hAnsiTheme="minorEastAsia" w:cstheme="minorEastAsia"/>
          <w:color w:val="000000"/>
          <w:kern w:val="0"/>
          <w:sz w:val="28"/>
          <w:szCs w:val="28"/>
        </w:rPr>
        <w:t>提供的借款9,000万元及相应利息已经全部收回且至增资款付款日未新增任何对外借款，未新增向目标公司全资公司和控股公司以外的主体提供借款等任何形式的财务资助。目标公司与非关联方的相应借款协议已经书面无责终止并向公司提供令公司认可的《终止协议》原件。</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（2</w:t>
      </w:r>
      <w:r>
        <w:rPr>
          <w:rFonts w:asciiTheme="minorEastAsia" w:hAnsiTheme="minorEastAsia" w:cstheme="minorEastAsia"/>
          <w:color w:val="000000"/>
          <w:kern w:val="0"/>
          <w:sz w:val="28"/>
          <w:szCs w:val="28"/>
        </w:rPr>
        <w:t>）福建东凯投资中心（有限合伙）</w:t>
      </w:r>
      <w:r>
        <w:rPr>
          <w:rFonts w:hint="eastAsia" w:asciiTheme="minorEastAsia" w:hAnsiTheme="minorEastAsia" w:cstheme="minorEastAsia"/>
          <w:color w:val="000000"/>
          <w:kern w:val="0"/>
          <w:sz w:val="28"/>
          <w:szCs w:val="28"/>
        </w:rPr>
        <w:t>已经将其</w:t>
      </w:r>
      <w:r>
        <w:rPr>
          <w:rFonts w:asciiTheme="minorEastAsia" w:hAnsiTheme="minorEastAsia" w:cstheme="minorEastAsia"/>
          <w:color w:val="000000"/>
          <w:kern w:val="0"/>
          <w:sz w:val="28"/>
          <w:szCs w:val="28"/>
        </w:rPr>
        <w:t>持有的上海钢软信息技术工程股份有限公司（</w:t>
      </w:r>
      <w:r>
        <w:rPr>
          <w:rFonts w:hint="eastAsia" w:asciiTheme="minorEastAsia" w:hAnsiTheme="minorEastAsia" w:cstheme="minorEastAsia"/>
          <w:color w:val="000000"/>
          <w:kern w:val="0"/>
          <w:sz w:val="28"/>
          <w:szCs w:val="28"/>
        </w:rPr>
        <w:t>“钢软公司”）</w:t>
      </w:r>
      <w:r>
        <w:rPr>
          <w:rFonts w:asciiTheme="minorEastAsia" w:hAnsiTheme="minorEastAsia" w:cstheme="minorEastAsia"/>
          <w:color w:val="000000"/>
          <w:kern w:val="0"/>
          <w:sz w:val="28"/>
          <w:szCs w:val="28"/>
        </w:rPr>
        <w:t>1%股份</w:t>
      </w:r>
      <w:r>
        <w:rPr>
          <w:rFonts w:hint="eastAsia" w:asciiTheme="minorEastAsia" w:hAnsiTheme="minorEastAsia" w:cstheme="minorEastAsia"/>
          <w:color w:val="000000"/>
          <w:kern w:val="0"/>
          <w:sz w:val="28"/>
          <w:szCs w:val="28"/>
        </w:rPr>
        <w:t>转让给目标公司</w:t>
      </w:r>
      <w:r>
        <w:rPr>
          <w:rFonts w:asciiTheme="minorEastAsia" w:hAnsiTheme="minorEastAsia" w:cstheme="minorEastAsia"/>
          <w:color w:val="000000"/>
          <w:kern w:val="0"/>
          <w:sz w:val="28"/>
          <w:szCs w:val="28"/>
        </w:rPr>
        <w:t>，</w:t>
      </w:r>
      <w:r>
        <w:rPr>
          <w:rFonts w:hint="eastAsia" w:asciiTheme="minorEastAsia" w:hAnsiTheme="minorEastAsia" w:cstheme="minorEastAsia"/>
          <w:color w:val="000000"/>
          <w:kern w:val="0"/>
          <w:sz w:val="28"/>
          <w:szCs w:val="28"/>
        </w:rPr>
        <w:t>目标公司已实际持有钢软公司</w:t>
      </w:r>
      <w:r>
        <w:rPr>
          <w:rFonts w:asciiTheme="minorEastAsia" w:hAnsiTheme="minorEastAsia" w:cstheme="minorEastAsia"/>
          <w:color w:val="000000"/>
          <w:kern w:val="0"/>
          <w:sz w:val="28"/>
          <w:szCs w:val="28"/>
        </w:rPr>
        <w:t>51%的股份，实际实现并表控制。</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（3</w:t>
      </w:r>
      <w:r>
        <w:rPr>
          <w:rFonts w:asciiTheme="minorEastAsia" w:hAnsiTheme="minorEastAsia" w:cstheme="minorEastAsia"/>
          <w:color w:val="000000"/>
          <w:kern w:val="0"/>
          <w:sz w:val="28"/>
          <w:szCs w:val="28"/>
        </w:rPr>
        <w:t>）国家市场监督管理总局已出具批准本次交易经营者集中反垄断审查的决定。</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（4</w:t>
      </w:r>
      <w:r>
        <w:rPr>
          <w:rFonts w:asciiTheme="minorEastAsia" w:hAnsiTheme="minorEastAsia" w:cstheme="minorEastAsia"/>
          <w:color w:val="000000"/>
          <w:kern w:val="0"/>
          <w:sz w:val="28"/>
          <w:szCs w:val="28"/>
        </w:rPr>
        <w:t>）目标公司已与高级管理人员、核心技术员工签署经公司同意的且剩余期限（自《增资协议》签署之日起）不少于五年的劳动合同及保密协议、竞业禁止协议，已经与原股东及东铭实业签署经公司同意的保密协议及竞业禁止协议</w:t>
      </w:r>
      <w:bookmarkStart w:id="2" w:name="_Hlk163486517"/>
      <w:r>
        <w:rPr>
          <w:rFonts w:hint="eastAsia" w:asciiTheme="minorEastAsia" w:hAnsiTheme="minorEastAsia" w:cstheme="minorEastAsia"/>
          <w:color w:val="000000"/>
          <w:kern w:val="0"/>
          <w:sz w:val="28"/>
          <w:szCs w:val="28"/>
        </w:rPr>
        <w:t>。</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（三）过渡期</w:t>
      </w:r>
    </w:p>
    <w:bookmarkEnd w:id="2"/>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过渡期为评估基准日次日至本次交易变更登记完成日的期间。过渡期间目标公司所产生的盈利或因其他原因而增加的净资产，由本次交易完成后的股东按持股比例享有。过渡期间所产生的亏损或因其他原因而减少的净资产，由原股东（前轮外部投资人除外）共同且连带地向公司以现金方式按公司所持目标公司股权比例补足。</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（四）业绩承诺与补偿</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1</w:t>
      </w:r>
      <w:r>
        <w:rPr>
          <w:rFonts w:asciiTheme="minorEastAsia" w:hAnsiTheme="minorEastAsia" w:cstheme="minorEastAsia"/>
          <w:color w:val="000000"/>
          <w:kern w:val="0"/>
          <w:sz w:val="28"/>
          <w:szCs w:val="28"/>
        </w:rPr>
        <w:t xml:space="preserve">. </w:t>
      </w:r>
      <w:r>
        <w:rPr>
          <w:rFonts w:hint="eastAsia" w:asciiTheme="minorEastAsia" w:hAnsiTheme="minorEastAsia" w:cstheme="minorEastAsia"/>
          <w:color w:val="000000"/>
          <w:kern w:val="0"/>
          <w:sz w:val="28"/>
          <w:szCs w:val="28"/>
        </w:rPr>
        <w:t>承诺股东（前轮外部投资人除外的原股东，下同）及东铭实业承诺目标公司完成以下经营业绩：2024年-2028年目标公司经审计的扣除非经常性损益的归母净利润（“扣非归母净利润”）分别不低于9,875.37万元、10,931.41万元、11,585.10万元、12,680.99万元及13,909.10万元。</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2</w:t>
      </w:r>
      <w:r>
        <w:rPr>
          <w:rFonts w:asciiTheme="minorEastAsia" w:hAnsiTheme="minorEastAsia" w:cstheme="minorEastAsia"/>
          <w:color w:val="000000"/>
          <w:kern w:val="0"/>
          <w:sz w:val="28"/>
          <w:szCs w:val="28"/>
        </w:rPr>
        <w:t xml:space="preserve">. </w:t>
      </w:r>
      <w:r>
        <w:rPr>
          <w:rFonts w:hint="eastAsia" w:asciiTheme="minorEastAsia" w:hAnsiTheme="minorEastAsia" w:cstheme="minorEastAsia"/>
          <w:color w:val="000000"/>
          <w:kern w:val="0"/>
          <w:sz w:val="28"/>
          <w:szCs w:val="28"/>
        </w:rPr>
        <w:t>若目标公司截至任一期末累计考核年度未实现上述承诺业绩，公司有权要求任一承诺股东及/或东铭实业按照本协议约定单独或连带或共同给予公司现金补偿。</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asciiTheme="minorEastAsia" w:hAnsiTheme="minorEastAsia" w:cstheme="minorEastAsia"/>
          <w:color w:val="000000"/>
          <w:kern w:val="0"/>
          <w:sz w:val="28"/>
          <w:szCs w:val="28"/>
        </w:rPr>
        <w:t xml:space="preserve">3. </w:t>
      </w:r>
      <w:r>
        <w:rPr>
          <w:rFonts w:hint="eastAsia" w:asciiTheme="minorEastAsia" w:hAnsiTheme="minorEastAsia" w:cstheme="minorEastAsia"/>
          <w:color w:val="000000"/>
          <w:kern w:val="0"/>
          <w:sz w:val="28"/>
          <w:szCs w:val="28"/>
        </w:rPr>
        <w:t>补偿公式：当期扣非归母净利润目标补偿金额</w:t>
      </w:r>
      <w:r>
        <w:rPr>
          <w:rFonts w:asciiTheme="minorEastAsia" w:hAnsiTheme="minorEastAsia" w:cstheme="minorEastAsia"/>
          <w:color w:val="000000"/>
          <w:kern w:val="0"/>
          <w:sz w:val="28"/>
          <w:szCs w:val="28"/>
        </w:rPr>
        <w:t>=（截至当期期末累积承诺扣非归母净利润－截至当期期末累积实际扣非归母净利润）÷盈利承诺期内各年的承诺扣非归母净利润总和×本次交易现金增资款金额－累积已补偿金额。</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asciiTheme="minorEastAsia" w:hAnsiTheme="minorEastAsia" w:cstheme="minorEastAsia"/>
          <w:color w:val="000000"/>
          <w:kern w:val="0"/>
          <w:sz w:val="28"/>
          <w:szCs w:val="28"/>
        </w:rPr>
        <w:t xml:space="preserve">4. </w:t>
      </w:r>
      <w:r>
        <w:rPr>
          <w:rFonts w:hint="eastAsia" w:asciiTheme="minorEastAsia" w:hAnsiTheme="minorEastAsia" w:cstheme="minorEastAsia"/>
          <w:color w:val="000000"/>
          <w:kern w:val="0"/>
          <w:sz w:val="28"/>
          <w:szCs w:val="28"/>
        </w:rPr>
        <w:t>补偿形式：由承诺股东对公司进行现金补偿。承诺股东按照约定应向公司支付现金补偿的，首先以其交易后持股比例对应享有的目标公司自评估基准日前的滚存未分配利润可得分红，作为现金补偿资金来源，东铭实业就承诺股东该现金补偿的支付义务承担连带保证责任，保证期间为三年，自支付义务发生之日起。目标公司、承诺股东应共同促使目标公司股东会尽快就评估基准日前的滚存未分配利润分配事宜作出决议，并将承诺股东应获分配的利润作为现金补偿资金直接支付至公司。</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asciiTheme="minorEastAsia" w:hAnsiTheme="minorEastAsia" w:cstheme="minorEastAsia"/>
          <w:color w:val="000000"/>
          <w:kern w:val="0"/>
          <w:sz w:val="28"/>
          <w:szCs w:val="28"/>
        </w:rPr>
        <w:t xml:space="preserve">5. </w:t>
      </w:r>
      <w:r>
        <w:rPr>
          <w:rFonts w:hint="eastAsia" w:asciiTheme="minorEastAsia" w:hAnsiTheme="minorEastAsia" w:cstheme="minorEastAsia"/>
          <w:color w:val="000000"/>
          <w:kern w:val="0"/>
          <w:sz w:val="28"/>
          <w:szCs w:val="28"/>
        </w:rPr>
        <w:t>审计机构选聘。目标公司实际实现的净利润应由经备案从事证券服务业务的会计师事务所审计，该会计师事务所应由公司与目标公司共同委托选聘。</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（五）表决权委托</w:t>
      </w:r>
    </w:p>
    <w:p>
      <w:pPr>
        <w:adjustRightInd w:val="0"/>
        <w:snapToGrid w:val="0"/>
        <w:spacing w:line="500" w:lineRule="exact"/>
        <w:ind w:firstLine="560" w:firstLineChars="200"/>
        <w:rPr>
          <w:rFonts w:ascii="Cambria" w:hAnsi="Cambria" w:cs="Cambria"/>
          <w:color w:val="000000"/>
          <w:kern w:val="0"/>
          <w:sz w:val="28"/>
          <w:szCs w:val="28"/>
        </w:rPr>
      </w:pPr>
      <w:r>
        <w:rPr>
          <w:rFonts w:hint="eastAsia" w:asciiTheme="minorEastAsia" w:hAnsiTheme="minorEastAsia" w:cstheme="minorEastAsia"/>
          <w:color w:val="000000"/>
          <w:kern w:val="0"/>
          <w:sz w:val="28"/>
          <w:szCs w:val="28"/>
        </w:rPr>
        <w:t>1</w:t>
      </w:r>
      <w:r>
        <w:rPr>
          <w:rFonts w:asciiTheme="minorEastAsia" w:hAnsiTheme="minorEastAsia" w:cstheme="minorEastAsia"/>
          <w:color w:val="000000"/>
          <w:kern w:val="0"/>
          <w:sz w:val="28"/>
          <w:szCs w:val="28"/>
        </w:rPr>
        <w:t>.</w:t>
      </w:r>
      <w:r>
        <w:rPr>
          <w:rFonts w:hint="eastAsia" w:asciiTheme="minorEastAsia" w:hAnsiTheme="minorEastAsia" w:cstheme="minorEastAsia"/>
          <w:color w:val="000000"/>
          <w:kern w:val="0"/>
          <w:sz w:val="28"/>
          <w:szCs w:val="28"/>
        </w:rPr>
        <w:t>委托方福建东沃及福建东创一致同意分别将其实缴的</w:t>
      </w:r>
      <w:r>
        <w:rPr>
          <w:rFonts w:asciiTheme="minorEastAsia" w:hAnsiTheme="minorEastAsia" w:cstheme="minorEastAsia"/>
          <w:color w:val="000000"/>
          <w:sz w:val="28"/>
          <w:szCs w:val="28"/>
        </w:rPr>
        <w:t>33,000,000</w:t>
      </w:r>
      <w:r>
        <w:rPr>
          <w:rFonts w:hint="eastAsia" w:asciiTheme="minorEastAsia" w:hAnsiTheme="minorEastAsia" w:cstheme="minorEastAsia"/>
          <w:color w:val="000000"/>
          <w:sz w:val="28"/>
          <w:szCs w:val="28"/>
        </w:rPr>
        <w:t>元出资（占本次增资后目标公司全部股权的</w:t>
      </w:r>
      <w:r>
        <w:rPr>
          <w:rFonts w:asciiTheme="minorEastAsia" w:hAnsiTheme="minorEastAsia" w:cstheme="minorEastAsia"/>
          <w:color w:val="000000"/>
          <w:sz w:val="28"/>
          <w:szCs w:val="28"/>
        </w:rPr>
        <w:t>3.31%</w:t>
      </w:r>
      <w:r>
        <w:rPr>
          <w:rFonts w:hint="eastAsia" w:asciiTheme="minorEastAsia" w:hAnsiTheme="minorEastAsia" w:cstheme="minorEastAsia"/>
          <w:color w:val="000000"/>
          <w:sz w:val="28"/>
          <w:szCs w:val="28"/>
        </w:rPr>
        <w:t>）、</w:t>
      </w:r>
      <w:r>
        <w:rPr>
          <w:rFonts w:asciiTheme="minorEastAsia" w:hAnsiTheme="minorEastAsia" w:cstheme="minorEastAsia"/>
          <w:color w:val="000000"/>
          <w:sz w:val="28"/>
          <w:szCs w:val="28"/>
        </w:rPr>
        <w:t>30,000,000</w:t>
      </w:r>
      <w:r>
        <w:rPr>
          <w:rFonts w:hint="eastAsia" w:asciiTheme="minorEastAsia" w:hAnsiTheme="minorEastAsia" w:cstheme="minorEastAsia"/>
          <w:color w:val="000000"/>
          <w:sz w:val="28"/>
          <w:szCs w:val="28"/>
        </w:rPr>
        <w:t>元出资（占本次增资后目标公司全部股权的</w:t>
      </w:r>
      <w:r>
        <w:rPr>
          <w:rFonts w:asciiTheme="minorEastAsia" w:hAnsiTheme="minorEastAsia" w:cstheme="minorEastAsia"/>
          <w:color w:val="000000"/>
          <w:sz w:val="28"/>
          <w:szCs w:val="28"/>
        </w:rPr>
        <w:t>3.01%</w:t>
      </w:r>
      <w:r>
        <w:rPr>
          <w:rFonts w:hint="eastAsia" w:asciiTheme="minorEastAsia" w:hAnsiTheme="minorEastAsia" w:cstheme="minorEastAsia"/>
          <w:color w:val="000000"/>
          <w:sz w:val="28"/>
          <w:szCs w:val="28"/>
        </w:rPr>
        <w:t>）</w:t>
      </w:r>
      <w:r>
        <w:rPr>
          <w:rFonts w:hint="eastAsia" w:asciiTheme="minorEastAsia" w:hAnsiTheme="minorEastAsia" w:cstheme="minorEastAsia"/>
          <w:color w:val="000000"/>
          <w:kern w:val="0"/>
          <w:sz w:val="28"/>
          <w:szCs w:val="28"/>
        </w:rPr>
        <w:t>所对应的全部表决权独家、无条件且不可撤销地</w:t>
      </w:r>
      <w:r>
        <w:rPr>
          <w:rFonts w:hint="eastAsia" w:ascii="Cambria" w:hAnsi="Cambria" w:cs="Cambria"/>
          <w:color w:val="000000"/>
          <w:kern w:val="0"/>
          <w:sz w:val="28"/>
          <w:szCs w:val="28"/>
        </w:rPr>
        <w:t>全权授予公司，使得公司自《表决权委托协议》生效之日起实际可行使的表决权占目标公司全部实缴出资对应的表决权</w:t>
      </w:r>
      <w:r>
        <w:rPr>
          <w:rFonts w:hint="eastAsia" w:asciiTheme="minorEastAsia" w:hAnsiTheme="minorEastAsia" w:cstheme="minorEastAsia"/>
          <w:color w:val="000000"/>
          <w:kern w:val="0"/>
          <w:sz w:val="28"/>
          <w:szCs w:val="28"/>
        </w:rPr>
        <w:t>的51.32%</w:t>
      </w:r>
      <w:r>
        <w:rPr>
          <w:rFonts w:hint="eastAsia" w:ascii="Cambria" w:hAnsi="Cambria" w:cs="Cambria"/>
          <w:color w:val="000000"/>
          <w:kern w:val="0"/>
          <w:sz w:val="28"/>
          <w:szCs w:val="28"/>
        </w:rPr>
        <w:t>。</w:t>
      </w:r>
    </w:p>
    <w:p>
      <w:pPr>
        <w:adjustRightInd w:val="0"/>
        <w:snapToGrid w:val="0"/>
        <w:spacing w:line="500" w:lineRule="exact"/>
        <w:ind w:firstLine="560" w:firstLineChars="200"/>
        <w:rPr>
          <w:rFonts w:ascii="Cambria" w:hAnsi="Cambria" w:cs="Cambria"/>
          <w:color w:val="000000"/>
          <w:kern w:val="0"/>
          <w:sz w:val="28"/>
          <w:szCs w:val="28"/>
        </w:rPr>
      </w:pPr>
      <w:r>
        <w:rPr>
          <w:rFonts w:asciiTheme="minorEastAsia" w:hAnsiTheme="minorEastAsia" w:cstheme="minorEastAsia"/>
          <w:color w:val="000000"/>
          <w:kern w:val="0"/>
          <w:sz w:val="28"/>
          <w:szCs w:val="28"/>
        </w:rPr>
        <w:t>2.</w:t>
      </w:r>
      <w:r>
        <w:rPr>
          <w:rFonts w:hint="eastAsia" w:ascii="Cambria" w:hAnsi="Cambria" w:cs="Cambria"/>
          <w:color w:val="000000"/>
          <w:kern w:val="0"/>
          <w:sz w:val="28"/>
          <w:szCs w:val="28"/>
        </w:rPr>
        <w:t>委托方不可撤销地承诺，授权公司按照公司的意思行使委托方作为目标公司股东而依据届时有效的章程及法律法规享有的除财产性权利外的其他股东权利。</w:t>
      </w:r>
    </w:p>
    <w:p>
      <w:pPr>
        <w:adjustRightInd w:val="0"/>
        <w:snapToGrid w:val="0"/>
        <w:spacing w:line="500" w:lineRule="exact"/>
        <w:ind w:firstLine="560" w:firstLineChars="200"/>
        <w:rPr>
          <w:rFonts w:ascii="Cambria" w:hAnsi="Cambria" w:cs="Cambria"/>
          <w:color w:val="000000"/>
          <w:kern w:val="0"/>
          <w:sz w:val="28"/>
          <w:szCs w:val="28"/>
        </w:rPr>
      </w:pPr>
      <w:r>
        <w:rPr>
          <w:rFonts w:asciiTheme="minorEastAsia" w:hAnsiTheme="minorEastAsia" w:cstheme="minorEastAsia"/>
          <w:color w:val="000000"/>
          <w:kern w:val="0"/>
          <w:sz w:val="28"/>
          <w:szCs w:val="28"/>
        </w:rPr>
        <w:t>3.</w:t>
      </w:r>
      <w:r>
        <w:rPr>
          <w:rFonts w:hint="eastAsia" w:ascii="Cambria" w:hAnsi="Cambria" w:cs="Cambria"/>
          <w:color w:val="000000"/>
          <w:kern w:val="0"/>
          <w:sz w:val="28"/>
          <w:szCs w:val="28"/>
        </w:rPr>
        <w:t>委托表决权的行使期限为自《表决权委托协议》生效之日起至各方协商一致书面解除《表决权委托协议》止。</w:t>
      </w:r>
    </w:p>
    <w:p>
      <w:pPr>
        <w:adjustRightInd w:val="0"/>
        <w:snapToGrid w:val="0"/>
        <w:spacing w:line="500" w:lineRule="exact"/>
        <w:ind w:firstLine="560" w:firstLineChars="200"/>
        <w:rPr>
          <w:rFonts w:ascii="Cambria" w:hAnsi="Cambria" w:cs="Cambria"/>
          <w:color w:val="000000"/>
          <w:kern w:val="0"/>
          <w:sz w:val="28"/>
          <w:szCs w:val="28"/>
        </w:rPr>
      </w:pPr>
      <w:r>
        <w:rPr>
          <w:rFonts w:asciiTheme="minorEastAsia" w:hAnsiTheme="minorEastAsia" w:cstheme="minorEastAsia"/>
          <w:color w:val="000000"/>
          <w:kern w:val="0"/>
          <w:sz w:val="28"/>
          <w:szCs w:val="28"/>
        </w:rPr>
        <w:t>4.</w:t>
      </w:r>
      <w:r>
        <w:rPr>
          <w:rFonts w:hint="eastAsia" w:ascii="Cambria" w:hAnsi="Cambria" w:cs="Cambria"/>
          <w:color w:val="000000"/>
          <w:kern w:val="0"/>
          <w:sz w:val="28"/>
          <w:szCs w:val="28"/>
        </w:rPr>
        <w:t>如任一委托方违反《表决权委托协议》约定，撤销对公司的表决权委托或非因公司原因导致公司无法行使部分或全部的委托表决权比例的，公司有权立即代福建东聚行使被撤销或无法继续行使的对应比例的委托表决权，自公司向福建东聚发出书面通知之日起，福建东聚委托公司行使通知载明比例的表决权委托协议生效。</w:t>
      </w:r>
    </w:p>
    <w:p>
      <w:pPr>
        <w:adjustRightInd w:val="0"/>
        <w:snapToGrid w:val="0"/>
        <w:spacing w:line="500" w:lineRule="exact"/>
        <w:ind w:firstLine="560" w:firstLineChars="200"/>
        <w:rPr>
          <w:rFonts w:ascii="Cambria" w:hAnsi="Cambria" w:cs="Cambria"/>
          <w:color w:val="000000"/>
          <w:kern w:val="0"/>
          <w:sz w:val="28"/>
          <w:szCs w:val="28"/>
        </w:rPr>
      </w:pPr>
      <w:r>
        <w:rPr>
          <w:rFonts w:hint="eastAsia" w:ascii="Cambria" w:hAnsi="Cambria" w:cs="Cambria"/>
          <w:color w:val="000000"/>
          <w:kern w:val="0"/>
          <w:sz w:val="28"/>
          <w:szCs w:val="28"/>
        </w:rPr>
        <w:t>如非因公司原因导致公司无法行使部分或全部委托表决权比例的，公司有权要求福建东聚承担违约赔偿责任。违约赔偿责任的承担方式为股权支付，即，福建东聚将其持有的</w:t>
      </w:r>
      <w:r>
        <w:rPr>
          <w:rFonts w:asciiTheme="minorEastAsia" w:hAnsiTheme="minorEastAsia" w:cstheme="minorEastAsia"/>
          <w:color w:val="000000"/>
          <w:kern w:val="0"/>
          <w:sz w:val="28"/>
          <w:szCs w:val="28"/>
        </w:rPr>
        <w:t>6%</w:t>
      </w:r>
      <w:r>
        <w:rPr>
          <w:rFonts w:hint="eastAsia" w:ascii="Cambria" w:hAnsi="Cambria" w:cs="Cambria"/>
          <w:color w:val="000000"/>
          <w:kern w:val="0"/>
          <w:sz w:val="28"/>
          <w:szCs w:val="28"/>
        </w:rPr>
        <w:t>的目标公司股权无偿转让给公司。自公司向福建东聚发出股权转让的书面通知之日起三十日内，福建东聚应将其持有</w:t>
      </w:r>
      <w:r>
        <w:rPr>
          <w:rFonts w:hint="eastAsia" w:asciiTheme="minorEastAsia" w:hAnsiTheme="minorEastAsia" w:cstheme="minorEastAsia"/>
          <w:color w:val="000000"/>
          <w:kern w:val="0"/>
          <w:sz w:val="28"/>
          <w:szCs w:val="28"/>
        </w:rPr>
        <w:t>的</w:t>
      </w:r>
      <w:r>
        <w:rPr>
          <w:rFonts w:asciiTheme="minorEastAsia" w:hAnsiTheme="minorEastAsia" w:cstheme="minorEastAsia"/>
          <w:color w:val="000000"/>
          <w:kern w:val="0"/>
          <w:sz w:val="28"/>
          <w:szCs w:val="28"/>
        </w:rPr>
        <w:t>6%</w:t>
      </w:r>
      <w:r>
        <w:rPr>
          <w:rFonts w:hint="eastAsia" w:ascii="Cambria" w:hAnsi="Cambria" w:cs="Cambria"/>
          <w:color w:val="000000"/>
          <w:kern w:val="0"/>
          <w:sz w:val="28"/>
          <w:szCs w:val="28"/>
        </w:rPr>
        <w:t>公司股权以</w:t>
      </w:r>
      <w:r>
        <w:rPr>
          <w:rFonts w:asciiTheme="minorEastAsia" w:hAnsiTheme="minorEastAsia" w:cstheme="minorEastAsia"/>
          <w:color w:val="000000"/>
          <w:kern w:val="0"/>
          <w:sz w:val="28"/>
          <w:szCs w:val="28"/>
        </w:rPr>
        <w:t>0</w:t>
      </w:r>
      <w:r>
        <w:rPr>
          <w:rFonts w:hint="eastAsia" w:ascii="Cambria" w:hAnsi="Cambria" w:cs="Cambria"/>
          <w:color w:val="000000"/>
          <w:kern w:val="0"/>
          <w:sz w:val="28"/>
          <w:szCs w:val="28"/>
        </w:rPr>
        <w:t>元的价格转让于公司并立即办理完成相应的工商变更登记。</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（六）违约责任</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除《增资协议》及附件另有约定外，《增资协议》任何一方（守约方）由于其他方（违约方）对其在《增资协议》（包括附件）中的陈述、承诺、保证或义务的全部或部分违反、或因与之相关情况而遭受任何损失，守约方有权要求违约方予以赔偿。该等赔偿包括但不限于守约方因此遭受的直接损失、间接损失以及为维护自身合法权益而支出的诉讼费、保全费、保全保险费、律师费、差旅费、鉴定费等任何费用。</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（七）争议解决</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asciiTheme="minorEastAsia" w:hAnsiTheme="minorEastAsia" w:cstheme="minorEastAsia"/>
          <w:color w:val="000000"/>
          <w:kern w:val="0"/>
          <w:sz w:val="28"/>
          <w:szCs w:val="28"/>
        </w:rPr>
        <w:t>因《增资协议》发生的或与《增资协议》有关的任何争议，包括与《增资协议》的存在、解释、效力、终止或履行有关的任何争议，任何一方均有权向</w:t>
      </w:r>
      <w:r>
        <w:rPr>
          <w:rFonts w:hint="eastAsia" w:asciiTheme="minorEastAsia" w:hAnsiTheme="minorEastAsia" w:cstheme="minorEastAsia"/>
          <w:color w:val="000000"/>
          <w:kern w:val="0"/>
          <w:sz w:val="28"/>
          <w:szCs w:val="28"/>
        </w:rPr>
        <w:t>公司所在地人民法院提起诉讼。</w:t>
      </w:r>
    </w:p>
    <w:p>
      <w:pPr>
        <w:autoSpaceDE w:val="0"/>
        <w:autoSpaceDN w:val="0"/>
        <w:adjustRightInd w:val="0"/>
        <w:snapToGrid w:val="0"/>
        <w:spacing w:line="50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六、本次交易对公司的影响</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一）加速智慧物流产业发展。社会运力及货源向优质的网络货运平台集中，是大宗商品物流乃至整个货运物流行业的趋势。目标公司拥有丰富的数字化平台迭代开发能力。通过收购目标公司，公司将获得成熟的网络货运平台业务，延伸公司“实体物流+平台”发展模式，完善“产销储配送”物流体系，提升公司智慧物流产业竞争实力和发展速度。</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与公司产生较强产业协同。公司拥有大量的大宗商品货运需求和大宗商品货主资源，而目标公司具备成熟的大宗商品物流运输经验和优质服务能力。通过本次交易，目标公司可为公司及其上下游合作伙伴的供应链效能带来整体提升，公司可帮助目标公司积累优质的大宗商品客户资源，二者可相互赋能，实现协同发展。</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三）加速智慧物流产业数字化转型。目标公司拥有行业领先的管理团队，对互联网、物联网与物流行业的深度融合有着深入的理解以及丰富的经验。通过本次交易，公司将融入目标公司管理、技术和运营团队，有助于提升公司智慧物流产业的整体数字化水平，加速智慧物流产业的数字化转型。</w:t>
      </w:r>
    </w:p>
    <w:p>
      <w:pPr>
        <w:autoSpaceDE w:val="0"/>
        <w:autoSpaceDN w:val="0"/>
        <w:adjustRightInd w:val="0"/>
        <w:snapToGrid w:val="0"/>
        <w:spacing w:line="50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七、本次交易的风险提示</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（一）本次交易的资金来源为公司自有资金，不会对公司财务状况和经营状况产生重大影响，不存在损害公司及中小股东利益的情形。</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由于目标公司可能将为公司关联方提供网络货运等方面的服务，公司将因本次交易新增关联交易，但不会因本次交易与公司的关联方产生同业竞争。公司和关联方发生的交易将始终严格按照关联交易相关规定执行，遵循以市场化定价为基础，严格遵照上市地监管规则、《公司章程》等相关规定履行审批程序，充分保障关联交易决策程序的合规、合法性，保障中小股东的利益。</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（三）</w:t>
      </w:r>
      <w:r>
        <w:rPr>
          <w:rFonts w:hint="eastAsia" w:asciiTheme="minorEastAsia" w:hAnsiTheme="minorEastAsia" w:cstheme="minorEastAsia"/>
          <w:color w:val="000000"/>
          <w:sz w:val="28"/>
          <w:szCs w:val="28"/>
        </w:rPr>
        <w:t>本次交易设有协议生效条件、付款条件，前述条件能否实现存在不确定性。因此，本次交易存在协议无法生效、交易无法达成等风险。</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四）本次交易完成后，目标公司经营过程中可能面临行业监管政策变化、市场竞争环境、运营管理整合等诸多不确定因素，存在一定市场竞争风险、经营业绩波动风险、政府补贴支持力度减弱导致盈利下滑的风险等。</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（五）公司与目标公司能否实现业务及资源整合，达到本次交易的业务协同目的，存在一定的不确定性。</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（六）税务、数据安全及个人信息保护等领域监管政策日趋严格，目标公司作为一家网络货运公司，在前述领域面临一定的合规风险。</w:t>
      </w:r>
    </w:p>
    <w:p>
      <w:pPr>
        <w:autoSpaceDE w:val="0"/>
        <w:autoSpaceDN w:val="0"/>
        <w:adjustRightInd w:val="0"/>
        <w:snapToGrid w:val="0"/>
        <w:spacing w:line="50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八、进展披露</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公司将积极推进落实相关工作，并根据进展情况，及时履行信息披露义务。</w:t>
      </w:r>
    </w:p>
    <w:p>
      <w:pPr>
        <w:autoSpaceDE w:val="0"/>
        <w:autoSpaceDN w:val="0"/>
        <w:adjustRightInd w:val="0"/>
        <w:snapToGrid w:val="0"/>
        <w:spacing w:line="50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rPr>
        <w:t>九、备查文件</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（一）公司第九届董事会第八次会议决议</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w:t>
      </w:r>
      <w:r>
        <w:rPr>
          <w:rFonts w:hint="eastAsia" w:asciiTheme="minorEastAsia" w:hAnsiTheme="minorEastAsia" w:cstheme="minorEastAsia"/>
          <w:color w:val="000000"/>
          <w:sz w:val="28"/>
          <w:szCs w:val="28"/>
        </w:rPr>
        <w:t>《关于物泊科技有限公司之增资协议》</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（三）《表决权委托协议》</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（四）物泊科技有限公司2020年-2023年8月专项审计报告</w:t>
      </w:r>
    </w:p>
    <w:p>
      <w:pPr>
        <w:adjustRightInd w:val="0"/>
        <w:snapToGrid w:val="0"/>
        <w:spacing w:line="5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（五）物泊科技有限公司股东全部权益项目资产评估报告</w:t>
      </w:r>
    </w:p>
    <w:p>
      <w:pPr>
        <w:pStyle w:val="20"/>
        <w:autoSpaceDE w:val="0"/>
        <w:autoSpaceDN w:val="0"/>
        <w:adjustRightInd w:val="0"/>
        <w:snapToGrid w:val="0"/>
        <w:spacing w:line="500" w:lineRule="exact"/>
        <w:ind w:left="1022" w:firstLine="0" w:firstLineChars="0"/>
        <w:rPr>
          <w:rFonts w:asciiTheme="minorEastAsia" w:hAnsiTheme="minorEastAsia" w:eastAsiaTheme="minorEastAsia" w:cstheme="minorEastAsia"/>
          <w:b/>
          <w:color w:val="000000"/>
          <w:sz w:val="28"/>
          <w:szCs w:val="28"/>
        </w:rPr>
      </w:pPr>
    </w:p>
    <w:p>
      <w:pPr>
        <w:tabs>
          <w:tab w:val="left" w:pos="540"/>
          <w:tab w:val="left" w:pos="900"/>
        </w:tabs>
        <w:adjustRightInd w:val="0"/>
        <w:snapToGrid w:val="0"/>
        <w:spacing w:line="500" w:lineRule="exact"/>
        <w:ind w:firstLine="560" w:firstLineChars="200"/>
        <w:rPr>
          <w:rFonts w:asciiTheme="minorEastAsia" w:hAnsiTheme="minorEastAsia" w:cstheme="minorEastAsia"/>
          <w:bCs/>
          <w:sz w:val="28"/>
          <w:szCs w:val="28"/>
        </w:rPr>
      </w:pPr>
      <w:r>
        <w:rPr>
          <w:rFonts w:hint="eastAsia" w:asciiTheme="minorEastAsia" w:hAnsiTheme="minorEastAsia" w:cstheme="minorEastAsia"/>
          <w:bCs/>
          <w:sz w:val="28"/>
          <w:szCs w:val="28"/>
        </w:rPr>
        <w:t>特此公告。</w:t>
      </w:r>
    </w:p>
    <w:p>
      <w:pPr>
        <w:adjustRightInd w:val="0"/>
        <w:snapToGrid w:val="0"/>
        <w:spacing w:line="500" w:lineRule="exact"/>
        <w:ind w:firstLine="560" w:firstLineChars="200"/>
        <w:rPr>
          <w:rFonts w:asciiTheme="minorEastAsia" w:hAnsiTheme="minorEastAsia" w:cstheme="minorEastAsia"/>
          <w:color w:val="676767"/>
          <w:sz w:val="28"/>
          <w:szCs w:val="28"/>
        </w:rPr>
      </w:pPr>
    </w:p>
    <w:p>
      <w:pPr>
        <w:autoSpaceDE w:val="0"/>
        <w:autoSpaceDN w:val="0"/>
        <w:adjustRightInd w:val="0"/>
        <w:spacing w:line="500" w:lineRule="exact"/>
        <w:jc w:val="righ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兖矿能源集团股份有限公司董事会</w:t>
      </w:r>
    </w:p>
    <w:p>
      <w:pPr>
        <w:spacing w:line="500" w:lineRule="exact"/>
        <w:jc w:val="right"/>
        <w:rPr>
          <w:rFonts w:asciiTheme="minorEastAsia" w:hAnsiTheme="minorEastAsia" w:cstheme="minorEastAsia"/>
          <w:color w:val="000000"/>
          <w:kern w:val="0"/>
          <w:sz w:val="28"/>
          <w:szCs w:val="28"/>
        </w:rPr>
      </w:pPr>
      <w:r>
        <w:rPr>
          <w:rFonts w:asciiTheme="minorEastAsia" w:hAnsiTheme="minorEastAsia" w:cstheme="minorEastAsia"/>
          <w:color w:val="000000"/>
          <w:kern w:val="0"/>
          <w:sz w:val="28"/>
          <w:szCs w:val="28"/>
        </w:rPr>
        <w:t>2024</w:t>
      </w:r>
      <w:r>
        <w:rPr>
          <w:rFonts w:hint="eastAsia" w:asciiTheme="minorEastAsia" w:hAnsiTheme="minorEastAsia" w:cstheme="minorEastAsia"/>
          <w:color w:val="000000"/>
          <w:kern w:val="0"/>
          <w:sz w:val="28"/>
          <w:szCs w:val="28"/>
        </w:rPr>
        <w:t>年</w:t>
      </w:r>
      <w:r>
        <w:rPr>
          <w:rFonts w:hint="eastAsia" w:ascii="宋体" w:hAnsi="宋体" w:eastAsia="宋体" w:cs="宋体"/>
          <w:color w:val="000000"/>
          <w:kern w:val="0"/>
          <w:sz w:val="28"/>
          <w:szCs w:val="28"/>
        </w:rPr>
        <w:t>5</w:t>
      </w:r>
      <w:r>
        <w:rPr>
          <w:rFonts w:hint="eastAsia" w:asciiTheme="minorEastAsia" w:hAnsiTheme="minorEastAsia" w:cstheme="minorEastAsia"/>
          <w:color w:val="000000"/>
          <w:kern w:val="0"/>
          <w:sz w:val="28"/>
          <w:szCs w:val="28"/>
        </w:rPr>
        <w:t>月</w:t>
      </w:r>
      <w:r>
        <w:rPr>
          <w:rFonts w:hint="eastAsia" w:ascii="宋体" w:hAnsi="宋体" w:eastAsia="宋体" w:cs="宋体"/>
          <w:color w:val="000000"/>
          <w:kern w:val="0"/>
          <w:sz w:val="28"/>
          <w:szCs w:val="28"/>
        </w:rPr>
        <w:t>31</w:t>
      </w:r>
      <w:r>
        <w:rPr>
          <w:rFonts w:hint="eastAsia" w:asciiTheme="minorEastAsia" w:hAnsiTheme="minorEastAsia" w:cstheme="minorEastAsia"/>
          <w:color w:val="000000"/>
          <w:kern w:val="0"/>
          <w:sz w:val="28"/>
          <w:szCs w:val="28"/>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80"/>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创艺简标宋">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6376979"/>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5A6FB6"/>
    <w:multiLevelType w:val="multilevel"/>
    <w:tmpl w:val="4F5A6FB6"/>
    <w:lvl w:ilvl="0" w:tentative="0">
      <w:start w:val="1"/>
      <w:numFmt w:val="chineseCountingThousand"/>
      <w:pStyle w:val="26"/>
      <w:lvlText w:val="第%1条"/>
      <w:lvlJc w:val="left"/>
      <w:pPr>
        <w:ind w:left="4531" w:hanging="420"/>
      </w:pPr>
      <w:rPr>
        <w:rFonts w:hint="eastAsia"/>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265" w:hanging="585"/>
      </w:pPr>
      <w:rPr>
        <w:rFonts w:hint="default"/>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5E7B1010"/>
    <w:multiLevelType w:val="multilevel"/>
    <w:tmpl w:val="5E7B1010"/>
    <w:lvl w:ilvl="0" w:tentative="0">
      <w:start w:val="1"/>
      <w:numFmt w:val="chineseCountingThousand"/>
      <w:pStyle w:val="3"/>
      <w:lvlText w:val="%1、"/>
      <w:lvlJc w:val="left"/>
      <w:pPr>
        <w:ind w:left="0" w:firstLine="0"/>
      </w:pPr>
      <w:rPr>
        <w:rFonts w:hint="eastAsia" w:ascii="黑体" w:hAnsi="黑体" w:eastAsia="黑体"/>
        <w:b w:val="0"/>
        <w:i w:val="0"/>
        <w:sz w:val="26"/>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kYjY4NWZjNGUwOWY3OTRkMDNlZjYzMDMxMGNmNTUifQ=="/>
    <w:docVar w:name="KSO_WPS_MARK_KEY" w:val="e8ee930e-6fc8-4801-aa38-3e182c9ec393"/>
  </w:docVars>
  <w:rsids>
    <w:rsidRoot w:val="7F7E6360"/>
    <w:rsid w:val="00001A3D"/>
    <w:rsid w:val="00004D6A"/>
    <w:rsid w:val="00012D48"/>
    <w:rsid w:val="00023E74"/>
    <w:rsid w:val="0002608C"/>
    <w:rsid w:val="00027869"/>
    <w:rsid w:val="00027D07"/>
    <w:rsid w:val="00051EAC"/>
    <w:rsid w:val="000607D6"/>
    <w:rsid w:val="00063231"/>
    <w:rsid w:val="00063B4A"/>
    <w:rsid w:val="00064C56"/>
    <w:rsid w:val="00066C71"/>
    <w:rsid w:val="000711E1"/>
    <w:rsid w:val="00076CA2"/>
    <w:rsid w:val="000849BC"/>
    <w:rsid w:val="00090983"/>
    <w:rsid w:val="00090CD6"/>
    <w:rsid w:val="000B504C"/>
    <w:rsid w:val="000B6C9D"/>
    <w:rsid w:val="000C032A"/>
    <w:rsid w:val="000C23AF"/>
    <w:rsid w:val="000C3D68"/>
    <w:rsid w:val="000C7906"/>
    <w:rsid w:val="000C7B16"/>
    <w:rsid w:val="000D56E0"/>
    <w:rsid w:val="000D6D1D"/>
    <w:rsid w:val="000E5F4F"/>
    <w:rsid w:val="001006CF"/>
    <w:rsid w:val="00117D19"/>
    <w:rsid w:val="00124669"/>
    <w:rsid w:val="00130920"/>
    <w:rsid w:val="001320E3"/>
    <w:rsid w:val="0014188B"/>
    <w:rsid w:val="00147797"/>
    <w:rsid w:val="00157EEB"/>
    <w:rsid w:val="00160D4F"/>
    <w:rsid w:val="001614FF"/>
    <w:rsid w:val="00172481"/>
    <w:rsid w:val="00175880"/>
    <w:rsid w:val="00191852"/>
    <w:rsid w:val="00193C34"/>
    <w:rsid w:val="00195738"/>
    <w:rsid w:val="00196AAF"/>
    <w:rsid w:val="001B757C"/>
    <w:rsid w:val="001C406A"/>
    <w:rsid w:val="001C5C17"/>
    <w:rsid w:val="001C6775"/>
    <w:rsid w:val="001D0F7C"/>
    <w:rsid w:val="001D36A2"/>
    <w:rsid w:val="001D50FE"/>
    <w:rsid w:val="001E021E"/>
    <w:rsid w:val="001F7899"/>
    <w:rsid w:val="00200568"/>
    <w:rsid w:val="00211234"/>
    <w:rsid w:val="00215F1A"/>
    <w:rsid w:val="00220DDC"/>
    <w:rsid w:val="00233072"/>
    <w:rsid w:val="00250038"/>
    <w:rsid w:val="0025411F"/>
    <w:rsid w:val="002627B6"/>
    <w:rsid w:val="002645CA"/>
    <w:rsid w:val="00282467"/>
    <w:rsid w:val="00293727"/>
    <w:rsid w:val="00294FCA"/>
    <w:rsid w:val="002A60C3"/>
    <w:rsid w:val="002A6837"/>
    <w:rsid w:val="002B02CD"/>
    <w:rsid w:val="002B33AD"/>
    <w:rsid w:val="002B6AF5"/>
    <w:rsid w:val="002B77FD"/>
    <w:rsid w:val="002C5E99"/>
    <w:rsid w:val="002C7EE3"/>
    <w:rsid w:val="002E03D0"/>
    <w:rsid w:val="002E2FBA"/>
    <w:rsid w:val="002F70C7"/>
    <w:rsid w:val="002F7796"/>
    <w:rsid w:val="002F7B45"/>
    <w:rsid w:val="00300681"/>
    <w:rsid w:val="00300B06"/>
    <w:rsid w:val="00306ED9"/>
    <w:rsid w:val="003109BD"/>
    <w:rsid w:val="003130C2"/>
    <w:rsid w:val="003215D1"/>
    <w:rsid w:val="003300E1"/>
    <w:rsid w:val="00335050"/>
    <w:rsid w:val="003362E5"/>
    <w:rsid w:val="0033639D"/>
    <w:rsid w:val="00336AF8"/>
    <w:rsid w:val="0034021D"/>
    <w:rsid w:val="003528EC"/>
    <w:rsid w:val="003609C3"/>
    <w:rsid w:val="003649E3"/>
    <w:rsid w:val="00367095"/>
    <w:rsid w:val="00372373"/>
    <w:rsid w:val="00376147"/>
    <w:rsid w:val="00377337"/>
    <w:rsid w:val="003858A2"/>
    <w:rsid w:val="00386D16"/>
    <w:rsid w:val="00391A5D"/>
    <w:rsid w:val="00391C0E"/>
    <w:rsid w:val="00394C02"/>
    <w:rsid w:val="003A3C95"/>
    <w:rsid w:val="003A547C"/>
    <w:rsid w:val="003A7DBF"/>
    <w:rsid w:val="003B397A"/>
    <w:rsid w:val="003D08AD"/>
    <w:rsid w:val="003D7F3A"/>
    <w:rsid w:val="003E3AFE"/>
    <w:rsid w:val="003F24CC"/>
    <w:rsid w:val="003F578C"/>
    <w:rsid w:val="003F597C"/>
    <w:rsid w:val="0040127E"/>
    <w:rsid w:val="00410787"/>
    <w:rsid w:val="004150FB"/>
    <w:rsid w:val="00444B73"/>
    <w:rsid w:val="00464DC8"/>
    <w:rsid w:val="004677A7"/>
    <w:rsid w:val="00467A2C"/>
    <w:rsid w:val="00472D09"/>
    <w:rsid w:val="004762C3"/>
    <w:rsid w:val="004A57E5"/>
    <w:rsid w:val="004A632D"/>
    <w:rsid w:val="004A7A25"/>
    <w:rsid w:val="004A7F8B"/>
    <w:rsid w:val="004B2E5E"/>
    <w:rsid w:val="004D046C"/>
    <w:rsid w:val="004F3D82"/>
    <w:rsid w:val="005129EC"/>
    <w:rsid w:val="0052392E"/>
    <w:rsid w:val="00526209"/>
    <w:rsid w:val="005323CB"/>
    <w:rsid w:val="00534688"/>
    <w:rsid w:val="005355F5"/>
    <w:rsid w:val="00556C39"/>
    <w:rsid w:val="00562CF5"/>
    <w:rsid w:val="005710D1"/>
    <w:rsid w:val="00572B7A"/>
    <w:rsid w:val="0057766C"/>
    <w:rsid w:val="00583BE6"/>
    <w:rsid w:val="00586CDD"/>
    <w:rsid w:val="00593733"/>
    <w:rsid w:val="005A78AC"/>
    <w:rsid w:val="005A7D1C"/>
    <w:rsid w:val="005B3541"/>
    <w:rsid w:val="005D0B1E"/>
    <w:rsid w:val="005D1278"/>
    <w:rsid w:val="005D724F"/>
    <w:rsid w:val="005F63F8"/>
    <w:rsid w:val="005F6C91"/>
    <w:rsid w:val="00600345"/>
    <w:rsid w:val="00617EE5"/>
    <w:rsid w:val="006474DC"/>
    <w:rsid w:val="00654438"/>
    <w:rsid w:val="006623D4"/>
    <w:rsid w:val="00671228"/>
    <w:rsid w:val="00672FB9"/>
    <w:rsid w:val="006854EB"/>
    <w:rsid w:val="006922D9"/>
    <w:rsid w:val="00694ED0"/>
    <w:rsid w:val="006A24EC"/>
    <w:rsid w:val="006A26C2"/>
    <w:rsid w:val="006A29BA"/>
    <w:rsid w:val="006A6970"/>
    <w:rsid w:val="006B08F4"/>
    <w:rsid w:val="006B29C4"/>
    <w:rsid w:val="006B3ADF"/>
    <w:rsid w:val="006B6557"/>
    <w:rsid w:val="006B7AD1"/>
    <w:rsid w:val="006C2558"/>
    <w:rsid w:val="006C5815"/>
    <w:rsid w:val="006D1092"/>
    <w:rsid w:val="006D2596"/>
    <w:rsid w:val="006D2819"/>
    <w:rsid w:val="006D79A1"/>
    <w:rsid w:val="006F0879"/>
    <w:rsid w:val="006F22CE"/>
    <w:rsid w:val="006F390C"/>
    <w:rsid w:val="006F3972"/>
    <w:rsid w:val="006F7B46"/>
    <w:rsid w:val="0070193B"/>
    <w:rsid w:val="007035EF"/>
    <w:rsid w:val="00710E8D"/>
    <w:rsid w:val="00711D7C"/>
    <w:rsid w:val="00716F35"/>
    <w:rsid w:val="00726F46"/>
    <w:rsid w:val="00746296"/>
    <w:rsid w:val="007623FA"/>
    <w:rsid w:val="00764555"/>
    <w:rsid w:val="00774734"/>
    <w:rsid w:val="0079116A"/>
    <w:rsid w:val="007A2DD4"/>
    <w:rsid w:val="007B5FD8"/>
    <w:rsid w:val="007C2CCF"/>
    <w:rsid w:val="007C4817"/>
    <w:rsid w:val="007C72FB"/>
    <w:rsid w:val="007D5B8D"/>
    <w:rsid w:val="007F1BCC"/>
    <w:rsid w:val="008026C9"/>
    <w:rsid w:val="008042F4"/>
    <w:rsid w:val="00804345"/>
    <w:rsid w:val="008121EE"/>
    <w:rsid w:val="00821D45"/>
    <w:rsid w:val="008244C3"/>
    <w:rsid w:val="00825FDA"/>
    <w:rsid w:val="008268A7"/>
    <w:rsid w:val="00832437"/>
    <w:rsid w:val="008362DE"/>
    <w:rsid w:val="00837458"/>
    <w:rsid w:val="00842D1B"/>
    <w:rsid w:val="008450DC"/>
    <w:rsid w:val="00845F48"/>
    <w:rsid w:val="00847F55"/>
    <w:rsid w:val="0085333B"/>
    <w:rsid w:val="0085651E"/>
    <w:rsid w:val="00863F2C"/>
    <w:rsid w:val="00864CFF"/>
    <w:rsid w:val="008678E5"/>
    <w:rsid w:val="00881ED8"/>
    <w:rsid w:val="008835CE"/>
    <w:rsid w:val="008844A0"/>
    <w:rsid w:val="008974C9"/>
    <w:rsid w:val="008A55AE"/>
    <w:rsid w:val="008A7BCE"/>
    <w:rsid w:val="008E6010"/>
    <w:rsid w:val="008E7222"/>
    <w:rsid w:val="008F50EB"/>
    <w:rsid w:val="00902A68"/>
    <w:rsid w:val="009040BD"/>
    <w:rsid w:val="00911089"/>
    <w:rsid w:val="009117CE"/>
    <w:rsid w:val="00912040"/>
    <w:rsid w:val="00926F42"/>
    <w:rsid w:val="00927BDC"/>
    <w:rsid w:val="00940EF7"/>
    <w:rsid w:val="00942EEC"/>
    <w:rsid w:val="009453FC"/>
    <w:rsid w:val="009522DA"/>
    <w:rsid w:val="009525D4"/>
    <w:rsid w:val="00952D27"/>
    <w:rsid w:val="009534D2"/>
    <w:rsid w:val="00964206"/>
    <w:rsid w:val="00965969"/>
    <w:rsid w:val="00974527"/>
    <w:rsid w:val="009757A5"/>
    <w:rsid w:val="00976CDF"/>
    <w:rsid w:val="00983E7D"/>
    <w:rsid w:val="009D60A9"/>
    <w:rsid w:val="009E6687"/>
    <w:rsid w:val="009F5AB1"/>
    <w:rsid w:val="009F7613"/>
    <w:rsid w:val="00A01677"/>
    <w:rsid w:val="00A0396C"/>
    <w:rsid w:val="00A043BB"/>
    <w:rsid w:val="00A42EEE"/>
    <w:rsid w:val="00A70F48"/>
    <w:rsid w:val="00A9129B"/>
    <w:rsid w:val="00A920B6"/>
    <w:rsid w:val="00AA1BA9"/>
    <w:rsid w:val="00AA3C7F"/>
    <w:rsid w:val="00AA56A7"/>
    <w:rsid w:val="00AA65B2"/>
    <w:rsid w:val="00AB141C"/>
    <w:rsid w:val="00AB4D82"/>
    <w:rsid w:val="00AC0737"/>
    <w:rsid w:val="00AC1D4A"/>
    <w:rsid w:val="00AC7135"/>
    <w:rsid w:val="00AD074D"/>
    <w:rsid w:val="00AE13D2"/>
    <w:rsid w:val="00AE2D56"/>
    <w:rsid w:val="00AE484A"/>
    <w:rsid w:val="00AE5F76"/>
    <w:rsid w:val="00AF2A99"/>
    <w:rsid w:val="00AF5AA6"/>
    <w:rsid w:val="00B20776"/>
    <w:rsid w:val="00B209BE"/>
    <w:rsid w:val="00B22B14"/>
    <w:rsid w:val="00B309E3"/>
    <w:rsid w:val="00B3798B"/>
    <w:rsid w:val="00B6080A"/>
    <w:rsid w:val="00B62D68"/>
    <w:rsid w:val="00B74A2C"/>
    <w:rsid w:val="00B77B05"/>
    <w:rsid w:val="00B80596"/>
    <w:rsid w:val="00B84E4D"/>
    <w:rsid w:val="00B91F88"/>
    <w:rsid w:val="00BA0BD7"/>
    <w:rsid w:val="00BA12F2"/>
    <w:rsid w:val="00BA351B"/>
    <w:rsid w:val="00BA607C"/>
    <w:rsid w:val="00BB0D46"/>
    <w:rsid w:val="00BB1F4F"/>
    <w:rsid w:val="00BC6D9A"/>
    <w:rsid w:val="00BC7E4A"/>
    <w:rsid w:val="00BD0CB7"/>
    <w:rsid w:val="00BD620D"/>
    <w:rsid w:val="00BE21EA"/>
    <w:rsid w:val="00BE65E2"/>
    <w:rsid w:val="00BF1220"/>
    <w:rsid w:val="00BF5F7F"/>
    <w:rsid w:val="00BF67CA"/>
    <w:rsid w:val="00C00F13"/>
    <w:rsid w:val="00C04473"/>
    <w:rsid w:val="00C079D8"/>
    <w:rsid w:val="00C154E0"/>
    <w:rsid w:val="00C32013"/>
    <w:rsid w:val="00C40D92"/>
    <w:rsid w:val="00C51D52"/>
    <w:rsid w:val="00C61582"/>
    <w:rsid w:val="00C65606"/>
    <w:rsid w:val="00C81C82"/>
    <w:rsid w:val="00C85179"/>
    <w:rsid w:val="00C86A6E"/>
    <w:rsid w:val="00C941F7"/>
    <w:rsid w:val="00C9675D"/>
    <w:rsid w:val="00CA005A"/>
    <w:rsid w:val="00CA0785"/>
    <w:rsid w:val="00CA0D06"/>
    <w:rsid w:val="00CB105A"/>
    <w:rsid w:val="00CC68A6"/>
    <w:rsid w:val="00CD1B97"/>
    <w:rsid w:val="00CE3022"/>
    <w:rsid w:val="00CE7788"/>
    <w:rsid w:val="00CE778B"/>
    <w:rsid w:val="00CF0785"/>
    <w:rsid w:val="00CF16F1"/>
    <w:rsid w:val="00CF4957"/>
    <w:rsid w:val="00D10C0D"/>
    <w:rsid w:val="00D118B0"/>
    <w:rsid w:val="00D21DD0"/>
    <w:rsid w:val="00D25686"/>
    <w:rsid w:val="00D26AEA"/>
    <w:rsid w:val="00D403F3"/>
    <w:rsid w:val="00D40F9B"/>
    <w:rsid w:val="00D4236C"/>
    <w:rsid w:val="00D4251F"/>
    <w:rsid w:val="00D523AE"/>
    <w:rsid w:val="00D53722"/>
    <w:rsid w:val="00D53D7D"/>
    <w:rsid w:val="00D63D6B"/>
    <w:rsid w:val="00D70854"/>
    <w:rsid w:val="00D71D73"/>
    <w:rsid w:val="00D90169"/>
    <w:rsid w:val="00D93225"/>
    <w:rsid w:val="00DA7C80"/>
    <w:rsid w:val="00DB0C5A"/>
    <w:rsid w:val="00DB5FC9"/>
    <w:rsid w:val="00DB6338"/>
    <w:rsid w:val="00DB6EF6"/>
    <w:rsid w:val="00DD0FB5"/>
    <w:rsid w:val="00DD3E6D"/>
    <w:rsid w:val="00DE170F"/>
    <w:rsid w:val="00DE5E52"/>
    <w:rsid w:val="00DF50D4"/>
    <w:rsid w:val="00E103BF"/>
    <w:rsid w:val="00E2463D"/>
    <w:rsid w:val="00E3494E"/>
    <w:rsid w:val="00E41AB3"/>
    <w:rsid w:val="00E562E2"/>
    <w:rsid w:val="00E56F82"/>
    <w:rsid w:val="00E80E5E"/>
    <w:rsid w:val="00E8331F"/>
    <w:rsid w:val="00E86A56"/>
    <w:rsid w:val="00E94E76"/>
    <w:rsid w:val="00EA21D5"/>
    <w:rsid w:val="00EA3F2E"/>
    <w:rsid w:val="00EA5B20"/>
    <w:rsid w:val="00EA7D1B"/>
    <w:rsid w:val="00EC1C11"/>
    <w:rsid w:val="00ED118C"/>
    <w:rsid w:val="00ED24F2"/>
    <w:rsid w:val="00F07A8C"/>
    <w:rsid w:val="00F16825"/>
    <w:rsid w:val="00F2064F"/>
    <w:rsid w:val="00F25CD6"/>
    <w:rsid w:val="00F2781E"/>
    <w:rsid w:val="00F319E6"/>
    <w:rsid w:val="00F36BED"/>
    <w:rsid w:val="00F41A1B"/>
    <w:rsid w:val="00F45858"/>
    <w:rsid w:val="00F507A2"/>
    <w:rsid w:val="00F60370"/>
    <w:rsid w:val="00F63B8B"/>
    <w:rsid w:val="00F67FBB"/>
    <w:rsid w:val="00F76428"/>
    <w:rsid w:val="00F8079E"/>
    <w:rsid w:val="00F90091"/>
    <w:rsid w:val="00FA2DFF"/>
    <w:rsid w:val="00FA35A7"/>
    <w:rsid w:val="00FA6905"/>
    <w:rsid w:val="00FC0BEA"/>
    <w:rsid w:val="00FC16E4"/>
    <w:rsid w:val="00FC285C"/>
    <w:rsid w:val="00FC4AFC"/>
    <w:rsid w:val="00FE6CDB"/>
    <w:rsid w:val="00FF5D85"/>
    <w:rsid w:val="00FF7B05"/>
    <w:rsid w:val="03D61ABC"/>
    <w:rsid w:val="0DF66B26"/>
    <w:rsid w:val="19566FE6"/>
    <w:rsid w:val="2483493E"/>
    <w:rsid w:val="274B5A9A"/>
    <w:rsid w:val="2F1E00D6"/>
    <w:rsid w:val="30670D37"/>
    <w:rsid w:val="36FD794E"/>
    <w:rsid w:val="3A2B3D2D"/>
    <w:rsid w:val="3B7010B2"/>
    <w:rsid w:val="4DFF6C8F"/>
    <w:rsid w:val="59663B6B"/>
    <w:rsid w:val="5C553C06"/>
    <w:rsid w:val="5E062CDF"/>
    <w:rsid w:val="69682850"/>
    <w:rsid w:val="787F5B64"/>
    <w:rsid w:val="79FF6DA8"/>
    <w:rsid w:val="7D3343DE"/>
    <w:rsid w:val="7E6B1535"/>
    <w:rsid w:val="7F7E6360"/>
    <w:rsid w:val="DFDFA6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4"/>
    <w:next w:val="1"/>
    <w:autoRedefine/>
    <w:unhideWhenUsed/>
    <w:qFormat/>
    <w:uiPriority w:val="0"/>
    <w:pPr>
      <w:keepNext/>
      <w:keepLines/>
      <w:numPr>
        <w:ilvl w:val="0"/>
        <w:numId w:val="1"/>
      </w:numPr>
      <w:spacing w:before="240" w:after="240" w:line="360" w:lineRule="auto"/>
      <w:ind w:firstLine="721" w:firstLineChars="200"/>
      <w:outlineLvl w:val="1"/>
    </w:pPr>
    <w:rPr>
      <w:rFonts w:eastAsia="黑体" w:asciiTheme="majorHAnsi" w:hAnsiTheme="majorHAnsi" w:cstheme="majorBidi"/>
      <w:bCs/>
      <w:sz w:val="26"/>
      <w:szCs w:val="32"/>
    </w:rPr>
  </w:style>
  <w:style w:type="character" w:default="1" w:styleId="14">
    <w:name w:val="Default Paragraph Font"/>
    <w:semiHidden/>
    <w:unhideWhenUsed/>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Block Text"/>
    <w:basedOn w:val="1"/>
    <w:autoRedefine/>
    <w:qFormat/>
    <w:uiPriority w:val="0"/>
    <w:pPr>
      <w:ind w:left="1440" w:leftChars="700" w:right="700" w:rightChars="700"/>
    </w:pPr>
  </w:style>
  <w:style w:type="paragraph" w:styleId="5">
    <w:name w:val="annotation text"/>
    <w:basedOn w:val="1"/>
    <w:link w:val="22"/>
    <w:autoRedefine/>
    <w:unhideWhenUsed/>
    <w:qFormat/>
    <w:uiPriority w:val="99"/>
    <w:pPr>
      <w:jc w:val="left"/>
    </w:pPr>
  </w:style>
  <w:style w:type="paragraph" w:styleId="6">
    <w:name w:val="Body Text Indent 2"/>
    <w:basedOn w:val="1"/>
    <w:autoRedefine/>
    <w:qFormat/>
    <w:uiPriority w:val="0"/>
    <w:pPr>
      <w:spacing w:line="600" w:lineRule="exact"/>
      <w:ind w:firstLine="600" w:firstLineChars="200"/>
    </w:pPr>
    <w:rPr>
      <w:rFonts w:ascii="仿宋_GB2312" w:hAnsi="宋体" w:eastAsia="仿宋_GB2312" w:cs="Times New Roman"/>
      <w:sz w:val="30"/>
      <w:szCs w:val="30"/>
    </w:rPr>
  </w:style>
  <w:style w:type="paragraph" w:styleId="7">
    <w:name w:val="Balloon Text"/>
    <w:basedOn w:val="1"/>
    <w:link w:val="21"/>
    <w:autoRedefine/>
    <w:qFormat/>
    <w:uiPriority w:val="0"/>
    <w:rPr>
      <w:sz w:val="18"/>
      <w:szCs w:val="18"/>
    </w:rPr>
  </w:style>
  <w:style w:type="paragraph" w:styleId="8">
    <w:name w:val="footer"/>
    <w:basedOn w:val="1"/>
    <w:link w:val="19"/>
    <w:autoRedefine/>
    <w:qFormat/>
    <w:uiPriority w:val="99"/>
    <w:pPr>
      <w:tabs>
        <w:tab w:val="center" w:pos="4153"/>
        <w:tab w:val="right" w:pos="8306"/>
      </w:tabs>
      <w:snapToGrid w:val="0"/>
      <w:jc w:val="left"/>
    </w:pPr>
    <w:rPr>
      <w:sz w:val="18"/>
      <w:szCs w:val="18"/>
    </w:rPr>
  </w:style>
  <w:style w:type="paragraph" w:styleId="9">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5"/>
    <w:next w:val="5"/>
    <w:link w:val="23"/>
    <w:autoRedefine/>
    <w:semiHidden/>
    <w:unhideWhenUsed/>
    <w:qFormat/>
    <w:uiPriority w:val="0"/>
    <w:rPr>
      <w:b/>
      <w:bCs/>
    </w:rPr>
  </w:style>
  <w:style w:type="table" w:styleId="13">
    <w:name w:val="Table Grid"/>
    <w:basedOn w:val="1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autoRedefine/>
    <w:unhideWhenUsed/>
    <w:qFormat/>
    <w:uiPriority w:val="0"/>
    <w:rPr>
      <w:color w:val="0563C1" w:themeColor="hyperlink"/>
      <w:u w:val="single"/>
      <w14:textFill>
        <w14:solidFill>
          <w14:schemeClr w14:val="hlink"/>
        </w14:solidFill>
      </w14:textFill>
    </w:rPr>
  </w:style>
  <w:style w:type="character" w:styleId="16">
    <w:name w:val="annotation reference"/>
    <w:basedOn w:val="14"/>
    <w:autoRedefine/>
    <w:semiHidden/>
    <w:unhideWhenUsed/>
    <w:qFormat/>
    <w:uiPriority w:val="0"/>
    <w:rPr>
      <w:sz w:val="21"/>
      <w:szCs w:val="21"/>
    </w:rPr>
  </w:style>
  <w:style w:type="paragraph" w:customStyle="1" w:styleId="17">
    <w:name w:val="列出段落1"/>
    <w:basedOn w:val="1"/>
    <w:autoRedefine/>
    <w:qFormat/>
    <w:uiPriority w:val="34"/>
    <w:pPr>
      <w:ind w:firstLine="420" w:firstLineChars="200"/>
    </w:pPr>
  </w:style>
  <w:style w:type="character" w:customStyle="1" w:styleId="18">
    <w:name w:val="页眉 字符"/>
    <w:basedOn w:val="14"/>
    <w:link w:val="9"/>
    <w:autoRedefine/>
    <w:qFormat/>
    <w:uiPriority w:val="0"/>
    <w:rPr>
      <w:kern w:val="2"/>
      <w:sz w:val="18"/>
      <w:szCs w:val="18"/>
    </w:rPr>
  </w:style>
  <w:style w:type="character" w:customStyle="1" w:styleId="19">
    <w:name w:val="页脚 字符"/>
    <w:basedOn w:val="14"/>
    <w:link w:val="8"/>
    <w:autoRedefine/>
    <w:qFormat/>
    <w:uiPriority w:val="99"/>
    <w:rPr>
      <w:kern w:val="2"/>
      <w:sz w:val="18"/>
      <w:szCs w:val="18"/>
    </w:rPr>
  </w:style>
  <w:style w:type="paragraph" w:styleId="20">
    <w:name w:val="List Paragraph"/>
    <w:basedOn w:val="1"/>
    <w:autoRedefine/>
    <w:qFormat/>
    <w:uiPriority w:val="34"/>
    <w:pPr>
      <w:ind w:firstLine="420" w:firstLineChars="200"/>
    </w:pPr>
    <w:rPr>
      <w:rFonts w:ascii="Calibri" w:hAnsi="Calibri" w:eastAsia="宋体" w:cs="Times New Roman"/>
    </w:rPr>
  </w:style>
  <w:style w:type="character" w:customStyle="1" w:styleId="21">
    <w:name w:val="批注框文本 字符"/>
    <w:basedOn w:val="14"/>
    <w:link w:val="7"/>
    <w:autoRedefine/>
    <w:qFormat/>
    <w:uiPriority w:val="0"/>
    <w:rPr>
      <w:kern w:val="2"/>
      <w:sz w:val="18"/>
      <w:szCs w:val="18"/>
    </w:rPr>
  </w:style>
  <w:style w:type="character" w:customStyle="1" w:styleId="22">
    <w:name w:val="批注文字 字符"/>
    <w:basedOn w:val="14"/>
    <w:link w:val="5"/>
    <w:autoRedefine/>
    <w:qFormat/>
    <w:uiPriority w:val="99"/>
    <w:rPr>
      <w:kern w:val="2"/>
      <w:sz w:val="21"/>
      <w:szCs w:val="22"/>
    </w:rPr>
  </w:style>
  <w:style w:type="character" w:customStyle="1" w:styleId="23">
    <w:name w:val="批注主题 字符"/>
    <w:basedOn w:val="22"/>
    <w:link w:val="11"/>
    <w:autoRedefine/>
    <w:qFormat/>
    <w:uiPriority w:val="0"/>
    <w:rPr>
      <w:kern w:val="2"/>
      <w:sz w:val="21"/>
      <w:szCs w:val="22"/>
    </w:rPr>
  </w:style>
  <w:style w:type="paragraph" w:customStyle="1" w:styleId="24">
    <w:name w:val="条款正文"/>
    <w:basedOn w:val="1"/>
    <w:link w:val="25"/>
    <w:autoRedefine/>
    <w:qFormat/>
    <w:uiPriority w:val="0"/>
    <w:pPr>
      <w:tabs>
        <w:tab w:val="left" w:pos="420"/>
      </w:tabs>
      <w:adjustRightInd w:val="0"/>
      <w:snapToGrid w:val="0"/>
      <w:spacing w:before="50" w:beforeLines="50" w:after="50" w:afterLines="50" w:line="440" w:lineRule="exact"/>
    </w:pPr>
    <w:rPr>
      <w:rFonts w:ascii="Times New Roman" w:hAnsi="Times New Roman" w:eastAsia="仿宋"/>
      <w:sz w:val="24"/>
    </w:rPr>
  </w:style>
  <w:style w:type="character" w:customStyle="1" w:styleId="25">
    <w:name w:val="条款正文 字符"/>
    <w:basedOn w:val="14"/>
    <w:link w:val="24"/>
    <w:autoRedefine/>
    <w:qFormat/>
    <w:uiPriority w:val="0"/>
    <w:rPr>
      <w:rFonts w:ascii="Times New Roman" w:hAnsi="Times New Roman" w:eastAsia="仿宋"/>
      <w:kern w:val="2"/>
      <w:sz w:val="24"/>
      <w:szCs w:val="22"/>
    </w:rPr>
  </w:style>
  <w:style w:type="paragraph" w:customStyle="1" w:styleId="26">
    <w:name w:val="二级条款"/>
    <w:basedOn w:val="1"/>
    <w:link w:val="27"/>
    <w:autoRedefine/>
    <w:qFormat/>
    <w:uiPriority w:val="0"/>
    <w:pPr>
      <w:numPr>
        <w:ilvl w:val="0"/>
        <w:numId w:val="2"/>
      </w:numPr>
      <w:tabs>
        <w:tab w:val="left" w:pos="420"/>
      </w:tabs>
      <w:adjustRightInd w:val="0"/>
      <w:snapToGrid w:val="0"/>
      <w:spacing w:before="50" w:beforeLines="50" w:after="50" w:afterLines="50" w:line="440" w:lineRule="exact"/>
    </w:pPr>
    <w:rPr>
      <w:rFonts w:ascii="Times New Roman" w:hAnsi="Times New Roman" w:eastAsia="仿宋"/>
      <w:sz w:val="24"/>
    </w:rPr>
  </w:style>
  <w:style w:type="character" w:customStyle="1" w:styleId="27">
    <w:name w:val="二级条款 字符"/>
    <w:basedOn w:val="14"/>
    <w:link w:val="26"/>
    <w:autoRedefine/>
    <w:qFormat/>
    <w:uiPriority w:val="0"/>
    <w:rPr>
      <w:rFonts w:ascii="Times New Roman" w:hAnsi="Times New Roman" w:eastAsia="仿宋"/>
      <w:kern w:val="2"/>
      <w:sz w:val="24"/>
      <w:szCs w:val="22"/>
    </w:rPr>
  </w:style>
  <w:style w:type="paragraph" w:customStyle="1" w:styleId="28">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9">
    <w:name w:val="正文 A"/>
    <w:autoRedefine/>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 w:type="character" w:customStyle="1" w:styleId="30">
    <w:name w:val="未处理的提及1"/>
    <w:basedOn w:val="14"/>
    <w:autoRedefine/>
    <w:semiHidden/>
    <w:unhideWhenUsed/>
    <w:qFormat/>
    <w:uiPriority w:val="99"/>
    <w:rPr>
      <w:color w:val="605E5C"/>
      <w:shd w:val="clear" w:color="auto" w:fill="E1DFDD"/>
    </w:rPr>
  </w:style>
  <w:style w:type="paragraph" w:customStyle="1" w:styleId="31">
    <w:name w:val="修订2"/>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2">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3">
    <w:name w:val="修订4"/>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4">
    <w:name w:val="修订5"/>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5">
    <w:name w:val="修订6"/>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6">
    <w:name w:val="修订7"/>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7">
    <w:name w:val="修订8"/>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8">
    <w:name w:val="修订9"/>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9">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6A441-3134-4D26-9AA6-2B9EF4C8DF6C}">
  <ds:schemaRefs/>
</ds:datastoreItem>
</file>

<file path=docProps/app.xml><?xml version="1.0" encoding="utf-8"?>
<Properties xmlns="http://schemas.openxmlformats.org/officeDocument/2006/extended-properties" xmlns:vt="http://schemas.openxmlformats.org/officeDocument/2006/docPropsVTypes">
  <Template>Normal</Template>
  <Company>CICC</Company>
  <Pages>14</Pages>
  <Words>1337</Words>
  <Characters>7627</Characters>
  <Lines>63</Lines>
  <Paragraphs>17</Paragraphs>
  <TotalTime>21</TotalTime>
  <ScaleCrop>false</ScaleCrop>
  <LinksUpToDate>false</LinksUpToDate>
  <CharactersWithSpaces>8947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2024-04-24T08:57:00Z</dcterms:created>
  <dc:creator>Wenbin Shen (IB)</dc:creator>
  <cp:lastModifiedBy>金建德</cp:lastModifiedBy>
  <cp:lastPrinted>2024-04-25T10:23:00Z</cp:lastPrinted>
  <dcterms:modified xsi:type="dcterms:W3CDTF">2024-05-31T09:10:17Z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41C9FFABC80A4282A6DB255E611CF5A1_13</vt:lpwstr>
  </property>
  <property fmtid="{D5CDD505-2E9C-101B-9397-08002B2CF9AE}" pid="4" name="5B77E7CEEC58BC6AFAE8886BEB80DBEB">
    <vt:lpwstr>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</vt:lpwstr>
  </property>
</Properties>
</file>