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92378-F2BE-4962-8A4D-48D50E25B4DE}">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2</Pages>
  <Words>1057</Words>
  <Characters>1094</Characters>
  <Lines>24</Lines>
  <Paragraphs>6</Paragraphs>
  <TotalTime>39</TotalTime>
  <ScaleCrop>false</ScaleCrop>
  <LinksUpToDate>false</LinksUpToDate>
  <CharactersWithSpaces>1127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2024-03-25T14:28:00Z</dcterms:created>
  <dc:creator>lx</dc:creator>
  <cp:lastModifiedBy>金建德</cp:lastModifiedBy>
  <cp:lastPrinted>2024-03-26T01:42:00Z</cp:lastPrinted>
  <dcterms:modified xsi:type="dcterms:W3CDTF">2024-03-28T03:37:48Z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</vt:lpwstr>
  </property>
  <property fmtid="{D5CDD505-2E9C-101B-9397-08002B2CF9AE}" pid="3" name="KSOProductBuildVer">
    <vt:lpwstr>2052-12.1.0.15374</vt:lpwstr>
  </property>
  <property fmtid="{D5CDD505-2E9C-101B-9397-08002B2CF9AE}" pid="4" name="ICV">
    <vt:lpwstr>770DA78EDDA74AA6874B1D428BAB7042</vt:lpwstr>
  </property>
</Properti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w:t>
      </w:r>
      <w:r>
        <w:rPr>
          <w:rFonts w:hint="eastAsia" w:ascii="黑体" w:hAnsi="黑体" w:eastAsia="黑体"/>
          <w:color w:val="000000"/>
        </w:rPr>
        <w:t>4</w:t>
      </w:r>
      <w:r>
        <w:rPr>
          <w:rFonts w:hint="eastAsia" w:ascii="黑体" w:hAnsi="黑体" w:eastAsia="黑体" w:cs="黑体"/>
          <w:color w:val="000000"/>
        </w:rPr>
        <w:t>-0</w:t>
      </w:r>
      <w:r>
        <w:rPr>
          <w:rFonts w:hint="eastAsia" w:ascii="黑体" w:hAnsi="黑体" w:eastAsia="黑体" w:cs="黑体"/>
          <w:color w:val="000000"/>
          <w:lang w:val="en-US" w:eastAsia="zh-CN"/>
        </w:rPr>
        <w:t>22</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bookmarkStart w:id="0" w:name="_GoBack"/>
      <w:bookmarkEnd w:id="0"/>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关于会计政策变更的公告</w:t>
      </w:r>
    </w:p>
    <w:p>
      <w:pPr>
        <w:adjustRightInd w:val="0"/>
        <w:snapToGrid w:val="0"/>
        <w:spacing w:line="500" w:lineRule="exact"/>
        <w:ind w:firstLine="720" w:firstLineChars="200"/>
        <w:outlineLvl w:val="0"/>
        <w:rPr>
          <w:b/>
          <w:bCs/>
          <w:color w:val="000000"/>
          <w:sz w:val="28"/>
        </w:rPr>
      </w:pPr>
      <w:r>
        <w:rPr>
          <w:rFonts w:ascii="黑体" w:eastAsia="黑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98425</wp:posOffset>
                </wp:positionV>
                <wp:extent cx="5372100" cy="980440"/>
                <wp:effectExtent l="10160" t="8255" r="8890"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8.25pt;margin-top:7.75pt;height:77.2pt;width:423pt;z-index:251659264;mso-width-relative:page;mso-height-relative:page;" fillcolor="#FFFFFF" filled="t" stroked="t" coordsize="21600,21600" o:gfxdata="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QXqL1QAAAAkBAAAPAAAAAAAAAAEAIAAAACIAAABkcnMvZG93bnJldi54bWxQSwEC&#10;FAAUAAAACACHTuJADYh2pTACAACGBAAADgAAAAAAAAABACAAAAAkAQAAZHJzL2Uyb0RvYy54bWxQ&#10;SwUGAAAAAAYABgBZAQAAxg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line="540" w:lineRule="exact"/>
        <w:ind w:firstLine="540"/>
        <w:rPr>
          <w:rFonts w:ascii="宋体" w:hAnsi="宋体"/>
          <w:b/>
          <w:color w:val="000000"/>
          <w:sz w:val="28"/>
          <w:szCs w:val="28"/>
        </w:rPr>
      </w:pPr>
      <w:r>
        <w:rPr>
          <w:rFonts w:hint="eastAsia" w:ascii="宋体" w:hAnsi="宋体"/>
          <w:b/>
          <w:color w:val="000000"/>
          <w:sz w:val="28"/>
          <w:szCs w:val="28"/>
        </w:rPr>
        <w:t>重要内容提示：</w:t>
      </w:r>
    </w:p>
    <w:p>
      <w:pPr>
        <w:pStyle w:val="36"/>
        <w:adjustRightInd w:val="0"/>
        <w:snapToGrid w:val="0"/>
        <w:spacing w:line="540" w:lineRule="exact"/>
        <w:ind w:firstLine="560"/>
        <w:rPr>
          <w:rFonts w:ascii="宋体" w:hAnsi="宋体"/>
          <w:color w:val="000000"/>
          <w:sz w:val="28"/>
          <w:szCs w:val="28"/>
        </w:rPr>
      </w:pPr>
      <w:r>
        <w:rPr>
          <w:rFonts w:hint="eastAsia" w:ascii="宋体" w:hAnsi="宋体"/>
          <w:color w:val="000000"/>
          <w:sz w:val="28"/>
          <w:szCs w:val="28"/>
        </w:rPr>
        <w:t xml:space="preserve">● 兖矿能源集团股份有限公司（“本公司”）及其子公司（合称“本集团”）根据中华人民共和国财政部（“财政部”）颁布的《关于印发&lt;企业会计准则解释第16号&gt;的通知》（财会〔2022〕31号）（“《企业会计准则解释第16号》”）中“关于单项交易产生的资产和负债相关的递延所得税不适用初始确认豁免的会计处理”的相关规定，对公司会计政策进行相应变更和调整（“本次会计政策变更”）。 </w:t>
      </w:r>
    </w:p>
    <w:p>
      <w:pPr>
        <w:adjustRightInd w:val="0"/>
        <w:snapToGrid w:val="0"/>
        <w:spacing w:line="540" w:lineRule="exact"/>
        <w:ind w:firstLine="539"/>
        <w:rPr>
          <w:rFonts w:hint="eastAsia" w:ascii="宋体" w:hAnsi="宋体"/>
          <w:color w:val="000000"/>
          <w:sz w:val="28"/>
          <w:szCs w:val="28"/>
        </w:rPr>
      </w:pPr>
      <w:r>
        <w:rPr>
          <w:rFonts w:hint="eastAsia" w:ascii="宋体" w:hAnsi="宋体"/>
          <w:color w:val="000000"/>
          <w:sz w:val="28"/>
          <w:szCs w:val="28"/>
        </w:rPr>
        <w:t>● 本次会计政策变更不会对本集团的财务状况、经营成果和现金流量产生重大影响。</w:t>
      </w:r>
    </w:p>
    <w:p>
      <w:pPr>
        <w:adjustRightInd w:val="0"/>
        <w:snapToGrid w:val="0"/>
        <w:spacing w:line="540" w:lineRule="exact"/>
        <w:ind w:firstLine="539"/>
        <w:rPr>
          <w:rFonts w:hint="eastAsia" w:ascii="宋体" w:hAnsi="宋体"/>
          <w:color w:val="000000"/>
          <w:sz w:val="28"/>
          <w:szCs w:val="28"/>
        </w:rPr>
      </w:pPr>
    </w:p>
    <w:p>
      <w:pPr>
        <w:adjustRightInd/>
        <w:snapToGrid/>
        <w:spacing w:line="540" w:lineRule="exact"/>
        <w:ind w:firstLine="560" w:firstLineChars="200"/>
        <w:rPr>
          <w:rFonts w:hint="eastAsia" w:ascii="黑体" w:hAnsi="黑体" w:eastAsia="黑体" w:cs="黑体"/>
          <w:bCs w:val="0"/>
          <w:color w:val="auto"/>
          <w:sz w:val="28"/>
          <w:szCs w:val="28"/>
        </w:rPr>
      </w:pPr>
      <w:r>
        <w:rPr>
          <w:rFonts w:hint="eastAsia" w:ascii="黑体" w:hAnsi="黑体" w:eastAsia="黑体" w:cs="黑体"/>
          <w:bCs w:val="0"/>
          <w:color w:val="auto"/>
          <w:sz w:val="28"/>
          <w:szCs w:val="28"/>
        </w:rPr>
        <w:t>一、本次会计政策变更概述</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2022年11月30日，财政部颁布《企业会计准则解释第16号》，规定了“关于单项交易产生的资产和负债相关的递延所得税不适用初始确认豁免的会计处理”的内容，本集团自2023年1月1日起执行《企业会计准则解释第16号》上述规定。</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公司本次会计政策的变更是根据财政部颁布的《企业会计准则解释第16号》而进行的相应变更，无需提交董事会和股东大会审议。</w:t>
      </w:r>
    </w:p>
    <w:p>
      <w:pPr>
        <w:spacing w:line="54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二、具体情况及对</w:t>
      </w:r>
      <w:r>
        <w:rPr>
          <w:rFonts w:hint="eastAsia" w:ascii="黑体" w:hAnsi="黑体" w:eastAsia="黑体" w:cs="黑体"/>
          <w:color w:val="auto"/>
          <w:sz w:val="28"/>
          <w:szCs w:val="28"/>
          <w:lang w:val="en-US" w:eastAsia="zh-CN"/>
        </w:rPr>
        <w:t>本集团</w:t>
      </w:r>
      <w:r>
        <w:rPr>
          <w:rFonts w:hint="eastAsia" w:ascii="黑体" w:hAnsi="黑体" w:eastAsia="黑体" w:cs="黑体"/>
          <w:color w:val="auto"/>
          <w:sz w:val="28"/>
          <w:szCs w:val="28"/>
        </w:rPr>
        <w:t>的影响</w:t>
      </w:r>
    </w:p>
    <w:p>
      <w:pPr>
        <w:autoSpaceDE/>
        <w:autoSpaceDN/>
        <w:adjustRightInd/>
        <w:spacing w:line="540" w:lineRule="exact"/>
        <w:ind w:firstLine="560" w:firstLineChars="200"/>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 xml:space="preserve">（一）本次会计政策变更的具体情况 </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本次会计政策变更前，本集团对租赁和弃置义务等相关单项交易产生的资产和负债相关的递延所得税适用《企业会计准则第18号——所得税》关于豁免初始确认的规定，不确认递延所得税负债和递延所得税资产。 </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2023年1月1日起，本集团执行《企业会计准则解释第16号》中“关于单项交易产生的资产和负债相关的递延所得税不适用初始确认豁免的会计处理”的规定，相关单项交易确认的资产和负债而产生的应纳税暂时性差异和可抵扣暂时性差异，根据《企业会计准则第18号——所得税》等有关规定，在交易发生时分别确认相应的递延所得税负债和递延所得税资产。同时，对在首次施行上述规定的财务报表列报最早期间的期初至施行日之间的相关单项交易进行追溯调整，将累积影响数调整财务报表列报最早期间的期初留存收益及其他相关财务报表项目。 </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除上述政策变更外，其他未变更部分，本集团仍按照财政部前期颁布的《企业会计准则—基本准则》和各项具体会计准则、企业会计准则应用指南、企业会计准则解释公告以及其他相关规定执行。</w:t>
      </w:r>
    </w:p>
    <w:p>
      <w:pPr>
        <w:autoSpaceDE/>
        <w:autoSpaceDN/>
        <w:adjustRightInd/>
        <w:spacing w:line="540" w:lineRule="exact"/>
        <w:ind w:firstLine="560" w:firstLineChars="200"/>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（二）本次会计政策变更对本</w:t>
      </w:r>
      <w:r>
        <w:rPr>
          <w:rFonts w:hint="eastAsia" w:ascii="楷体_GB2312" w:hAnsi="楷体_GB2312" w:eastAsia="楷体_GB2312" w:cs="楷体_GB2312"/>
          <w:b/>
          <w:bCs/>
          <w:color w:val="auto"/>
          <w:sz w:val="28"/>
          <w:szCs w:val="28"/>
          <w:lang w:val="en-US" w:eastAsia="zh-CN"/>
        </w:rPr>
        <w:t>集团</w:t>
      </w:r>
      <w:r>
        <w:rPr>
          <w:rFonts w:hint="eastAsia" w:ascii="楷体_GB2312" w:hAnsi="楷体_GB2312" w:eastAsia="楷体_GB2312" w:cs="楷体_GB2312"/>
          <w:b/>
          <w:bCs/>
          <w:color w:val="auto"/>
          <w:sz w:val="28"/>
          <w:szCs w:val="28"/>
        </w:rPr>
        <w:t xml:space="preserve">的影响 </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本次会计政策变更是根据财政部相关规定和要求进行的变更，符合相关法律法规的规定，执行变更后的会计政策能够客观、公允地反映本集团的财务状况和经营成果。本次会计政策变更不会对本集团的财务状况、经营成果和现金流量产生重大影响，不存在损害公司及股东利益的情况。</w:t>
      </w:r>
    </w:p>
    <w:p>
      <w:pPr>
        <w:spacing w:line="5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特此公告。</w:t>
      </w:r>
    </w:p>
    <w:p>
      <w:pPr>
        <w:spacing w:line="540" w:lineRule="exact"/>
        <w:ind w:firstLine="630"/>
        <w:rPr>
          <w:rFonts w:ascii="宋体" w:hAnsi="宋体"/>
          <w:color w:val="000000"/>
          <w:sz w:val="28"/>
          <w:szCs w:val="28"/>
        </w:rPr>
      </w:pPr>
    </w:p>
    <w:p>
      <w:pPr>
        <w:spacing w:line="540" w:lineRule="exact"/>
        <w:ind w:firstLine="630"/>
        <w:rPr>
          <w:rFonts w:ascii="宋体" w:hAnsi="宋体"/>
          <w:color w:val="000000"/>
          <w:sz w:val="28"/>
          <w:szCs w:val="28"/>
        </w:rPr>
      </w:pPr>
    </w:p>
    <w:p>
      <w:pPr>
        <w:adjustRightInd w:val="0"/>
        <w:snapToGrid w:val="0"/>
        <w:spacing w:line="540" w:lineRule="exact"/>
        <w:ind w:firstLine="4480" w:firstLineChars="1600"/>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line="540" w:lineRule="exact"/>
        <w:ind w:firstLine="5600" w:firstLineChars="2000"/>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rPr>
        <w:t>4年3月28日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4</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 w:name="KSO_WPS_MARK_KEY" w:val="43a14701-f02b-4d52-9e22-f30b6f29e892"/>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5E81"/>
    <w:rsid w:val="00026422"/>
    <w:rsid w:val="0002731B"/>
    <w:rsid w:val="000352B0"/>
    <w:rsid w:val="000370A7"/>
    <w:rsid w:val="00043543"/>
    <w:rsid w:val="00044496"/>
    <w:rsid w:val="0004674E"/>
    <w:rsid w:val="000476C8"/>
    <w:rsid w:val="00050B16"/>
    <w:rsid w:val="000511F3"/>
    <w:rsid w:val="000528FA"/>
    <w:rsid w:val="00052BBC"/>
    <w:rsid w:val="00056597"/>
    <w:rsid w:val="00056E40"/>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AB3"/>
    <w:rsid w:val="000A2DA2"/>
    <w:rsid w:val="000B320D"/>
    <w:rsid w:val="000B50E0"/>
    <w:rsid w:val="000C0D4B"/>
    <w:rsid w:val="000C27F6"/>
    <w:rsid w:val="000C429A"/>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67E07"/>
    <w:rsid w:val="001702E8"/>
    <w:rsid w:val="001710E6"/>
    <w:rsid w:val="001723C6"/>
    <w:rsid w:val="00172B92"/>
    <w:rsid w:val="001738A4"/>
    <w:rsid w:val="00174DB2"/>
    <w:rsid w:val="0017535D"/>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E5AE2"/>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1F21"/>
    <w:rsid w:val="00342EC4"/>
    <w:rsid w:val="003468C1"/>
    <w:rsid w:val="003475E3"/>
    <w:rsid w:val="003504E3"/>
    <w:rsid w:val="003517CB"/>
    <w:rsid w:val="00353B50"/>
    <w:rsid w:val="00354828"/>
    <w:rsid w:val="00356C7A"/>
    <w:rsid w:val="0036105B"/>
    <w:rsid w:val="00361481"/>
    <w:rsid w:val="00362AB2"/>
    <w:rsid w:val="00362B84"/>
    <w:rsid w:val="00365905"/>
    <w:rsid w:val="00367782"/>
    <w:rsid w:val="00370C02"/>
    <w:rsid w:val="0037169E"/>
    <w:rsid w:val="0037171C"/>
    <w:rsid w:val="003727D6"/>
    <w:rsid w:val="0037389C"/>
    <w:rsid w:val="00382979"/>
    <w:rsid w:val="003832E6"/>
    <w:rsid w:val="00383CEA"/>
    <w:rsid w:val="00386052"/>
    <w:rsid w:val="003866E8"/>
    <w:rsid w:val="00390DB7"/>
    <w:rsid w:val="0039344E"/>
    <w:rsid w:val="0039366A"/>
    <w:rsid w:val="003977B7"/>
    <w:rsid w:val="00397E1A"/>
    <w:rsid w:val="003A2833"/>
    <w:rsid w:val="003B226B"/>
    <w:rsid w:val="003B4E49"/>
    <w:rsid w:val="003B6E18"/>
    <w:rsid w:val="003C0976"/>
    <w:rsid w:val="003C2066"/>
    <w:rsid w:val="003C323D"/>
    <w:rsid w:val="003C5316"/>
    <w:rsid w:val="003D2F8D"/>
    <w:rsid w:val="003D41D0"/>
    <w:rsid w:val="003D4C2D"/>
    <w:rsid w:val="003D6483"/>
    <w:rsid w:val="003D69B9"/>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1198"/>
    <w:rsid w:val="00435781"/>
    <w:rsid w:val="0044668E"/>
    <w:rsid w:val="00450237"/>
    <w:rsid w:val="00450DA1"/>
    <w:rsid w:val="004547D2"/>
    <w:rsid w:val="00455889"/>
    <w:rsid w:val="00461A88"/>
    <w:rsid w:val="00464520"/>
    <w:rsid w:val="00467F4B"/>
    <w:rsid w:val="00470AE7"/>
    <w:rsid w:val="00470CA9"/>
    <w:rsid w:val="00471C27"/>
    <w:rsid w:val="00471FC9"/>
    <w:rsid w:val="00472A24"/>
    <w:rsid w:val="0047354B"/>
    <w:rsid w:val="004777C3"/>
    <w:rsid w:val="004803DD"/>
    <w:rsid w:val="00481DBE"/>
    <w:rsid w:val="00482903"/>
    <w:rsid w:val="00485459"/>
    <w:rsid w:val="00486F95"/>
    <w:rsid w:val="004935A1"/>
    <w:rsid w:val="004A278C"/>
    <w:rsid w:val="004A343E"/>
    <w:rsid w:val="004A41D3"/>
    <w:rsid w:val="004A51DC"/>
    <w:rsid w:val="004A6538"/>
    <w:rsid w:val="004A6667"/>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1B90"/>
    <w:rsid w:val="00582424"/>
    <w:rsid w:val="00582B21"/>
    <w:rsid w:val="0058649F"/>
    <w:rsid w:val="0059077E"/>
    <w:rsid w:val="00593418"/>
    <w:rsid w:val="00596403"/>
    <w:rsid w:val="00597142"/>
    <w:rsid w:val="005A0FE1"/>
    <w:rsid w:val="005A274A"/>
    <w:rsid w:val="005A4B7C"/>
    <w:rsid w:val="005B2665"/>
    <w:rsid w:val="005B5482"/>
    <w:rsid w:val="005B7EC3"/>
    <w:rsid w:val="005C147B"/>
    <w:rsid w:val="005C2F10"/>
    <w:rsid w:val="005C4795"/>
    <w:rsid w:val="005C5A2A"/>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1CAF"/>
    <w:rsid w:val="00695716"/>
    <w:rsid w:val="00696B88"/>
    <w:rsid w:val="00697447"/>
    <w:rsid w:val="006A1145"/>
    <w:rsid w:val="006A19E1"/>
    <w:rsid w:val="006A3B24"/>
    <w:rsid w:val="006B4BC2"/>
    <w:rsid w:val="006B5268"/>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05EE"/>
    <w:rsid w:val="00753D4A"/>
    <w:rsid w:val="007601CD"/>
    <w:rsid w:val="00763737"/>
    <w:rsid w:val="00764713"/>
    <w:rsid w:val="007647B9"/>
    <w:rsid w:val="00764BE2"/>
    <w:rsid w:val="00765FE5"/>
    <w:rsid w:val="00770663"/>
    <w:rsid w:val="0077592E"/>
    <w:rsid w:val="00777258"/>
    <w:rsid w:val="00777BD6"/>
    <w:rsid w:val="00777CCA"/>
    <w:rsid w:val="00784943"/>
    <w:rsid w:val="0078750B"/>
    <w:rsid w:val="00793A51"/>
    <w:rsid w:val="007944F2"/>
    <w:rsid w:val="00794620"/>
    <w:rsid w:val="00794C77"/>
    <w:rsid w:val="00795BF6"/>
    <w:rsid w:val="007A1165"/>
    <w:rsid w:val="007A2AC9"/>
    <w:rsid w:val="007A5ACB"/>
    <w:rsid w:val="007A5FC6"/>
    <w:rsid w:val="007A6B1B"/>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57BF"/>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57C4"/>
    <w:rsid w:val="00866FCA"/>
    <w:rsid w:val="00867617"/>
    <w:rsid w:val="00873477"/>
    <w:rsid w:val="00873EA2"/>
    <w:rsid w:val="00873F02"/>
    <w:rsid w:val="0087497B"/>
    <w:rsid w:val="008754C9"/>
    <w:rsid w:val="00877C86"/>
    <w:rsid w:val="00882E55"/>
    <w:rsid w:val="00883147"/>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3A2C"/>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1A2D"/>
    <w:rsid w:val="0090211E"/>
    <w:rsid w:val="0090511B"/>
    <w:rsid w:val="00906C92"/>
    <w:rsid w:val="00913BDF"/>
    <w:rsid w:val="009204E7"/>
    <w:rsid w:val="009210CF"/>
    <w:rsid w:val="00922772"/>
    <w:rsid w:val="00923ED4"/>
    <w:rsid w:val="00927C54"/>
    <w:rsid w:val="009307E8"/>
    <w:rsid w:val="00930BDD"/>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4D21"/>
    <w:rsid w:val="009C5C9F"/>
    <w:rsid w:val="009C6448"/>
    <w:rsid w:val="009C74B0"/>
    <w:rsid w:val="009D2963"/>
    <w:rsid w:val="009D2CCF"/>
    <w:rsid w:val="009D2E3A"/>
    <w:rsid w:val="009D2EF6"/>
    <w:rsid w:val="009D35C0"/>
    <w:rsid w:val="009D73F1"/>
    <w:rsid w:val="009D7E9A"/>
    <w:rsid w:val="009D7EA2"/>
    <w:rsid w:val="009E42CB"/>
    <w:rsid w:val="009E4682"/>
    <w:rsid w:val="009E4D5A"/>
    <w:rsid w:val="009E5693"/>
    <w:rsid w:val="009E7113"/>
    <w:rsid w:val="009E7CB4"/>
    <w:rsid w:val="009F07B8"/>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20D54"/>
    <w:rsid w:val="00A21321"/>
    <w:rsid w:val="00A213F4"/>
    <w:rsid w:val="00A23C91"/>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570C"/>
    <w:rsid w:val="00A77E6D"/>
    <w:rsid w:val="00A86A82"/>
    <w:rsid w:val="00A86DDD"/>
    <w:rsid w:val="00A8780A"/>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1C7B"/>
    <w:rsid w:val="00B42464"/>
    <w:rsid w:val="00B42D22"/>
    <w:rsid w:val="00B44564"/>
    <w:rsid w:val="00B51371"/>
    <w:rsid w:val="00B60411"/>
    <w:rsid w:val="00B60906"/>
    <w:rsid w:val="00B63297"/>
    <w:rsid w:val="00B63472"/>
    <w:rsid w:val="00B7141E"/>
    <w:rsid w:val="00B73D7D"/>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5634"/>
    <w:rsid w:val="00C05DEC"/>
    <w:rsid w:val="00C07942"/>
    <w:rsid w:val="00C07CAB"/>
    <w:rsid w:val="00C1004E"/>
    <w:rsid w:val="00C10305"/>
    <w:rsid w:val="00C13779"/>
    <w:rsid w:val="00C14E3C"/>
    <w:rsid w:val="00C16ECD"/>
    <w:rsid w:val="00C1713D"/>
    <w:rsid w:val="00C236B2"/>
    <w:rsid w:val="00C268EA"/>
    <w:rsid w:val="00C27170"/>
    <w:rsid w:val="00C30320"/>
    <w:rsid w:val="00C346EF"/>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3412"/>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E521A"/>
    <w:rsid w:val="00CF0CDB"/>
    <w:rsid w:val="00CF31FF"/>
    <w:rsid w:val="00CF594C"/>
    <w:rsid w:val="00CF770E"/>
    <w:rsid w:val="00D0544D"/>
    <w:rsid w:val="00D061EF"/>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D7B3D"/>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75A9"/>
    <w:rsid w:val="00E41C44"/>
    <w:rsid w:val="00E45BB3"/>
    <w:rsid w:val="00E5124D"/>
    <w:rsid w:val="00E51F9A"/>
    <w:rsid w:val="00E520CE"/>
    <w:rsid w:val="00E52A71"/>
    <w:rsid w:val="00E55F70"/>
    <w:rsid w:val="00E57253"/>
    <w:rsid w:val="00E5771C"/>
    <w:rsid w:val="00E578B9"/>
    <w:rsid w:val="00E60BA0"/>
    <w:rsid w:val="00E6217F"/>
    <w:rsid w:val="00E63007"/>
    <w:rsid w:val="00E63088"/>
    <w:rsid w:val="00E63D89"/>
    <w:rsid w:val="00E649AD"/>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3A54"/>
    <w:rsid w:val="00F2524B"/>
    <w:rsid w:val="00F259FF"/>
    <w:rsid w:val="00F260E9"/>
    <w:rsid w:val="00F2675B"/>
    <w:rsid w:val="00F313B8"/>
    <w:rsid w:val="00F3237F"/>
    <w:rsid w:val="00F32597"/>
    <w:rsid w:val="00F3646B"/>
    <w:rsid w:val="00F42221"/>
    <w:rsid w:val="00F43DDB"/>
    <w:rsid w:val="00F44480"/>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0A78AE"/>
    <w:rsid w:val="021D4C24"/>
    <w:rsid w:val="03C2777E"/>
    <w:rsid w:val="03E01ABB"/>
    <w:rsid w:val="065310FB"/>
    <w:rsid w:val="0D786450"/>
    <w:rsid w:val="0F4A3B35"/>
    <w:rsid w:val="1130228A"/>
    <w:rsid w:val="176470DA"/>
    <w:rsid w:val="182D487C"/>
    <w:rsid w:val="184A141D"/>
    <w:rsid w:val="18515C19"/>
    <w:rsid w:val="186A0E25"/>
    <w:rsid w:val="1A2A65EF"/>
    <w:rsid w:val="22890DBA"/>
    <w:rsid w:val="234A2E0A"/>
    <w:rsid w:val="2BF632BA"/>
    <w:rsid w:val="2D5E4D30"/>
    <w:rsid w:val="3546393E"/>
    <w:rsid w:val="35E2439F"/>
    <w:rsid w:val="36DE740B"/>
    <w:rsid w:val="3A472CC1"/>
    <w:rsid w:val="3CDA16AD"/>
    <w:rsid w:val="48760991"/>
    <w:rsid w:val="48947988"/>
    <w:rsid w:val="4C1F276D"/>
    <w:rsid w:val="50F477D1"/>
    <w:rsid w:val="553A75EB"/>
    <w:rsid w:val="57B80539"/>
    <w:rsid w:val="59487FE2"/>
    <w:rsid w:val="5AA24BA8"/>
    <w:rsid w:val="5C64411C"/>
    <w:rsid w:val="5D5D3774"/>
    <w:rsid w:val="5DE007BC"/>
    <w:rsid w:val="6633166E"/>
    <w:rsid w:val="69A77D86"/>
    <w:rsid w:val="6D4929AE"/>
    <w:rsid w:val="6E894E9E"/>
    <w:rsid w:val="75CD7A22"/>
    <w:rsid w:val="76FF13B0"/>
    <w:rsid w:val="787F1C42"/>
    <w:rsid w:val="7B2A76F2"/>
    <w:rsid w:val="7FB42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9">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30"/>
    <w:semiHidden/>
    <w:qFormat/>
    <w:uiPriority w:val="99"/>
    <w:pPr>
      <w:jc w:val="left"/>
    </w:pPr>
  </w:style>
  <w:style w:type="paragraph" w:styleId="4">
    <w:name w:val="Body Text"/>
    <w:basedOn w:val="1"/>
    <w:next w:val="5"/>
    <w:qFormat/>
    <w:uiPriority w:val="0"/>
    <w:pPr>
      <w:spacing w:after="120"/>
    </w:pPr>
  </w:style>
  <w:style w:type="paragraph" w:customStyle="1" w:styleId="5">
    <w:name w:val="Date1"/>
    <w:basedOn w:val="1"/>
    <w:next w:val="1"/>
    <w:qFormat/>
    <w:uiPriority w:val="0"/>
  </w:style>
  <w:style w:type="paragraph" w:styleId="6">
    <w:name w:val="Body Text Indent"/>
    <w:basedOn w:val="1"/>
    <w:qFormat/>
    <w:uiPriority w:val="0"/>
    <w:pPr>
      <w:spacing w:line="480" w:lineRule="exact"/>
      <w:ind w:firstLine="560"/>
    </w:pPr>
    <w:rPr>
      <w:rFonts w:ascii="宋体" w:hAnsi="宋体"/>
    </w:rPr>
  </w:style>
  <w:style w:type="paragraph" w:styleId="7">
    <w:name w:val="Plain Text"/>
    <w:basedOn w:val="1"/>
    <w:qFormat/>
    <w:uiPriority w:val="0"/>
    <w:rPr>
      <w:rFonts w:ascii="宋体" w:hAnsi="Courier New"/>
    </w:rPr>
  </w:style>
  <w:style w:type="paragraph" w:styleId="8">
    <w:name w:val="Date"/>
    <w:basedOn w:val="1"/>
    <w:next w:val="1"/>
    <w:link w:val="31"/>
    <w:qFormat/>
    <w:uiPriority w:val="0"/>
    <w:rPr>
      <w:sz w:val="24"/>
    </w:rPr>
  </w:style>
  <w:style w:type="paragraph" w:styleId="9">
    <w:name w:val="Body Text Indent 2"/>
    <w:basedOn w:val="1"/>
    <w:qFormat/>
    <w:uiPriority w:val="0"/>
    <w:pPr>
      <w:ind w:firstLine="539"/>
    </w:pPr>
    <w:rPr>
      <w:color w:val="FF000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440" w:lineRule="exact"/>
      <w:ind w:firstLine="480"/>
    </w:pPr>
    <w:rPr>
      <w:rFonts w:ascii="宋体" w:hAnsi="宋体"/>
      <w:sz w:val="24"/>
    </w:rPr>
  </w:style>
  <w:style w:type="paragraph" w:styleId="14">
    <w:name w:val="index 1"/>
    <w:basedOn w:val="1"/>
    <w:next w:val="1"/>
    <w:qFormat/>
    <w:uiPriority w:val="0"/>
    <w:rPr>
      <w:rFonts w:eastAsia="楷体_GB2312"/>
      <w:sz w:val="28"/>
      <w:szCs w:val="24"/>
    </w:rPr>
  </w:style>
  <w:style w:type="paragraph" w:styleId="15">
    <w:name w:val="annotation subject"/>
    <w:basedOn w:val="3"/>
    <w:next w:val="3"/>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Colorful 2"/>
    <w:basedOn w:val="16"/>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semiHidden/>
    <w:qFormat/>
    <w:uiPriority w:val="0"/>
    <w:rPr>
      <w:sz w:val="21"/>
      <w:szCs w:val="21"/>
    </w:rPr>
  </w:style>
  <w:style w:type="paragraph" w:customStyle="1" w:styleId="24">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5">
    <w:name w:val="默认段落字体 Para Char Char Char Char Char Char Char"/>
    <w:basedOn w:val="1"/>
    <w:qFormat/>
    <w:uiPriority w:val="0"/>
    <w:rPr>
      <w:rFonts w:ascii="Tahoma" w:hAnsi="Tahoma"/>
      <w:sz w:val="24"/>
    </w:rPr>
  </w:style>
  <w:style w:type="paragraph" w:customStyle="1" w:styleId="26">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9">
    <w:name w:val="页眉 字符"/>
    <w:link w:val="12"/>
    <w:qFormat/>
    <w:uiPriority w:val="0"/>
    <w:rPr>
      <w:kern w:val="2"/>
      <w:sz w:val="18"/>
      <w:szCs w:val="18"/>
    </w:rPr>
  </w:style>
  <w:style w:type="character" w:customStyle="1" w:styleId="30">
    <w:name w:val="批注文字 字符"/>
    <w:link w:val="3"/>
    <w:semiHidden/>
    <w:qFormat/>
    <w:uiPriority w:val="99"/>
    <w:rPr>
      <w:kern w:val="2"/>
      <w:sz w:val="21"/>
    </w:rPr>
  </w:style>
  <w:style w:type="character" w:customStyle="1" w:styleId="31">
    <w:name w:val="日期 字符"/>
    <w:link w:val="8"/>
    <w:qFormat/>
    <w:uiPriority w:val="0"/>
    <w:rPr>
      <w:kern w:val="2"/>
      <w:sz w:val="24"/>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paragraph" w:styleId="33">
    <w:name w:val="List Paragraph"/>
    <w:basedOn w:val="1"/>
    <w:qFormat/>
    <w:uiPriority w:val="34"/>
    <w:pPr>
      <w:ind w:firstLine="420" w:firstLineChars="200"/>
    </w:pPr>
  </w:style>
  <w:style w:type="paragraph" w:customStyle="1" w:styleId="34">
    <w:name w:val="修订2"/>
    <w:hidden/>
    <w:semiHidden/>
    <w:qFormat/>
    <w:uiPriority w:val="99"/>
    <w:rPr>
      <w:rFonts w:ascii="Times New Roman" w:hAnsi="Times New Roman" w:eastAsia="宋体" w:cs="Times New Roman"/>
      <w:kern w:val="2"/>
      <w:sz w:val="21"/>
      <w:lang w:val="en-US" w:eastAsia="zh-CN" w:bidi="ar-SA"/>
    </w:rPr>
  </w:style>
  <w:style w:type="paragraph" w:customStyle="1" w:styleId="3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36">
    <w:name w:val="列出段落1"/>
    <w:basedOn w:val="1"/>
    <w:qFormat/>
    <w:uiPriority w:val="34"/>
    <w:pPr>
      <w:ind w:firstLine="420" w:firstLineChars="200"/>
    </w:p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