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黑体" w:hAnsi="黑体" w:eastAsia="黑体"/>
          <w:color w:val="000000"/>
          <w:lang w:val="en-US" w:eastAsia="zh-CN"/>
        </w:rPr>
      </w:pPr>
      <w:r>
        <w:rPr>
          <w:rFonts w:ascii="黑体" w:hAnsi="黑体" w:eastAsia="黑体"/>
          <w:color w:val="000000"/>
        </w:rPr>
        <w:t>股票代码：600188            股票简称：</w:t>
      </w:r>
      <w:r>
        <w:rPr>
          <w:rFonts w:hint="eastAsia" w:ascii="黑体" w:hAnsi="黑体" w:eastAsia="黑体"/>
          <w:color w:val="000000"/>
        </w:rPr>
        <w:t>兖矿能源</w:t>
      </w:r>
      <w:r>
        <w:rPr>
          <w:rFonts w:ascii="黑体" w:hAnsi="黑体" w:eastAsia="黑体"/>
          <w:color w:val="000000"/>
        </w:rPr>
        <w:t xml:space="preserve">            编号：临202</w:t>
      </w:r>
      <w:r>
        <w:rPr>
          <w:rFonts w:hint="eastAsia" w:ascii="黑体" w:hAnsi="黑体" w:eastAsia="黑体"/>
          <w:color w:val="000000"/>
        </w:rPr>
        <w:t>4</w:t>
      </w:r>
      <w:r>
        <w:rPr>
          <w:rFonts w:ascii="黑体" w:hAnsi="黑体" w:eastAsia="黑体"/>
          <w:color w:val="000000"/>
        </w:rPr>
        <w:t>-</w:t>
      </w:r>
      <w:r>
        <w:rPr>
          <w:rFonts w:hint="eastAsia" w:ascii="黑体" w:hAnsi="黑体" w:eastAsia="黑体"/>
          <w:color w:val="000000"/>
          <w:lang w:val="en-US" w:eastAsia="zh-CN"/>
        </w:rPr>
        <w:t>019</w:t>
      </w:r>
      <w:bookmarkStart w:id="1" w:name="_GoBack"/>
      <w:bookmarkEnd w:id="1"/>
    </w:p>
    <w:p>
      <w:pPr>
        <w:spacing w:line="500" w:lineRule="exact"/>
        <w:jc w:val="center"/>
        <w:rPr>
          <w:rFonts w:eastAsia="黑体"/>
          <w:color w:val="000000"/>
        </w:rPr>
      </w:pPr>
    </w:p>
    <w:p>
      <w:pPr>
        <w:spacing w:line="500" w:lineRule="exact"/>
        <w:jc w:val="center"/>
        <w:rPr>
          <w:rFonts w:ascii="黑体" w:eastAsia="黑体"/>
          <w:b/>
          <w:bCs/>
          <w:color w:val="FF0000"/>
          <w:sz w:val="36"/>
          <w:szCs w:val="36"/>
        </w:rPr>
      </w:pPr>
      <w:r>
        <w:rPr>
          <w:rFonts w:hint="eastAsia" w:ascii="黑体" w:eastAsia="黑体"/>
          <w:b/>
          <w:bCs/>
          <w:color w:val="FF0000"/>
          <w:sz w:val="36"/>
          <w:szCs w:val="36"/>
        </w:rPr>
        <w:t>兖矿能源集团</w:t>
      </w:r>
      <w:r>
        <w:rPr>
          <w:rFonts w:ascii="黑体" w:eastAsia="黑体"/>
          <w:b/>
          <w:bCs/>
          <w:color w:val="FF0000"/>
          <w:sz w:val="36"/>
          <w:szCs w:val="36"/>
        </w:rPr>
        <w:t>股份有限公司</w:t>
      </w:r>
    </w:p>
    <w:p>
      <w:pPr>
        <w:spacing w:line="500" w:lineRule="exact"/>
        <w:jc w:val="center"/>
        <w:rPr>
          <w:rFonts w:ascii="黑体" w:eastAsia="黑体"/>
          <w:b/>
          <w:bCs/>
          <w:color w:val="FF0000"/>
          <w:sz w:val="36"/>
          <w:szCs w:val="36"/>
        </w:rPr>
      </w:pPr>
      <w:r>
        <w:rPr>
          <w:rFonts w:hint="eastAsia" w:ascii="黑体" w:eastAsia="黑体"/>
          <w:b/>
          <w:bCs/>
          <w:color w:val="FF0000"/>
          <w:sz w:val="36"/>
          <w:szCs w:val="36"/>
        </w:rPr>
        <w:t>关于向子公司提供融资担保和授权兖煤澳洲及其子公司向兖矿能源澳洲附属公司提供日常经营担保的</w:t>
      </w:r>
    </w:p>
    <w:p>
      <w:pPr>
        <w:spacing w:line="500" w:lineRule="exact"/>
        <w:jc w:val="center"/>
        <w:rPr>
          <w:b/>
          <w:bCs/>
          <w:color w:val="000000"/>
          <w:sz w:val="32"/>
        </w:rPr>
      </w:pPr>
      <w:r>
        <w:rPr>
          <w:rFonts w:hint="eastAsia" w:ascii="黑体" w:eastAsia="黑体"/>
          <w:b/>
          <w:bCs/>
          <w:color w:val="FF0000"/>
          <w:sz w:val="36"/>
          <w:szCs w:val="36"/>
        </w:rPr>
        <w:t>公  告</w:t>
      </w:r>
    </w:p>
    <w:p>
      <w:pPr>
        <w:spacing w:line="560" w:lineRule="exact"/>
        <w:jc w:val="center"/>
        <w:rPr>
          <w:b/>
          <w:bCs/>
          <w:color w:val="000000"/>
          <w:sz w:val="28"/>
        </w:rPr>
      </w:pPr>
      <w:r>
        <w:rPr>
          <w:b/>
          <w:bCs/>
          <w:color w:val="000000"/>
          <w:sz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330200</wp:posOffset>
                </wp:positionV>
                <wp:extent cx="5372100" cy="980440"/>
                <wp:effectExtent l="8255" t="13335" r="10795" b="635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72100" cy="980440"/>
                        </a:xfrm>
                        <a:prstGeom prst="rect">
                          <a:avLst/>
                        </a:prstGeom>
                        <a:solidFill>
                          <a:srgbClr val="FFFFFF"/>
                        </a:solidFill>
                        <a:ln w="9525">
                          <a:solidFill>
                            <a:srgbClr val="000000"/>
                          </a:solidFill>
                          <a:miter lim="800000"/>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9pt;margin-top:26pt;height:77.2pt;width:423pt;z-index:251659264;mso-width-relative:page;mso-height-relative:page;" fillcolor="#FFFFFF" filled="t" stroked="t" coordsize="21600,21600" o:gfxdata="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tIEVPXAAAACQEAAA8AAAAAAAAAAQAgAAAAIgAAAGRycy9kb3ducmV2LnhtbFBL&#10;AQIUABQAAAAIAIdO4kANiHalMAIAAIYEAAAOAAAAAAAAAAEAIAAAACYBAABkcnMvZTJvRG9jLnht&#10;bFBLBQYAAAAABgAGAFkBAADIBQAAAAA=&#10;">
                <v:fill on="t" focussize="0,0"/>
                <v:stroke color="#000000" miterlimit="8"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pPr>
        <w:adjustRightInd w:val="0"/>
        <w:snapToGrid w:val="0"/>
        <w:spacing w:line="500" w:lineRule="exact"/>
        <w:ind w:firstLine="562" w:firstLineChars="200"/>
        <w:outlineLvl w:val="0"/>
        <w:rPr>
          <w:b/>
          <w:bCs/>
          <w:color w:val="000000"/>
          <w:sz w:val="28"/>
        </w:rPr>
      </w:pPr>
    </w:p>
    <w:p>
      <w:pPr>
        <w:adjustRightInd w:val="0"/>
        <w:snapToGrid w:val="0"/>
        <w:spacing w:line="500" w:lineRule="exact"/>
        <w:ind w:firstLine="562" w:firstLineChars="200"/>
        <w:outlineLvl w:val="0"/>
        <w:rPr>
          <w:b/>
          <w:bCs/>
          <w:color w:val="000000"/>
          <w:sz w:val="28"/>
        </w:rPr>
      </w:pPr>
    </w:p>
    <w:p>
      <w:pPr>
        <w:adjustRightInd w:val="0"/>
        <w:snapToGrid w:val="0"/>
        <w:spacing w:line="500" w:lineRule="exact"/>
        <w:ind w:firstLine="562" w:firstLineChars="200"/>
        <w:outlineLvl w:val="0"/>
        <w:rPr>
          <w:b/>
          <w:bCs/>
          <w:color w:val="000000"/>
          <w:sz w:val="28"/>
        </w:rPr>
      </w:pPr>
    </w:p>
    <w:p>
      <w:pPr>
        <w:adjustRightInd w:val="0"/>
        <w:snapToGrid w:val="0"/>
        <w:spacing w:line="480" w:lineRule="exact"/>
        <w:ind w:firstLine="540"/>
        <w:rPr>
          <w:rFonts w:ascii="宋体" w:hAnsi="宋体"/>
          <w:b/>
          <w:color w:val="000000"/>
          <w:sz w:val="28"/>
        </w:rPr>
      </w:pPr>
    </w:p>
    <w:p>
      <w:pPr>
        <w:adjustRightInd w:val="0"/>
        <w:snapToGrid w:val="0"/>
        <w:spacing w:line="520" w:lineRule="exact"/>
        <w:ind w:firstLine="540"/>
        <w:rPr>
          <w:rFonts w:ascii="宋体" w:hAnsi="宋体"/>
          <w:b/>
          <w:color w:val="000000"/>
          <w:sz w:val="28"/>
          <w:szCs w:val="28"/>
        </w:rPr>
      </w:pPr>
      <w:r>
        <w:rPr>
          <w:rFonts w:hint="eastAsia" w:ascii="宋体" w:hAnsi="宋体"/>
          <w:b/>
          <w:color w:val="000000"/>
          <w:sz w:val="28"/>
          <w:szCs w:val="28"/>
        </w:rPr>
        <w:t>重要内容提示：</w:t>
      </w:r>
    </w:p>
    <w:p>
      <w:pPr>
        <w:numPr>
          <w:ilvl w:val="0"/>
          <w:numId w:val="1"/>
        </w:numPr>
        <w:adjustRightInd w:val="0"/>
        <w:snapToGrid w:val="0"/>
        <w:spacing w:line="520" w:lineRule="exact"/>
        <w:rPr>
          <w:rFonts w:ascii="宋体" w:hAnsi="宋体"/>
          <w:b/>
          <w:color w:val="000000"/>
          <w:sz w:val="28"/>
          <w:szCs w:val="28"/>
        </w:rPr>
      </w:pPr>
      <w:r>
        <w:rPr>
          <w:rFonts w:hint="eastAsia" w:ascii="宋体" w:hAnsi="宋体"/>
          <w:b/>
          <w:color w:val="000000"/>
          <w:sz w:val="28"/>
          <w:szCs w:val="28"/>
        </w:rPr>
        <w:t>本次担保情况及被担保人名称：</w:t>
      </w:r>
    </w:p>
    <w:p>
      <w:pPr>
        <w:numPr>
          <w:ilvl w:val="0"/>
          <w:numId w:val="2"/>
        </w:numPr>
        <w:adjustRightInd w:val="0"/>
        <w:snapToGrid w:val="0"/>
        <w:spacing w:line="520" w:lineRule="exact"/>
        <w:ind w:left="851"/>
        <w:rPr>
          <w:rFonts w:ascii="宋体" w:hAnsi="宋体"/>
          <w:color w:val="000000"/>
          <w:sz w:val="28"/>
          <w:szCs w:val="28"/>
        </w:rPr>
      </w:pPr>
      <w:r>
        <w:rPr>
          <w:rFonts w:hint="eastAsia" w:ascii="宋体" w:hAnsi="宋体"/>
          <w:color w:val="000000"/>
          <w:sz w:val="28"/>
          <w:szCs w:val="28"/>
        </w:rPr>
        <w:t>授权兖矿能源集团股份有限公司（“兖矿能源”“公司”）及其控股公司，向兖矿能源控股公司及参股公司（以下合称“子公司”）提供总额不超过等值50亿美元的融资担保。其中为资产负债率70%以上的被担保对象提供</w:t>
      </w:r>
      <w:r>
        <w:rPr>
          <w:rFonts w:hint="eastAsia" w:ascii="宋体" w:hAnsi="宋体" w:cs="宋体"/>
          <w:color w:val="000000"/>
          <w:sz w:val="28"/>
          <w:szCs w:val="28"/>
          <w:lang w:val="en-US" w:eastAsia="zh-CN"/>
        </w:rPr>
        <w:t>30</w:t>
      </w:r>
      <w:r>
        <w:rPr>
          <w:rFonts w:hint="eastAsia" w:ascii="宋体" w:hAnsi="宋体"/>
          <w:color w:val="000000"/>
          <w:sz w:val="28"/>
          <w:szCs w:val="28"/>
        </w:rPr>
        <w:t>亿美元担保，为资产负债率70%以下的被担保对象提供</w:t>
      </w:r>
      <w:r>
        <w:rPr>
          <w:rFonts w:hint="eastAsia" w:ascii="宋体" w:hAnsi="宋体" w:cs="宋体"/>
          <w:color w:val="000000"/>
          <w:sz w:val="28"/>
          <w:szCs w:val="28"/>
          <w:lang w:val="en-US" w:eastAsia="zh-CN"/>
        </w:rPr>
        <w:t>20</w:t>
      </w:r>
      <w:r>
        <w:rPr>
          <w:rFonts w:hint="eastAsia" w:ascii="宋体" w:hAnsi="宋体"/>
          <w:color w:val="000000"/>
          <w:sz w:val="28"/>
          <w:szCs w:val="28"/>
        </w:rPr>
        <w:t>亿美元担保。</w:t>
      </w:r>
    </w:p>
    <w:p>
      <w:pPr>
        <w:numPr>
          <w:ilvl w:val="0"/>
          <w:numId w:val="2"/>
        </w:numPr>
        <w:adjustRightInd w:val="0"/>
        <w:snapToGrid w:val="0"/>
        <w:spacing w:line="520" w:lineRule="exact"/>
        <w:ind w:left="851"/>
        <w:rPr>
          <w:rFonts w:ascii="宋体" w:hAnsi="宋体"/>
          <w:b/>
          <w:color w:val="000000"/>
          <w:sz w:val="28"/>
          <w:szCs w:val="28"/>
        </w:rPr>
      </w:pPr>
      <w:r>
        <w:rPr>
          <w:rFonts w:hint="eastAsia" w:ascii="宋体" w:hAnsi="宋体"/>
          <w:color w:val="000000"/>
          <w:sz w:val="28"/>
          <w:szCs w:val="28"/>
        </w:rPr>
        <w:t>授权兖煤澳大利亚有限公司（“兖煤澳洲”）及其控股公司，向兖矿能源澳洲附属公司提供总额不超过</w:t>
      </w:r>
      <w:r>
        <w:rPr>
          <w:rFonts w:hint="eastAsia" w:ascii="宋体" w:hAnsi="宋体"/>
          <w:color w:val="000000"/>
          <w:sz w:val="28"/>
          <w:szCs w:val="28"/>
          <w:lang w:val="en-US" w:eastAsia="zh-CN"/>
        </w:rPr>
        <w:t>15</w:t>
      </w:r>
      <w:r>
        <w:rPr>
          <w:rFonts w:hint="eastAsia" w:ascii="宋体" w:hAnsi="宋体"/>
          <w:color w:val="000000"/>
          <w:sz w:val="28"/>
          <w:szCs w:val="28"/>
        </w:rPr>
        <w:t>亿澳元的日常经营担保。其中为资产负债率70%以上的被担保对象提供</w:t>
      </w:r>
      <w:r>
        <w:rPr>
          <w:rFonts w:hint="eastAsia" w:ascii="宋体" w:hAnsi="宋体" w:cs="宋体"/>
          <w:color w:val="000000"/>
          <w:sz w:val="28"/>
          <w:szCs w:val="28"/>
          <w:lang w:val="en-US" w:eastAsia="zh-CN"/>
        </w:rPr>
        <w:t>3</w:t>
      </w:r>
      <w:r>
        <w:rPr>
          <w:rFonts w:hint="eastAsia" w:ascii="宋体" w:hAnsi="宋体"/>
          <w:color w:val="000000"/>
          <w:sz w:val="28"/>
          <w:szCs w:val="28"/>
        </w:rPr>
        <w:t>亿澳元担保，为资产负债率70%以下的被担保对象提供</w:t>
      </w:r>
      <w:r>
        <w:rPr>
          <w:rFonts w:hint="eastAsia" w:ascii="宋体" w:hAnsi="宋体" w:cs="宋体"/>
          <w:color w:val="000000"/>
          <w:sz w:val="28"/>
          <w:szCs w:val="28"/>
          <w:lang w:val="en-US" w:eastAsia="zh-CN"/>
        </w:rPr>
        <w:t>12</w:t>
      </w:r>
      <w:r>
        <w:rPr>
          <w:rFonts w:hint="eastAsia" w:ascii="宋体" w:hAnsi="宋体"/>
          <w:color w:val="000000"/>
          <w:sz w:val="28"/>
          <w:szCs w:val="28"/>
        </w:rPr>
        <w:t>亿澳元担保。</w:t>
      </w:r>
    </w:p>
    <w:p>
      <w:pPr>
        <w:numPr>
          <w:ilvl w:val="0"/>
          <w:numId w:val="1"/>
        </w:numPr>
        <w:adjustRightInd w:val="0"/>
        <w:snapToGrid w:val="0"/>
        <w:spacing w:line="520" w:lineRule="exact"/>
        <w:rPr>
          <w:rFonts w:ascii="宋体" w:hAnsi="宋体"/>
          <w:b/>
          <w:color w:val="000000"/>
          <w:sz w:val="28"/>
          <w:szCs w:val="28"/>
        </w:rPr>
      </w:pPr>
      <w:r>
        <w:rPr>
          <w:rFonts w:hint="eastAsia" w:ascii="宋体" w:hAnsi="宋体"/>
          <w:b/>
          <w:color w:val="000000"/>
          <w:sz w:val="28"/>
          <w:szCs w:val="28"/>
        </w:rPr>
        <w:t>为被担保人担保情况：</w:t>
      </w:r>
    </w:p>
    <w:p>
      <w:pPr>
        <w:adjustRightInd w:val="0"/>
        <w:snapToGrid w:val="0"/>
        <w:spacing w:line="520" w:lineRule="exact"/>
        <w:ind w:left="960"/>
        <w:rPr>
          <w:rFonts w:ascii="宋体" w:hAnsi="宋体"/>
          <w:b/>
          <w:color w:val="000000"/>
          <w:sz w:val="28"/>
          <w:szCs w:val="28"/>
        </w:rPr>
      </w:pPr>
      <w:r>
        <w:rPr>
          <w:rFonts w:hint="eastAsia" w:ascii="宋体" w:hAnsi="宋体"/>
          <w:color w:val="000000"/>
          <w:sz w:val="28"/>
          <w:szCs w:val="28"/>
        </w:rPr>
        <w:t>截至2023年12月31日，公司累计对外担保余额为人民币</w:t>
      </w:r>
      <w:r>
        <w:rPr>
          <w:rFonts w:hint="eastAsia" w:ascii="宋体" w:hAnsi="宋体" w:cs="宋体"/>
          <w:color w:val="000000"/>
          <w:sz w:val="28"/>
          <w:szCs w:val="28"/>
          <w:lang w:val="en-US" w:eastAsia="zh-CN"/>
        </w:rPr>
        <w:t>178.71</w:t>
      </w:r>
      <w:r>
        <w:rPr>
          <w:rFonts w:hint="eastAsia" w:ascii="宋体" w:hAnsi="宋体"/>
          <w:color w:val="000000"/>
          <w:sz w:val="28"/>
          <w:szCs w:val="28"/>
        </w:rPr>
        <w:t>亿元。</w:t>
      </w:r>
    </w:p>
    <w:p>
      <w:pPr>
        <w:numPr>
          <w:ilvl w:val="0"/>
          <w:numId w:val="1"/>
        </w:numPr>
        <w:adjustRightInd w:val="0"/>
        <w:snapToGrid w:val="0"/>
        <w:spacing w:line="520" w:lineRule="exact"/>
        <w:ind w:left="567" w:firstLine="0"/>
        <w:rPr>
          <w:rFonts w:ascii="宋体" w:hAnsi="宋体"/>
          <w:b/>
          <w:color w:val="000000"/>
          <w:sz w:val="28"/>
          <w:szCs w:val="28"/>
        </w:rPr>
      </w:pPr>
      <w:r>
        <w:rPr>
          <w:rFonts w:hint="eastAsia" w:ascii="宋体" w:hAnsi="宋体"/>
          <w:b/>
          <w:color w:val="000000"/>
          <w:sz w:val="28"/>
          <w:szCs w:val="28"/>
        </w:rPr>
        <w:t>公司无逾期对外担保</w:t>
      </w:r>
    </w:p>
    <w:p>
      <w:pPr>
        <w:numPr>
          <w:ilvl w:val="0"/>
          <w:numId w:val="1"/>
        </w:numPr>
        <w:adjustRightInd w:val="0"/>
        <w:snapToGrid w:val="0"/>
        <w:spacing w:line="520" w:lineRule="exact"/>
        <w:ind w:left="567" w:firstLine="0"/>
        <w:rPr>
          <w:rFonts w:ascii="宋体" w:hAnsi="宋体"/>
          <w:b/>
          <w:color w:val="000000"/>
          <w:sz w:val="28"/>
          <w:szCs w:val="28"/>
        </w:rPr>
      </w:pPr>
      <w:r>
        <w:rPr>
          <w:rFonts w:hint="eastAsia" w:ascii="宋体" w:hAnsi="宋体"/>
          <w:b/>
          <w:color w:val="000000"/>
          <w:sz w:val="28"/>
          <w:szCs w:val="28"/>
        </w:rPr>
        <w:t>本次授权事项需提交股东大会审议批准</w:t>
      </w:r>
    </w:p>
    <w:p>
      <w:pPr>
        <w:adjustRightInd w:val="0"/>
        <w:snapToGrid w:val="0"/>
        <w:spacing w:line="520" w:lineRule="exact"/>
        <w:ind w:firstLine="539"/>
        <w:rPr>
          <w:rFonts w:ascii="宋体" w:hAnsi="宋体"/>
          <w:color w:val="000000"/>
          <w:sz w:val="28"/>
          <w:szCs w:val="28"/>
        </w:rPr>
      </w:pPr>
    </w:p>
    <w:p>
      <w:pPr>
        <w:adjustRightInd w:val="0"/>
        <w:snapToGrid w:val="0"/>
        <w:spacing w:line="520" w:lineRule="exact"/>
        <w:ind w:firstLine="53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一、本次授权担保情况概述</w:t>
      </w:r>
    </w:p>
    <w:p>
      <w:pPr>
        <w:adjustRightInd w:val="0"/>
        <w:snapToGrid w:val="0"/>
        <w:spacing w:line="520" w:lineRule="exact"/>
        <w:ind w:firstLine="539"/>
        <w:rPr>
          <w:rFonts w:ascii="宋体" w:hAnsi="宋体"/>
          <w:b/>
          <w:color w:val="000000"/>
          <w:sz w:val="28"/>
          <w:szCs w:val="28"/>
        </w:rPr>
      </w:pPr>
      <w:r>
        <w:rPr>
          <w:rFonts w:hint="eastAsia" w:ascii="宋体" w:hAnsi="宋体"/>
          <w:b/>
          <w:color w:val="000000"/>
          <w:sz w:val="28"/>
          <w:szCs w:val="28"/>
        </w:rPr>
        <w:t>（一）本次授权担保的基本情况</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1.为降低子公司融资成本，保障其日常经营资金需要，提请股东大会授权兖矿能源及其控股公司，向子公司提供总额不超过等值</w:t>
      </w:r>
      <w:r>
        <w:rPr>
          <w:rFonts w:ascii="宋体" w:hAnsi="宋体"/>
          <w:color w:val="000000"/>
          <w:sz w:val="28"/>
          <w:szCs w:val="28"/>
        </w:rPr>
        <w:t>5</w:t>
      </w:r>
      <w:r>
        <w:rPr>
          <w:rFonts w:hint="eastAsia" w:ascii="宋体" w:hAnsi="宋体"/>
          <w:color w:val="000000"/>
          <w:sz w:val="28"/>
          <w:szCs w:val="28"/>
        </w:rPr>
        <w:t>0亿美元的融资担保（公司向子公司提供担保应符合国资监管规定）</w:t>
      </w:r>
      <w:r>
        <w:rPr>
          <w:rFonts w:hint="eastAsia" w:ascii="宋体" w:hAnsi="宋体"/>
          <w:color w:val="000000"/>
          <w:sz w:val="28"/>
          <w:szCs w:val="28"/>
          <w:lang w:eastAsia="zh-CN"/>
        </w:rPr>
        <w:t>，</w:t>
      </w:r>
      <w:r>
        <w:rPr>
          <w:rFonts w:hint="eastAsia" w:ascii="宋体" w:hAnsi="宋体"/>
          <w:color w:val="000000"/>
          <w:sz w:val="28"/>
          <w:szCs w:val="28"/>
          <w:lang w:val="en-US" w:eastAsia="zh-CN"/>
        </w:rPr>
        <w:t>其中为资产负债率70%以上的被担保对象提供30亿美元担保，为资产负债率70%以下的被担保对象提供20亿美元担保。</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2.为满足兖矿能源澳洲附属公司正常运营所需，兖煤澳洲及其控股公司需要对兖矿能源澳洲附属公司日常经营事项提供总额不超过</w:t>
      </w:r>
      <w:r>
        <w:rPr>
          <w:rFonts w:hint="eastAsia" w:ascii="宋体" w:hAnsi="宋体" w:cs="宋体"/>
          <w:color w:val="000000"/>
          <w:sz w:val="28"/>
          <w:szCs w:val="28"/>
          <w:lang w:val="en-US" w:eastAsia="zh-CN"/>
        </w:rPr>
        <w:t>15</w:t>
      </w:r>
      <w:r>
        <w:rPr>
          <w:rFonts w:hint="eastAsia" w:ascii="宋体" w:hAnsi="宋体"/>
          <w:color w:val="000000"/>
          <w:sz w:val="28"/>
          <w:szCs w:val="28"/>
        </w:rPr>
        <w:t>亿澳元的担保</w:t>
      </w:r>
      <w:r>
        <w:rPr>
          <w:rFonts w:hint="eastAsia" w:ascii="宋体" w:hAnsi="宋体"/>
          <w:color w:val="000000"/>
          <w:sz w:val="28"/>
          <w:szCs w:val="28"/>
          <w:lang w:eastAsia="zh-CN"/>
        </w:rPr>
        <w:t>，</w:t>
      </w:r>
      <w:r>
        <w:rPr>
          <w:rFonts w:hint="eastAsia" w:ascii="宋体" w:hAnsi="宋体"/>
          <w:color w:val="000000"/>
          <w:sz w:val="28"/>
          <w:szCs w:val="28"/>
        </w:rPr>
        <w:t>其中为资产负债率70%以上的被担保对象提供</w:t>
      </w:r>
      <w:r>
        <w:rPr>
          <w:rFonts w:hint="eastAsia" w:ascii="宋体" w:hAnsi="宋体" w:cs="宋体"/>
          <w:color w:val="000000"/>
          <w:sz w:val="28"/>
          <w:szCs w:val="28"/>
          <w:lang w:val="en-US" w:eastAsia="zh-CN"/>
        </w:rPr>
        <w:t>3</w:t>
      </w:r>
      <w:r>
        <w:rPr>
          <w:rFonts w:hint="eastAsia" w:ascii="宋体" w:hAnsi="宋体"/>
          <w:color w:val="000000"/>
          <w:sz w:val="28"/>
          <w:szCs w:val="28"/>
        </w:rPr>
        <w:t>亿澳元担保，为资产负债率70%以下的被担保对象提供</w:t>
      </w:r>
      <w:r>
        <w:rPr>
          <w:rFonts w:hint="eastAsia" w:ascii="宋体" w:hAnsi="宋体" w:cs="宋体"/>
          <w:color w:val="000000"/>
          <w:sz w:val="28"/>
          <w:szCs w:val="28"/>
          <w:lang w:val="en-US" w:eastAsia="zh-CN"/>
        </w:rPr>
        <w:t>12</w:t>
      </w:r>
      <w:r>
        <w:rPr>
          <w:rFonts w:hint="eastAsia" w:ascii="宋体" w:hAnsi="宋体"/>
          <w:color w:val="000000"/>
          <w:sz w:val="28"/>
          <w:szCs w:val="28"/>
        </w:rPr>
        <w:t>亿澳元担保。根据澳大利亚经营性企业日常业务的通行惯例，在发生经营业务时，通常需要相关方对附属公司提供担保</w:t>
      </w:r>
      <w:r>
        <w:rPr>
          <w:rFonts w:hint="eastAsia" w:ascii="宋体" w:hAnsi="宋体"/>
          <w:color w:val="000000"/>
          <w:sz w:val="28"/>
          <w:szCs w:val="28"/>
          <w:lang w:eastAsia="zh-CN"/>
        </w:rPr>
        <w:t>。</w:t>
      </w:r>
      <w:r>
        <w:rPr>
          <w:rFonts w:hint="eastAsia" w:ascii="宋体" w:hAnsi="宋体"/>
          <w:color w:val="000000"/>
          <w:sz w:val="28"/>
          <w:szCs w:val="28"/>
        </w:rPr>
        <w:t>相关经营性担保</w:t>
      </w:r>
      <w:r>
        <w:rPr>
          <w:rFonts w:hint="eastAsia" w:ascii="宋体" w:hAnsi="宋体"/>
          <w:color w:val="000000"/>
          <w:sz w:val="28"/>
          <w:szCs w:val="28"/>
          <w:lang w:val="en-US" w:eastAsia="zh-CN"/>
        </w:rPr>
        <w:t>包括</w:t>
      </w:r>
      <w:r>
        <w:rPr>
          <w:rFonts w:hint="eastAsia" w:ascii="宋体" w:hAnsi="宋体"/>
          <w:color w:val="000000"/>
          <w:sz w:val="28"/>
          <w:szCs w:val="28"/>
        </w:rPr>
        <w:t>兖煤澳洲及其子公司向兖矿能源澳洲附属公司提供的担保行为,该等担保主要采用银行保函方式。</w:t>
      </w:r>
    </w:p>
    <w:p>
      <w:pPr>
        <w:adjustRightInd w:val="0"/>
        <w:snapToGrid w:val="0"/>
        <w:spacing w:line="520" w:lineRule="exact"/>
        <w:ind w:firstLine="539"/>
        <w:rPr>
          <w:rFonts w:ascii="宋体" w:hAnsi="宋体"/>
          <w:b/>
          <w:color w:val="000000"/>
          <w:sz w:val="28"/>
          <w:szCs w:val="28"/>
        </w:rPr>
      </w:pPr>
      <w:r>
        <w:rPr>
          <w:rFonts w:hint="eastAsia" w:ascii="宋体" w:hAnsi="宋体"/>
          <w:b/>
          <w:color w:val="000000"/>
          <w:sz w:val="28"/>
          <w:szCs w:val="28"/>
        </w:rPr>
        <w:t>（二）本次授权担保的具体事项</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1.批准兖矿能源及其控股公司向子公司提供不超过等值50亿美元的融资担保</w:t>
      </w:r>
      <w:r>
        <w:rPr>
          <w:rFonts w:hint="eastAsia" w:ascii="宋体" w:hAnsi="宋体"/>
          <w:color w:val="000000"/>
          <w:sz w:val="28"/>
          <w:szCs w:val="28"/>
          <w:lang w:eastAsia="zh-CN"/>
        </w:rPr>
        <w:t>，</w:t>
      </w:r>
      <w:r>
        <w:rPr>
          <w:rFonts w:hint="eastAsia" w:ascii="宋体" w:hAnsi="宋体"/>
          <w:color w:val="000000"/>
          <w:sz w:val="28"/>
          <w:szCs w:val="28"/>
          <w:lang w:val="en-US" w:eastAsia="zh-CN"/>
        </w:rPr>
        <w:t>其中为资产负债率70%以上的被担保对象提供30亿美元担保，为资产负债率70%以下的被担保对象提供20亿美元担保</w:t>
      </w:r>
      <w:r>
        <w:rPr>
          <w:rFonts w:hint="eastAsia" w:ascii="宋体" w:hAnsi="宋体"/>
          <w:color w:val="000000"/>
          <w:sz w:val="28"/>
          <w:szCs w:val="28"/>
        </w:rPr>
        <w:t>。</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2.批准兖煤澳洲及其控股公司向兖矿能源澳洲附属公司提供不超过</w:t>
      </w:r>
      <w:r>
        <w:rPr>
          <w:rFonts w:hint="eastAsia" w:ascii="宋体" w:hAnsi="宋体" w:cs="宋体"/>
          <w:color w:val="000000"/>
          <w:sz w:val="28"/>
          <w:szCs w:val="28"/>
          <w:lang w:val="en-US" w:eastAsia="zh-CN"/>
        </w:rPr>
        <w:t>15</w:t>
      </w:r>
      <w:r>
        <w:rPr>
          <w:rFonts w:hint="eastAsia" w:ascii="宋体" w:hAnsi="宋体"/>
          <w:color w:val="000000"/>
          <w:sz w:val="28"/>
          <w:szCs w:val="28"/>
        </w:rPr>
        <w:t>亿澳元的日常经营担保</w:t>
      </w:r>
      <w:r>
        <w:rPr>
          <w:rFonts w:hint="eastAsia" w:ascii="宋体" w:hAnsi="宋体"/>
          <w:color w:val="000000"/>
          <w:sz w:val="28"/>
          <w:szCs w:val="28"/>
          <w:lang w:eastAsia="zh-CN"/>
        </w:rPr>
        <w:t>，</w:t>
      </w:r>
      <w:r>
        <w:rPr>
          <w:rFonts w:hint="eastAsia" w:ascii="宋体" w:hAnsi="宋体"/>
          <w:color w:val="000000"/>
          <w:sz w:val="28"/>
          <w:szCs w:val="28"/>
        </w:rPr>
        <w:t>其中为资产负债率70%以上的被担保对象提供</w:t>
      </w:r>
      <w:r>
        <w:rPr>
          <w:rFonts w:hint="eastAsia" w:ascii="宋体" w:hAnsi="宋体" w:cs="宋体"/>
          <w:color w:val="000000"/>
          <w:sz w:val="28"/>
          <w:szCs w:val="28"/>
          <w:lang w:val="en-US" w:eastAsia="zh-CN"/>
        </w:rPr>
        <w:t>3</w:t>
      </w:r>
      <w:r>
        <w:rPr>
          <w:rFonts w:hint="eastAsia" w:ascii="宋体" w:hAnsi="宋体"/>
          <w:color w:val="000000"/>
          <w:sz w:val="28"/>
          <w:szCs w:val="28"/>
        </w:rPr>
        <w:t>亿澳元担保，为资产负债率70%以下的被担保对象提供</w:t>
      </w:r>
      <w:r>
        <w:rPr>
          <w:rFonts w:hint="eastAsia" w:ascii="宋体" w:hAnsi="宋体" w:cs="宋体"/>
          <w:color w:val="000000"/>
          <w:sz w:val="28"/>
          <w:szCs w:val="28"/>
          <w:lang w:val="en-US" w:eastAsia="zh-CN"/>
        </w:rPr>
        <w:t>12</w:t>
      </w:r>
      <w:r>
        <w:rPr>
          <w:rFonts w:hint="eastAsia" w:ascii="宋体" w:hAnsi="宋体"/>
          <w:color w:val="000000"/>
          <w:sz w:val="28"/>
          <w:szCs w:val="28"/>
        </w:rPr>
        <w:t>亿澳元担保。</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3.批准授权公司任一名董事根据有关法律法规规定，全权处理与上述融资担保业务有关的事项，包括但不限于：</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（1）根据融资业务需要，合理确定被担保的子公司；</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（2）确定具体担保合同条款，包括但不限于担保额度、担保期限、担保范围、担保方式等，签署所涉及的合同及相关法律文件；</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（3）办理与本次担保相关的材料申报及其他事宜。</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4.本次授权期限自2023年度股东周年大会结束之日起至下一年度股东周年大会结束之日止。但上述授权人士可于授权期限内作出或授予与融资担保业务有关的任何要约、协议或决议，而可能需要在授权期限结束后行使有关权</w:t>
      </w:r>
      <w:r>
        <w:rPr>
          <w:rFonts w:hint="eastAsia" w:ascii="宋体" w:hAnsi="宋体"/>
          <w:color w:val="000000"/>
          <w:sz w:val="28"/>
          <w:szCs w:val="28"/>
          <w:lang w:val="en-US" w:eastAsia="zh-CN"/>
        </w:rPr>
        <w:t>利</w:t>
      </w:r>
      <w:r>
        <w:rPr>
          <w:rFonts w:hint="eastAsia" w:ascii="宋体" w:hAnsi="宋体"/>
          <w:color w:val="000000"/>
          <w:sz w:val="28"/>
          <w:szCs w:val="28"/>
        </w:rPr>
        <w:t>者除外。</w:t>
      </w:r>
    </w:p>
    <w:p>
      <w:pPr>
        <w:adjustRightInd w:val="0"/>
        <w:snapToGrid w:val="0"/>
        <w:spacing w:line="520" w:lineRule="exact"/>
        <w:ind w:firstLine="539"/>
        <w:rPr>
          <w:rFonts w:ascii="宋体" w:hAnsi="宋体"/>
          <w:b/>
          <w:color w:val="000000"/>
          <w:sz w:val="28"/>
          <w:szCs w:val="28"/>
        </w:rPr>
      </w:pPr>
      <w:r>
        <w:rPr>
          <w:rFonts w:hint="eastAsia" w:ascii="宋体" w:hAnsi="宋体"/>
          <w:b/>
          <w:color w:val="000000"/>
          <w:sz w:val="28"/>
          <w:szCs w:val="28"/>
        </w:rPr>
        <w:t>（三）本次授权担保履行的内部决策程序</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20</w:t>
      </w:r>
      <w:r>
        <w:rPr>
          <w:rFonts w:ascii="宋体" w:hAnsi="宋体"/>
          <w:color w:val="000000"/>
          <w:sz w:val="28"/>
          <w:szCs w:val="28"/>
        </w:rPr>
        <w:t>2</w:t>
      </w:r>
      <w:r>
        <w:rPr>
          <w:rFonts w:hint="eastAsia" w:ascii="宋体" w:hAnsi="宋体"/>
          <w:color w:val="000000"/>
          <w:sz w:val="28"/>
          <w:szCs w:val="28"/>
        </w:rPr>
        <w:t>4年3月28日召开的公司第九届董事会第六次会议，审议通过了《关于向子公司提供融资担保和授权兖煤澳洲及其子公司向兖矿能源澳洲附属公司提供日常经营担保的议案》，并提交2023年度股东周年大会审议批准。</w:t>
      </w:r>
    </w:p>
    <w:p>
      <w:pPr>
        <w:adjustRightInd w:val="0"/>
        <w:snapToGrid w:val="0"/>
        <w:spacing w:line="520" w:lineRule="exact"/>
        <w:ind w:firstLine="53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二、被担保人基本情况</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有关被担保人基本情况请见附件一《拟被担保兖矿能源子公司基本情况表》、附件二《拟被担保兖煤澳洲附属公司基本情况表》、附件三《拟被担保兖煤国际附属公司基本情况表》。</w:t>
      </w:r>
    </w:p>
    <w:p>
      <w:pPr>
        <w:adjustRightInd w:val="0"/>
        <w:snapToGrid w:val="0"/>
        <w:spacing w:line="520" w:lineRule="exact"/>
        <w:ind w:firstLine="53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三、担保协议内容及担保对象情况</w:t>
      </w:r>
    </w:p>
    <w:p>
      <w:pPr>
        <w:adjustRightInd w:val="0"/>
        <w:snapToGrid w:val="0"/>
        <w:spacing w:line="520" w:lineRule="exact"/>
        <w:ind w:firstLine="539"/>
        <w:rPr>
          <w:rFonts w:hint="eastAsia" w:ascii="宋体" w:hAnsi="宋体"/>
          <w:color w:val="000000"/>
          <w:sz w:val="28"/>
          <w:szCs w:val="28"/>
        </w:rPr>
      </w:pPr>
      <w:r>
        <w:rPr>
          <w:rFonts w:hint="eastAsia" w:ascii="宋体" w:hAnsi="宋体"/>
          <w:color w:val="000000"/>
          <w:sz w:val="28"/>
          <w:szCs w:val="28"/>
        </w:rPr>
        <w:t>于本公告日，公司尚未签署担保协议。公司将根据融资业务安排以及公司实际情况，在授权期限内严格按照股东大会授权履行担保事项。</w:t>
      </w:r>
    </w:p>
    <w:p>
      <w:pPr>
        <w:adjustRightInd w:val="0"/>
        <w:snapToGrid w:val="0"/>
        <w:spacing w:line="520" w:lineRule="exact"/>
        <w:ind w:firstLine="53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四、董事会意见</w:t>
      </w:r>
    </w:p>
    <w:p>
      <w:pPr>
        <w:adjustRightInd w:val="0"/>
        <w:snapToGrid w:val="0"/>
        <w:spacing w:line="520" w:lineRule="exact"/>
        <w:ind w:firstLine="539"/>
        <w:rPr>
          <w:rFonts w:hint="eastAsia" w:ascii="宋体" w:hAnsi="宋体"/>
          <w:color w:val="000000"/>
          <w:sz w:val="28"/>
          <w:szCs w:val="28"/>
        </w:rPr>
      </w:pPr>
      <w:r>
        <w:rPr>
          <w:rFonts w:hint="eastAsia" w:ascii="宋体" w:hAnsi="宋体"/>
          <w:color w:val="000000"/>
          <w:sz w:val="28"/>
          <w:szCs w:val="28"/>
        </w:rPr>
        <w:t>公司董事会认为：兖矿能源及其控股公司向子公司提供融资担保和授权兖煤澳洲及其控股公司向兖矿能源澳洲附属公司提供日常经营担保事项，符合公司及子公司经营发展需要；兖煤澳洲及其控股公司向兖矿能源澳洲附属公司提供担保是日常经营所需，符合澳大利亚法律法规及当地经营惯例。上述担保对象均为兖矿能源子公司，可有效控制和防范担保风险，不会损害公司及全体股东的利益。</w:t>
      </w:r>
    </w:p>
    <w:p>
      <w:pPr>
        <w:adjustRightInd w:val="0"/>
        <w:snapToGrid w:val="0"/>
        <w:spacing w:line="520" w:lineRule="exact"/>
        <w:ind w:firstLine="53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lang w:val="en-US" w:eastAsia="zh-CN"/>
        </w:rPr>
        <w:t>五</w:t>
      </w:r>
      <w:r>
        <w:rPr>
          <w:rFonts w:hint="eastAsia" w:ascii="黑体" w:hAnsi="黑体" w:eastAsia="黑体" w:cs="黑体"/>
          <w:b w:val="0"/>
          <w:bCs/>
          <w:color w:val="000000"/>
          <w:sz w:val="28"/>
          <w:szCs w:val="28"/>
        </w:rPr>
        <w:t>、累计对外担保数量及逾期担保的数量</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截至2023年12月31日，公司及控股公司累计对外担保总额为人民币</w:t>
      </w:r>
      <w:r>
        <w:rPr>
          <w:rFonts w:hint="eastAsia" w:ascii="宋体" w:hAnsi="宋体" w:cs="宋体"/>
          <w:color w:val="000000"/>
          <w:sz w:val="28"/>
          <w:szCs w:val="28"/>
          <w:lang w:val="en-US" w:eastAsia="zh-CN"/>
        </w:rPr>
        <w:t>178.71</w:t>
      </w:r>
      <w:r>
        <w:rPr>
          <w:rFonts w:hint="eastAsia" w:ascii="宋体" w:hAnsi="宋体"/>
          <w:color w:val="000000"/>
          <w:sz w:val="28"/>
          <w:szCs w:val="28"/>
        </w:rPr>
        <w:t>亿元，占公司2023年经审计归属于母公司净资产人民币</w:t>
      </w:r>
      <w:r>
        <w:rPr>
          <w:rFonts w:hint="eastAsia" w:ascii="宋体" w:hAnsi="宋体" w:cs="宋体"/>
          <w:color w:val="000000"/>
          <w:sz w:val="28"/>
          <w:szCs w:val="28"/>
          <w:lang w:val="en-US" w:eastAsia="zh-CN"/>
        </w:rPr>
        <w:t>726.94</w:t>
      </w:r>
      <w:r>
        <w:rPr>
          <w:rFonts w:hint="eastAsia" w:ascii="宋体" w:hAnsi="宋体"/>
          <w:color w:val="000000"/>
          <w:sz w:val="28"/>
          <w:szCs w:val="28"/>
        </w:rPr>
        <w:t>亿元的</w:t>
      </w:r>
      <w:r>
        <w:rPr>
          <w:rFonts w:hint="eastAsia" w:ascii="宋体" w:hAnsi="宋体" w:cs="宋体"/>
          <w:color w:val="000000"/>
          <w:sz w:val="28"/>
          <w:szCs w:val="28"/>
          <w:lang w:val="en-US" w:eastAsia="zh-CN"/>
        </w:rPr>
        <w:t>24.58</w:t>
      </w:r>
      <w:r>
        <w:rPr>
          <w:rFonts w:hint="eastAsia" w:ascii="宋体" w:hAnsi="宋体"/>
          <w:color w:val="000000"/>
          <w:sz w:val="28"/>
          <w:szCs w:val="28"/>
        </w:rPr>
        <w:t>%。</w:t>
      </w:r>
    </w:p>
    <w:p>
      <w:pPr>
        <w:adjustRightInd w:val="0"/>
        <w:snapToGrid w:val="0"/>
        <w:spacing w:line="520" w:lineRule="exact"/>
        <w:ind w:firstLine="53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lang w:val="en-US" w:eastAsia="zh-CN"/>
        </w:rPr>
        <w:t>六</w:t>
      </w:r>
      <w:r>
        <w:rPr>
          <w:rFonts w:hint="eastAsia" w:ascii="黑体" w:hAnsi="黑体" w:eastAsia="黑体" w:cs="黑体"/>
          <w:b w:val="0"/>
          <w:bCs/>
          <w:color w:val="000000"/>
          <w:sz w:val="28"/>
          <w:szCs w:val="28"/>
        </w:rPr>
        <w:t>、备查文件</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公司第九届董事会第六次会议决议。</w:t>
      </w:r>
    </w:p>
    <w:p>
      <w:pPr>
        <w:adjustRightInd w:val="0"/>
        <w:snapToGrid w:val="0"/>
        <w:spacing w:line="520" w:lineRule="exact"/>
        <w:rPr>
          <w:rFonts w:ascii="宋体" w:hAnsi="宋体"/>
          <w:color w:val="000000"/>
          <w:sz w:val="28"/>
          <w:szCs w:val="28"/>
        </w:rPr>
      </w:pPr>
    </w:p>
    <w:p>
      <w:pPr>
        <w:adjustRightInd w:val="0"/>
        <w:snapToGrid w:val="0"/>
        <w:spacing w:line="520" w:lineRule="exact"/>
        <w:rPr>
          <w:rFonts w:ascii="宋体" w:hAnsi="宋体"/>
          <w:color w:val="000000"/>
          <w:sz w:val="28"/>
          <w:szCs w:val="28"/>
        </w:rPr>
      </w:pPr>
    </w:p>
    <w:p>
      <w:pPr>
        <w:adjustRightInd w:val="0"/>
        <w:snapToGrid w:val="0"/>
        <w:spacing w:line="520" w:lineRule="exact"/>
        <w:ind w:firstLine="4480" w:firstLineChars="1600"/>
        <w:rPr>
          <w:rFonts w:ascii="宋体" w:hAnsi="宋体"/>
          <w:color w:val="000000"/>
          <w:sz w:val="28"/>
          <w:szCs w:val="28"/>
        </w:rPr>
      </w:pPr>
      <w:r>
        <w:rPr>
          <w:rFonts w:hint="eastAsia" w:ascii="宋体" w:hAnsi="宋体"/>
          <w:color w:val="000000"/>
          <w:sz w:val="28"/>
          <w:szCs w:val="28"/>
        </w:rPr>
        <w:t>兖矿能源集团股份有限公司董事会</w:t>
      </w:r>
    </w:p>
    <w:p>
      <w:pPr>
        <w:adjustRightInd w:val="0"/>
        <w:snapToGrid w:val="0"/>
        <w:spacing w:line="520" w:lineRule="exact"/>
        <w:ind w:firstLine="5600" w:firstLineChars="2000"/>
        <w:rPr>
          <w:rFonts w:ascii="宋体" w:hAnsi="宋体"/>
          <w:color w:val="000000"/>
          <w:sz w:val="28"/>
          <w:szCs w:val="28"/>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olor w:val="000000"/>
          <w:sz w:val="28"/>
          <w:szCs w:val="28"/>
        </w:rPr>
        <w:t>20</w:t>
      </w:r>
      <w:r>
        <w:rPr>
          <w:rFonts w:ascii="宋体" w:hAnsi="宋体"/>
          <w:color w:val="000000"/>
          <w:sz w:val="28"/>
          <w:szCs w:val="28"/>
        </w:rPr>
        <w:t>2</w:t>
      </w:r>
      <w:r>
        <w:rPr>
          <w:rFonts w:hint="eastAsia" w:ascii="宋体" w:hAnsi="宋体"/>
          <w:color w:val="000000"/>
          <w:sz w:val="28"/>
          <w:szCs w:val="28"/>
        </w:rPr>
        <w:t>4年3月28日</w:t>
      </w:r>
    </w:p>
    <w:tbl>
      <w:tblPr>
        <w:tblStyle w:val="14"/>
        <w:tblpPr w:leftFromText="180" w:rightFromText="180" w:tblpX="-265" w:tblpY="-1095"/>
        <w:tblW w:w="14862" w:type="dxa"/>
        <w:tblInd w:w="0" w:type="dxa"/>
        <w:tblLayout w:type="fixed"/>
        <w:tblCellMar>
          <w:top w:w="0" w:type="dxa"/>
          <w:left w:w="108" w:type="dxa"/>
          <w:bottom w:w="0" w:type="dxa"/>
          <w:right w:w="108" w:type="dxa"/>
        </w:tblCellMar>
      </w:tblPr>
      <w:tblGrid>
        <w:gridCol w:w="534"/>
        <w:gridCol w:w="1147"/>
        <w:gridCol w:w="1174"/>
        <w:gridCol w:w="1179"/>
        <w:gridCol w:w="950"/>
        <w:gridCol w:w="2035"/>
        <w:gridCol w:w="1063"/>
        <w:gridCol w:w="1054"/>
        <w:gridCol w:w="994"/>
        <w:gridCol w:w="1029"/>
        <w:gridCol w:w="118"/>
        <w:gridCol w:w="748"/>
        <w:gridCol w:w="960"/>
        <w:gridCol w:w="994"/>
        <w:gridCol w:w="883"/>
      </w:tblGrid>
      <w:tr>
        <w:tblPrEx>
          <w:tblCellMar>
            <w:top w:w="0" w:type="dxa"/>
            <w:left w:w="108" w:type="dxa"/>
            <w:bottom w:w="0" w:type="dxa"/>
            <w:right w:w="108" w:type="dxa"/>
          </w:tblCellMar>
        </w:tblPrEx>
        <w:trPr>
          <w:trHeight w:val="90" w:hRule="atLeast"/>
        </w:trPr>
        <w:tc>
          <w:tcPr>
            <w:tcW w:w="14862" w:type="dxa"/>
            <w:gridSpan w:val="15"/>
            <w:tcBorders>
              <w:top w:val="nil"/>
              <w:left w:val="nil"/>
              <w:bottom w:val="nil"/>
              <w:right w:val="nil"/>
            </w:tcBorders>
            <w:vAlign w:val="bottom"/>
          </w:tcPr>
          <w:p>
            <w:pPr>
              <w:widowControl/>
              <w:jc w:val="left"/>
              <w:rPr>
                <w:rFonts w:hint="eastAsia" w:ascii="宋体" w:hAnsi="宋体" w:eastAsia="宋体" w:cs="宋体"/>
                <w:b/>
                <w:bCs/>
                <w:color w:val="000000"/>
                <w:kern w:val="0"/>
                <w:sz w:val="32"/>
                <w:szCs w:val="32"/>
              </w:rPr>
            </w:pPr>
            <w:bookmarkStart w:id="0" w:name="_Hlk161682566"/>
            <w:r>
              <w:rPr>
                <w:rFonts w:hint="eastAsia" w:ascii="宋体" w:hAnsi="宋体" w:eastAsia="宋体" w:cs="宋体"/>
                <w:sz w:val="32"/>
                <w:szCs w:val="32"/>
              </w:rPr>
              <w:t>附表1</w:t>
            </w:r>
          </w:p>
          <w:p>
            <w:pPr>
              <w:widowControl/>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拟被担保兖矿能源子公司基本情况表</w:t>
            </w:r>
          </w:p>
        </w:tc>
      </w:tr>
      <w:tr>
        <w:tblPrEx>
          <w:tblCellMar>
            <w:top w:w="0" w:type="dxa"/>
            <w:left w:w="108" w:type="dxa"/>
            <w:bottom w:w="0" w:type="dxa"/>
            <w:right w:w="108" w:type="dxa"/>
          </w:tblCellMar>
        </w:tblPrEx>
        <w:trPr>
          <w:trHeight w:val="68" w:hRule="atLeast"/>
        </w:trPr>
        <w:tc>
          <w:tcPr>
            <w:tcW w:w="534" w:type="dxa"/>
            <w:tcBorders>
              <w:top w:val="nil"/>
              <w:left w:val="nil"/>
              <w:bottom w:val="single" w:color="auto" w:sz="4" w:space="0"/>
              <w:right w:val="nil"/>
            </w:tcBorders>
            <w:vAlign w:val="center"/>
          </w:tcPr>
          <w:p>
            <w:pPr>
              <w:widowControl/>
              <w:jc w:val="center"/>
              <w:rPr>
                <w:rFonts w:hint="eastAsia" w:ascii="宋体" w:hAnsi="宋体" w:eastAsia="宋体" w:cs="宋体"/>
                <w:b/>
                <w:bCs/>
                <w:color w:val="000000"/>
                <w:kern w:val="0"/>
                <w:szCs w:val="20"/>
              </w:rPr>
            </w:pPr>
          </w:p>
        </w:tc>
        <w:tc>
          <w:tcPr>
            <w:tcW w:w="1147" w:type="dxa"/>
            <w:tcBorders>
              <w:top w:val="nil"/>
              <w:left w:val="nil"/>
              <w:bottom w:val="single" w:color="auto" w:sz="4" w:space="0"/>
              <w:right w:val="nil"/>
            </w:tcBorders>
            <w:vAlign w:val="center"/>
          </w:tcPr>
          <w:p>
            <w:pPr>
              <w:widowControl/>
              <w:jc w:val="center"/>
              <w:rPr>
                <w:rFonts w:hint="eastAsia" w:ascii="宋体" w:hAnsi="宋体" w:eastAsia="宋体" w:cs="宋体"/>
                <w:b/>
                <w:bCs/>
                <w:color w:val="000000"/>
                <w:kern w:val="0"/>
                <w:szCs w:val="20"/>
              </w:rPr>
            </w:pPr>
          </w:p>
        </w:tc>
        <w:tc>
          <w:tcPr>
            <w:tcW w:w="1174" w:type="dxa"/>
            <w:tcBorders>
              <w:top w:val="nil"/>
              <w:left w:val="nil"/>
              <w:bottom w:val="single" w:color="auto" w:sz="4" w:space="0"/>
              <w:right w:val="nil"/>
            </w:tcBorders>
            <w:vAlign w:val="center"/>
          </w:tcPr>
          <w:p>
            <w:pPr>
              <w:widowControl/>
              <w:jc w:val="center"/>
              <w:rPr>
                <w:rFonts w:hint="eastAsia" w:ascii="宋体" w:hAnsi="宋体" w:eastAsia="宋体" w:cs="宋体"/>
                <w:b/>
                <w:bCs/>
                <w:color w:val="000000"/>
                <w:kern w:val="0"/>
                <w:szCs w:val="20"/>
              </w:rPr>
            </w:pPr>
          </w:p>
        </w:tc>
        <w:tc>
          <w:tcPr>
            <w:tcW w:w="1179" w:type="dxa"/>
            <w:tcBorders>
              <w:top w:val="nil"/>
              <w:left w:val="nil"/>
              <w:bottom w:val="single" w:color="auto" w:sz="4" w:space="0"/>
              <w:right w:val="nil"/>
            </w:tcBorders>
            <w:vAlign w:val="center"/>
          </w:tcPr>
          <w:p>
            <w:pPr>
              <w:widowControl/>
              <w:jc w:val="center"/>
              <w:rPr>
                <w:rFonts w:hint="eastAsia" w:ascii="宋体" w:hAnsi="宋体" w:eastAsia="宋体" w:cs="宋体"/>
                <w:b/>
                <w:bCs/>
                <w:color w:val="000000"/>
                <w:kern w:val="0"/>
                <w:szCs w:val="20"/>
              </w:rPr>
            </w:pPr>
          </w:p>
        </w:tc>
        <w:tc>
          <w:tcPr>
            <w:tcW w:w="950" w:type="dxa"/>
            <w:tcBorders>
              <w:top w:val="nil"/>
              <w:left w:val="nil"/>
              <w:bottom w:val="single" w:color="auto" w:sz="4" w:space="0"/>
              <w:right w:val="nil"/>
            </w:tcBorders>
            <w:vAlign w:val="center"/>
          </w:tcPr>
          <w:p>
            <w:pPr>
              <w:widowControl/>
              <w:jc w:val="center"/>
              <w:rPr>
                <w:rFonts w:hint="eastAsia" w:ascii="宋体" w:hAnsi="宋体" w:eastAsia="宋体" w:cs="宋体"/>
                <w:b/>
                <w:bCs/>
                <w:color w:val="000000"/>
                <w:kern w:val="0"/>
                <w:szCs w:val="20"/>
              </w:rPr>
            </w:pPr>
          </w:p>
        </w:tc>
        <w:tc>
          <w:tcPr>
            <w:tcW w:w="2035" w:type="dxa"/>
            <w:tcBorders>
              <w:top w:val="nil"/>
              <w:left w:val="nil"/>
              <w:bottom w:val="single" w:color="auto" w:sz="4" w:space="0"/>
              <w:right w:val="nil"/>
            </w:tcBorders>
            <w:vAlign w:val="center"/>
          </w:tcPr>
          <w:p>
            <w:pPr>
              <w:widowControl/>
              <w:jc w:val="center"/>
              <w:rPr>
                <w:rFonts w:hint="eastAsia" w:ascii="宋体" w:hAnsi="宋体" w:eastAsia="宋体" w:cs="宋体"/>
                <w:b/>
                <w:bCs/>
                <w:color w:val="000000"/>
                <w:kern w:val="0"/>
                <w:szCs w:val="20"/>
              </w:rPr>
            </w:pPr>
          </w:p>
        </w:tc>
        <w:tc>
          <w:tcPr>
            <w:tcW w:w="3111" w:type="dxa"/>
            <w:gridSpan w:val="3"/>
            <w:tcBorders>
              <w:top w:val="nil"/>
              <w:left w:val="nil"/>
              <w:bottom w:val="single" w:color="auto" w:sz="4" w:space="0"/>
              <w:right w:val="nil"/>
            </w:tcBorders>
            <w:vAlign w:val="center"/>
          </w:tcPr>
          <w:p>
            <w:pPr>
              <w:widowControl/>
              <w:jc w:val="center"/>
              <w:rPr>
                <w:rFonts w:hint="eastAsia" w:ascii="宋体" w:hAnsi="宋体" w:eastAsia="宋体" w:cs="宋体"/>
                <w:b/>
                <w:bCs/>
                <w:color w:val="000000"/>
                <w:kern w:val="0"/>
                <w:szCs w:val="20"/>
              </w:rPr>
            </w:pPr>
          </w:p>
        </w:tc>
        <w:tc>
          <w:tcPr>
            <w:tcW w:w="1147" w:type="dxa"/>
            <w:gridSpan w:val="2"/>
            <w:tcBorders>
              <w:top w:val="nil"/>
              <w:left w:val="nil"/>
              <w:bottom w:val="single" w:color="auto" w:sz="4" w:space="0"/>
              <w:right w:val="nil"/>
            </w:tcBorders>
            <w:vAlign w:val="center"/>
          </w:tcPr>
          <w:p>
            <w:pPr>
              <w:widowControl/>
              <w:jc w:val="center"/>
              <w:rPr>
                <w:rFonts w:hint="eastAsia" w:ascii="宋体" w:hAnsi="宋体" w:eastAsia="宋体" w:cs="宋体"/>
                <w:b/>
                <w:bCs/>
                <w:color w:val="000000"/>
                <w:kern w:val="0"/>
                <w:szCs w:val="20"/>
              </w:rPr>
            </w:pPr>
          </w:p>
        </w:tc>
        <w:tc>
          <w:tcPr>
            <w:tcW w:w="748" w:type="dxa"/>
            <w:tcBorders>
              <w:top w:val="nil"/>
              <w:left w:val="nil"/>
              <w:bottom w:val="single" w:color="auto" w:sz="4" w:space="0"/>
              <w:right w:val="nil"/>
            </w:tcBorders>
            <w:vAlign w:val="center"/>
          </w:tcPr>
          <w:p>
            <w:pPr>
              <w:widowControl/>
              <w:jc w:val="center"/>
              <w:rPr>
                <w:rFonts w:hint="eastAsia" w:ascii="宋体" w:hAnsi="宋体" w:eastAsia="宋体" w:cs="宋体"/>
                <w:b/>
                <w:bCs/>
                <w:color w:val="000000"/>
                <w:kern w:val="0"/>
                <w:szCs w:val="20"/>
              </w:rPr>
            </w:pPr>
          </w:p>
        </w:tc>
        <w:tc>
          <w:tcPr>
            <w:tcW w:w="2837" w:type="dxa"/>
            <w:gridSpan w:val="3"/>
            <w:tcBorders>
              <w:top w:val="nil"/>
              <w:left w:val="nil"/>
              <w:bottom w:val="single" w:color="auto" w:sz="4" w:space="0"/>
              <w:right w:val="nil"/>
            </w:tcBorders>
          </w:tcPr>
          <w:p>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 w:val="22"/>
                <w:szCs w:val="22"/>
              </w:rPr>
              <w:t>币种：人民币  单位：亿元</w:t>
            </w:r>
          </w:p>
        </w:tc>
      </w:tr>
      <w:tr>
        <w:tblPrEx>
          <w:tblCellMar>
            <w:top w:w="0" w:type="dxa"/>
            <w:left w:w="108" w:type="dxa"/>
            <w:bottom w:w="0" w:type="dxa"/>
            <w:right w:w="108" w:type="dxa"/>
          </w:tblCellMar>
        </w:tblPrEx>
        <w:trPr>
          <w:trHeight w:val="347" w:hRule="atLeast"/>
        </w:trPr>
        <w:tc>
          <w:tcPr>
            <w:tcW w:w="5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序号</w:t>
            </w:r>
          </w:p>
        </w:tc>
        <w:tc>
          <w:tcPr>
            <w:tcW w:w="114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公司</w:t>
            </w:r>
          </w:p>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名称</w:t>
            </w:r>
          </w:p>
        </w:tc>
        <w:tc>
          <w:tcPr>
            <w:tcW w:w="117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注册地</w:t>
            </w:r>
          </w:p>
        </w:tc>
        <w:tc>
          <w:tcPr>
            <w:tcW w:w="117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注册资本</w:t>
            </w:r>
          </w:p>
        </w:tc>
        <w:tc>
          <w:tcPr>
            <w:tcW w:w="9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持股</w:t>
            </w:r>
          </w:p>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比例</w:t>
            </w:r>
          </w:p>
        </w:tc>
        <w:tc>
          <w:tcPr>
            <w:tcW w:w="20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r>
              <w:rPr>
                <w:rFonts w:hint="eastAsia" w:ascii="宋体" w:hAnsi="宋体" w:cs="宋体"/>
                <w:color w:val="000000"/>
                <w:kern w:val="0"/>
                <w:sz w:val="22"/>
                <w:szCs w:val="22"/>
                <w:lang w:val="en-US" w:eastAsia="zh-CN"/>
              </w:rPr>
              <w:t>主要</w:t>
            </w:r>
            <w:r>
              <w:rPr>
                <w:rFonts w:hint="eastAsia" w:ascii="宋体" w:hAnsi="宋体" w:eastAsia="宋体" w:cs="宋体"/>
                <w:color w:val="000000"/>
                <w:kern w:val="0"/>
                <w:sz w:val="22"/>
                <w:szCs w:val="22"/>
              </w:rPr>
              <w:t>经营范围</w:t>
            </w:r>
          </w:p>
        </w:tc>
        <w:tc>
          <w:tcPr>
            <w:tcW w:w="5966"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2023年12月31日</w:t>
            </w:r>
          </w:p>
        </w:tc>
        <w:tc>
          <w:tcPr>
            <w:tcW w:w="18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2023年度</w:t>
            </w:r>
          </w:p>
        </w:tc>
      </w:tr>
      <w:tr>
        <w:tblPrEx>
          <w:tblCellMar>
            <w:top w:w="0" w:type="dxa"/>
            <w:left w:w="108" w:type="dxa"/>
            <w:bottom w:w="0" w:type="dxa"/>
            <w:right w:w="108" w:type="dxa"/>
          </w:tblCellMar>
        </w:tblPrEx>
        <w:trPr>
          <w:trHeight w:val="463"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p>
        </w:tc>
        <w:tc>
          <w:tcPr>
            <w:tcW w:w="114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p>
        </w:tc>
        <w:tc>
          <w:tcPr>
            <w:tcW w:w="117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p>
        </w:tc>
        <w:tc>
          <w:tcPr>
            <w:tcW w:w="117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p>
        </w:tc>
        <w:tc>
          <w:tcPr>
            <w:tcW w:w="9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p>
        </w:tc>
        <w:tc>
          <w:tcPr>
            <w:tcW w:w="203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资产</w:t>
            </w:r>
          </w:p>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总额</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负债</w:t>
            </w:r>
          </w:p>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总额</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净资产</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资产</w:t>
            </w:r>
          </w:p>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负债率</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流动</w:t>
            </w:r>
          </w:p>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负债</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银行</w:t>
            </w:r>
          </w:p>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借款</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营业</w:t>
            </w:r>
          </w:p>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收入</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净利润</w:t>
            </w:r>
          </w:p>
        </w:tc>
      </w:tr>
      <w:tr>
        <w:tblPrEx>
          <w:tblCellMar>
            <w:top w:w="0" w:type="dxa"/>
            <w:left w:w="108" w:type="dxa"/>
            <w:bottom w:w="0" w:type="dxa"/>
            <w:right w:w="108" w:type="dxa"/>
          </w:tblCellMar>
        </w:tblPrEx>
        <w:trPr>
          <w:trHeight w:val="549"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Style w:val="34"/>
                <w:rFonts w:hint="eastAsia" w:ascii="宋体" w:hAnsi="宋体" w:eastAsia="宋体" w:cs="宋体"/>
              </w:rPr>
              <w:t>兖煤澳大利亚有限公司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澳大利亚</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60.27亿澳元</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62.26%</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Style w:val="34"/>
                <w:rFonts w:hint="eastAsia" w:ascii="宋体" w:hAnsi="宋体" w:eastAsia="宋体" w:cs="宋体"/>
              </w:rPr>
              <w:t>煤矿开采、煤炭销售</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542.79</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133.38</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409.41</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24.57%</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53.34</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367.52</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86.97</w:t>
            </w:r>
          </w:p>
        </w:tc>
      </w:tr>
      <w:tr>
        <w:tblPrEx>
          <w:tblCellMar>
            <w:top w:w="0" w:type="dxa"/>
            <w:left w:w="108" w:type="dxa"/>
            <w:bottom w:w="0" w:type="dxa"/>
            <w:right w:w="108" w:type="dxa"/>
          </w:tblCellMar>
        </w:tblPrEx>
        <w:trPr>
          <w:trHeight w:val="701"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Style w:val="34"/>
                <w:rFonts w:hint="eastAsia" w:ascii="宋体" w:hAnsi="宋体" w:eastAsia="宋体" w:cs="宋体"/>
              </w:rPr>
              <w:t>兖煤国际（控股）有限公司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香港</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6.89亿美元</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Style w:val="34"/>
                <w:rFonts w:hint="eastAsia" w:ascii="宋体" w:hAnsi="宋体" w:eastAsia="宋体" w:cs="宋体"/>
              </w:rPr>
              <w:t>对外投资、矿山技术开发、转让与咨询服务、进出口贸易</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168.88</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120.7</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48.18</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71.47%</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szCs w:val="22"/>
                <w:lang w:val="en-US" w:eastAsia="zh-CN"/>
              </w:rPr>
            </w:pPr>
            <w:r>
              <w:rPr>
                <w:rFonts w:hint="eastAsia" w:ascii="宋体" w:hAnsi="宋体" w:cs="宋体"/>
                <w:color w:val="000000"/>
                <w:sz w:val="22"/>
                <w:szCs w:val="22"/>
                <w:lang w:val="en-US" w:eastAsia="zh-CN"/>
              </w:rPr>
              <w:t>65.00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37.03</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45.45</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14.27</w:t>
            </w:r>
          </w:p>
        </w:tc>
      </w:tr>
      <w:tr>
        <w:tblPrEx>
          <w:tblCellMar>
            <w:top w:w="0" w:type="dxa"/>
            <w:left w:w="108" w:type="dxa"/>
            <w:bottom w:w="0" w:type="dxa"/>
            <w:right w:w="108" w:type="dxa"/>
          </w:tblCellMar>
        </w:tblPrEx>
        <w:trPr>
          <w:trHeight w:val="619"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Style w:val="34"/>
                <w:rFonts w:hint="eastAsia" w:ascii="宋体" w:hAnsi="宋体" w:eastAsia="宋体" w:cs="宋体"/>
              </w:rPr>
              <w:t>兖煤国际资源开发有限公司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香港</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34"/>
                <w:rFonts w:hint="eastAsia" w:ascii="宋体" w:hAnsi="宋体" w:eastAsia="宋体" w:cs="宋体"/>
              </w:rPr>
            </w:pPr>
            <w:r>
              <w:rPr>
                <w:rStyle w:val="34"/>
                <w:rFonts w:hint="eastAsia" w:ascii="宋体" w:hAnsi="宋体" w:eastAsia="宋体" w:cs="宋体"/>
              </w:rPr>
              <w:t>60万</w:t>
            </w:r>
          </w:p>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美元</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Style w:val="34"/>
                <w:rFonts w:hint="eastAsia" w:ascii="宋体" w:hAnsi="宋体" w:eastAsia="宋体" w:cs="宋体"/>
              </w:rPr>
              <w:t>矿产资源勘探开发</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12.5</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21.94</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-9.45</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175.52%</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0.15</w:t>
            </w:r>
          </w:p>
        </w:tc>
      </w:tr>
      <w:tr>
        <w:tblPrEx>
          <w:tblCellMar>
            <w:top w:w="0" w:type="dxa"/>
            <w:left w:w="108" w:type="dxa"/>
            <w:bottom w:w="0" w:type="dxa"/>
            <w:right w:w="108" w:type="dxa"/>
          </w:tblCellMar>
        </w:tblPrEx>
        <w:trPr>
          <w:trHeight w:val="572"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Style w:val="34"/>
                <w:rFonts w:hint="eastAsia" w:ascii="宋体" w:hAnsi="宋体" w:eastAsia="宋体" w:cs="宋体"/>
              </w:rPr>
              <w:t>兖矿融资租赁有限公司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上海</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70</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Style w:val="34"/>
                <w:rFonts w:hint="eastAsia" w:ascii="宋体" w:hAnsi="宋体" w:eastAsia="宋体" w:cs="宋体"/>
              </w:rPr>
              <w:t>融资租赁业务</w:t>
            </w:r>
            <w:r>
              <w:rPr>
                <w:rStyle w:val="34"/>
                <w:rFonts w:hint="eastAsia" w:ascii="宋体" w:hAnsi="宋体" w:cs="宋体"/>
                <w:lang w:eastAsia="zh-CN"/>
              </w:rPr>
              <w:t>，</w:t>
            </w:r>
            <w:r>
              <w:rPr>
                <w:rStyle w:val="34"/>
                <w:rFonts w:hint="eastAsia" w:ascii="宋体" w:hAnsi="宋体" w:eastAsia="宋体" w:cs="宋体"/>
              </w:rPr>
              <w:t>租赁业务</w:t>
            </w:r>
            <w:r>
              <w:rPr>
                <w:rStyle w:val="34"/>
                <w:rFonts w:hint="eastAsia" w:ascii="宋体" w:hAnsi="宋体" w:cs="宋体"/>
                <w:lang w:eastAsia="zh-CN"/>
              </w:rPr>
              <w:t>，</w:t>
            </w:r>
            <w:r>
              <w:rPr>
                <w:rStyle w:val="34"/>
                <w:rFonts w:hint="eastAsia" w:ascii="宋体" w:hAnsi="宋体" w:eastAsia="宋体" w:cs="宋体"/>
              </w:rPr>
              <w:t>向国内外购买租赁财产</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186.78</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88.49</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98.3</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47.38%</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35.75</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55.75</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9.93</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4.23</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Style w:val="34"/>
                <w:rFonts w:hint="eastAsia" w:ascii="宋体" w:hAnsi="宋体" w:eastAsia="宋体" w:cs="宋体"/>
              </w:rPr>
              <w:t>兖矿瑞丰国际贸易有限公司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山东青岛</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2</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51%</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Style w:val="34"/>
                <w:rFonts w:hint="eastAsia" w:ascii="宋体" w:hAnsi="宋体" w:eastAsia="宋体" w:cs="宋体"/>
              </w:rPr>
              <w:t>国际贸易、转口贸易、自营各类商品的进出口贸易</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75.07</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70.82</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4.25</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94.34%</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70.82</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1.75</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szCs w:val="22"/>
                <w:lang w:val="en-US" w:eastAsia="zh-CN"/>
              </w:rPr>
            </w:pPr>
            <w:r>
              <w:rPr>
                <w:rFonts w:hint="eastAsia" w:ascii="宋体" w:hAnsi="宋体" w:cs="宋体"/>
                <w:color w:val="000000"/>
                <w:sz w:val="22"/>
                <w:szCs w:val="22"/>
                <w:lang w:val="en-US" w:eastAsia="zh-CN"/>
              </w:rPr>
              <w:t>267.81</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0.26</w:t>
            </w:r>
          </w:p>
        </w:tc>
      </w:tr>
      <w:tr>
        <w:tblPrEx>
          <w:tblCellMar>
            <w:top w:w="0" w:type="dxa"/>
            <w:left w:w="108" w:type="dxa"/>
            <w:bottom w:w="0" w:type="dxa"/>
            <w:right w:w="108" w:type="dxa"/>
          </w:tblCellMar>
        </w:tblPrEx>
        <w:trPr>
          <w:trHeight w:val="866"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2"/>
              </w:rPr>
            </w:pPr>
            <w:r>
              <w:rPr>
                <w:rFonts w:hint="eastAsia" w:ascii="宋体" w:hAnsi="宋体" w:eastAsia="宋体" w:cs="宋体"/>
                <w:color w:val="000000"/>
                <w:kern w:val="0"/>
                <w:sz w:val="22"/>
                <w:szCs w:val="22"/>
              </w:rPr>
              <w:t>6</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highlight w:val="yellow"/>
              </w:rPr>
            </w:pPr>
            <w:r>
              <w:rPr>
                <w:rFonts w:hint="eastAsia" w:ascii="宋体" w:hAnsi="宋体" w:eastAsia="宋体" w:cs="宋体"/>
                <w:color w:val="000000"/>
                <w:sz w:val="22"/>
                <w:szCs w:val="22"/>
              </w:rPr>
              <w:t>兖矿能源集团国际贸易有限公司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山东济南</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3</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Style w:val="34"/>
                <w:rFonts w:hint="eastAsia" w:ascii="宋体" w:hAnsi="宋体" w:eastAsia="宋体" w:cs="宋体"/>
              </w:rPr>
              <w:t>货物及技术进出口业务</w:t>
            </w:r>
            <w:r>
              <w:rPr>
                <w:rStyle w:val="34"/>
                <w:rFonts w:hint="eastAsia" w:ascii="宋体" w:hAnsi="宋体" w:cs="宋体"/>
                <w:lang w:eastAsia="zh-CN"/>
              </w:rPr>
              <w:t>，</w:t>
            </w:r>
            <w:r>
              <w:rPr>
                <w:rStyle w:val="34"/>
                <w:rFonts w:hint="eastAsia" w:ascii="宋体" w:hAnsi="宋体" w:eastAsia="宋体" w:cs="宋体"/>
              </w:rPr>
              <w:t>煤炭、煤矿机械设备及配件等销售</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27.23</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15.58</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11.66</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57.22%</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15.58</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29.93</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0.47</w:t>
            </w:r>
          </w:p>
        </w:tc>
      </w:tr>
      <w:tr>
        <w:tblPrEx>
          <w:tblCellMar>
            <w:top w:w="0" w:type="dxa"/>
            <w:left w:w="108" w:type="dxa"/>
            <w:bottom w:w="0" w:type="dxa"/>
            <w:right w:w="108" w:type="dxa"/>
          </w:tblCellMar>
        </w:tblPrEx>
        <w:trPr>
          <w:trHeight w:val="702"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2"/>
              </w:rPr>
            </w:pPr>
            <w:r>
              <w:rPr>
                <w:rFonts w:hint="eastAsia" w:ascii="宋体" w:hAnsi="宋体" w:eastAsia="宋体" w:cs="宋体"/>
                <w:color w:val="000000"/>
                <w:kern w:val="0"/>
                <w:sz w:val="22"/>
                <w:szCs w:val="22"/>
              </w:rPr>
              <w:t>7</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highlight w:val="yellow"/>
              </w:rPr>
            </w:pPr>
            <w:r>
              <w:rPr>
                <w:rStyle w:val="34"/>
                <w:rFonts w:hint="eastAsia" w:ascii="宋体" w:hAnsi="宋体" w:eastAsia="宋体" w:cs="宋体"/>
              </w:rPr>
              <w:t>青岛中兖贸易有限公司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山东青岛</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0.5</w:t>
            </w:r>
            <w:r>
              <w:rPr>
                <w:rStyle w:val="34"/>
                <w:rFonts w:hint="eastAsia" w:ascii="宋体" w:hAnsi="宋体" w:eastAsia="宋体" w:cs="宋体"/>
                <w:lang w:val="en-US" w:eastAsia="zh-CN"/>
              </w:rPr>
              <w:t>0</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Style w:val="34"/>
                <w:rFonts w:hint="eastAsia" w:ascii="宋体" w:hAnsi="宋体" w:eastAsia="宋体" w:cs="宋体"/>
              </w:rPr>
              <w:t>国内大宗商品贸易、国际贸易、转口贸易、代理自营各类商品的进出口贸易</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2.39</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3.18</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-0.79</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133.05%</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3.18</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2.94</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41.67</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-0.49</w:t>
            </w:r>
          </w:p>
        </w:tc>
      </w:tr>
      <w:tr>
        <w:tblPrEx>
          <w:tblCellMar>
            <w:top w:w="0" w:type="dxa"/>
            <w:left w:w="108" w:type="dxa"/>
            <w:bottom w:w="0" w:type="dxa"/>
            <w:right w:w="108" w:type="dxa"/>
          </w:tblCellMar>
        </w:tblPrEx>
        <w:trPr>
          <w:trHeight w:val="476"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2"/>
              </w:rPr>
            </w:pPr>
            <w:r>
              <w:rPr>
                <w:rFonts w:hint="eastAsia" w:ascii="宋体" w:hAnsi="宋体" w:eastAsia="宋体" w:cs="宋体"/>
                <w:color w:val="000000"/>
                <w:kern w:val="0"/>
                <w:sz w:val="22"/>
                <w:szCs w:val="22"/>
              </w:rPr>
              <w:t>8</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highlight w:val="yellow"/>
              </w:rPr>
            </w:pPr>
            <w:r>
              <w:rPr>
                <w:rStyle w:val="34"/>
                <w:rFonts w:hint="eastAsia" w:ascii="宋体" w:hAnsi="宋体" w:eastAsia="宋体" w:cs="宋体"/>
              </w:rPr>
              <w:t>陕西未来能源化工有限公司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陕西榆林</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54</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73.97%</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eastAsia="宋体" w:cs="宋体"/>
                <w:kern w:val="0"/>
                <w:sz w:val="22"/>
                <w:szCs w:val="22"/>
                <w:lang w:val="en-US" w:eastAsia="zh-CN"/>
              </w:rPr>
            </w:pPr>
            <w:r>
              <w:rPr>
                <w:rStyle w:val="34"/>
                <w:rFonts w:hint="eastAsia" w:ascii="宋体" w:hAnsi="宋体" w:eastAsia="宋体" w:cs="宋体"/>
              </w:rPr>
              <w:t>化工产品生产及销售</w:t>
            </w:r>
            <w:r>
              <w:rPr>
                <w:rStyle w:val="34"/>
                <w:rFonts w:hint="eastAsia" w:ascii="宋体" w:hAnsi="宋体" w:cs="宋体"/>
                <w:lang w:eastAsia="zh-CN"/>
              </w:rPr>
              <w:t>、</w:t>
            </w:r>
            <w:r>
              <w:rPr>
                <w:rStyle w:val="34"/>
                <w:rFonts w:hint="eastAsia" w:ascii="宋体" w:hAnsi="宋体" w:cs="宋体"/>
                <w:lang w:val="en-US" w:eastAsia="zh-CN"/>
              </w:rPr>
              <w:t>煤炭及制品销售</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313.94</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65.53</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248.41</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20.87%</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30.83</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19.9</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152.77</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56.5</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2"/>
              </w:rPr>
            </w:pPr>
            <w:r>
              <w:rPr>
                <w:rFonts w:hint="eastAsia" w:ascii="宋体" w:hAnsi="宋体" w:eastAsia="宋体" w:cs="宋体"/>
                <w:color w:val="000000"/>
                <w:kern w:val="0"/>
                <w:sz w:val="22"/>
                <w:szCs w:val="22"/>
              </w:rPr>
              <w:t>9</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Style w:val="34"/>
                <w:rFonts w:hint="eastAsia" w:ascii="宋体" w:hAnsi="宋体" w:eastAsia="宋体" w:cs="宋体"/>
              </w:rPr>
              <w:t>兖矿榆林精细化工有限公司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陕西榆林</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0.46</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Style w:val="34"/>
                <w:rFonts w:hint="eastAsia" w:ascii="宋体" w:hAnsi="宋体" w:eastAsia="宋体" w:cs="宋体"/>
              </w:rPr>
              <w:t>化工产品生产及销售</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3.27</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0.65</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2.62</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19.88%</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0.65</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2.68</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0.42</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2"/>
              </w:rPr>
            </w:pPr>
            <w:r>
              <w:rPr>
                <w:rFonts w:hint="eastAsia" w:ascii="宋体" w:hAnsi="宋体" w:eastAsia="宋体" w:cs="宋体"/>
                <w:color w:val="000000"/>
                <w:kern w:val="0"/>
                <w:sz w:val="22"/>
                <w:szCs w:val="22"/>
              </w:rPr>
              <w:t>10</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Style w:val="34"/>
                <w:rFonts w:hint="eastAsia" w:ascii="宋体" w:hAnsi="宋体" w:eastAsia="宋体" w:cs="宋体"/>
              </w:rPr>
              <w:t>兖矿鲁南化工有限公司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山东滕州</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50.41</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Style w:val="34"/>
                <w:rFonts w:hint="eastAsia" w:ascii="宋体" w:hAnsi="宋体" w:eastAsia="宋体" w:cs="宋体"/>
              </w:rPr>
              <w:t>化工产品生产及销售</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szCs w:val="22"/>
                <w:lang w:val="en-US" w:eastAsia="zh-CN"/>
              </w:rPr>
            </w:pPr>
            <w:r>
              <w:rPr>
                <w:rFonts w:hint="eastAsia" w:ascii="宋体" w:hAnsi="宋体" w:cs="宋体"/>
                <w:color w:val="000000"/>
                <w:sz w:val="22"/>
                <w:szCs w:val="22"/>
                <w:lang w:val="en-US" w:eastAsia="zh-CN"/>
              </w:rPr>
              <w:t>136.37</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32.28</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szCs w:val="22"/>
                <w:lang w:val="en-US" w:eastAsia="zh-CN"/>
              </w:rPr>
            </w:pPr>
            <w:r>
              <w:rPr>
                <w:rFonts w:hint="eastAsia" w:ascii="宋体" w:hAnsi="宋体" w:cs="宋体"/>
                <w:color w:val="000000"/>
                <w:sz w:val="22"/>
                <w:szCs w:val="22"/>
                <w:lang w:val="en-US" w:eastAsia="zh-CN"/>
              </w:rPr>
              <w:t>104.09</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23.75%</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21.51</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7.1</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123.63</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szCs w:val="22"/>
                <w:lang w:val="en-US" w:eastAsia="zh-CN"/>
              </w:rPr>
            </w:pPr>
            <w:r>
              <w:rPr>
                <w:rFonts w:hint="eastAsia" w:ascii="宋体" w:hAnsi="宋体" w:cs="宋体"/>
                <w:color w:val="000000"/>
                <w:sz w:val="22"/>
                <w:szCs w:val="22"/>
                <w:lang w:val="en-US" w:eastAsia="zh-CN"/>
              </w:rPr>
              <w:t>2.26</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2"/>
              </w:rPr>
            </w:pPr>
            <w:r>
              <w:rPr>
                <w:rFonts w:hint="eastAsia" w:ascii="宋体" w:hAnsi="宋体" w:eastAsia="宋体" w:cs="宋体"/>
                <w:color w:val="000000"/>
                <w:kern w:val="0"/>
                <w:sz w:val="22"/>
                <w:szCs w:val="22"/>
              </w:rPr>
              <w:t>11</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top"/>
              <w:rPr>
                <w:rFonts w:hint="eastAsia" w:ascii="宋体" w:hAnsi="宋体" w:eastAsia="宋体" w:cs="宋体"/>
                <w:color w:val="000000"/>
                <w:kern w:val="0"/>
                <w:sz w:val="22"/>
                <w:szCs w:val="22"/>
              </w:rPr>
            </w:pPr>
            <w:r>
              <w:rPr>
                <w:rStyle w:val="34"/>
                <w:rFonts w:hint="eastAsia" w:ascii="宋体" w:hAnsi="宋体" w:eastAsia="宋体" w:cs="宋体"/>
              </w:rPr>
              <w:t>陕西靖神铁路有限责任公司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陕西榆林</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62</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（未来能源持股4%）</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Style w:val="34"/>
                <w:rFonts w:hint="eastAsia" w:ascii="宋体" w:hAnsi="宋体" w:eastAsia="宋体" w:cs="宋体"/>
              </w:rPr>
              <w:t>铁路建设、运输</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137.95</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87.17</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50.78</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63.19%</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sz w:val="22"/>
                <w:szCs w:val="22"/>
              </w:rPr>
              <w:t>13.57</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73.6</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1.75</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0.17</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2"/>
                <w:szCs w:val="22"/>
              </w:rPr>
            </w:pPr>
            <w:r>
              <w:rPr>
                <w:rStyle w:val="34"/>
                <w:rFonts w:hint="eastAsia" w:ascii="宋体" w:hAnsi="宋体" w:eastAsia="宋体" w:cs="宋体"/>
              </w:rPr>
              <w:t>鄂尔多斯市转龙湾煤炭有限公司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34"/>
                <w:rFonts w:hint="eastAsia" w:ascii="宋体" w:hAnsi="宋体" w:eastAsia="宋体" w:cs="宋体"/>
              </w:rPr>
            </w:pPr>
            <w:r>
              <w:rPr>
                <w:rStyle w:val="34"/>
                <w:rFonts w:hint="eastAsia" w:ascii="宋体" w:hAnsi="宋体" w:eastAsia="宋体" w:cs="宋体"/>
              </w:rPr>
              <w:t>内蒙古</w:t>
            </w:r>
          </w:p>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鄂尔多斯</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50.5</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Style w:val="34"/>
                <w:rFonts w:hint="eastAsia" w:ascii="宋体" w:hAnsi="宋体" w:eastAsia="宋体" w:cs="宋体"/>
              </w:rPr>
              <w:t>煤炭开采及销售</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146.81</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20.2</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126.61</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13.76%</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5.45</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43.15</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17.34</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2"/>
                <w:szCs w:val="22"/>
              </w:rPr>
            </w:pPr>
            <w:r>
              <w:rPr>
                <w:rStyle w:val="34"/>
                <w:rFonts w:hint="eastAsia" w:ascii="宋体" w:hAnsi="宋体" w:eastAsia="宋体" w:cs="宋体"/>
              </w:rPr>
              <w:t>鄂尔多斯市营盘壕煤炭有限公司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34"/>
                <w:rFonts w:hint="eastAsia" w:ascii="宋体" w:hAnsi="宋体" w:eastAsia="宋体" w:cs="宋体"/>
              </w:rPr>
            </w:pPr>
            <w:r>
              <w:rPr>
                <w:rStyle w:val="34"/>
                <w:rFonts w:hint="eastAsia" w:ascii="宋体" w:hAnsi="宋体" w:eastAsia="宋体" w:cs="宋体"/>
              </w:rPr>
              <w:t>内蒙古</w:t>
            </w:r>
          </w:p>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鄂尔多斯</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30</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Style w:val="34"/>
                <w:rFonts w:hint="eastAsia" w:ascii="宋体" w:hAnsi="宋体" w:eastAsia="宋体" w:cs="宋体"/>
              </w:rPr>
              <w:t>煤炭开采及销售</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114.53</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73.21</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41.32</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63.92%</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35.71</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20.54</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-0.68</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sz w:val="22"/>
                <w:szCs w:val="22"/>
              </w:rPr>
            </w:pPr>
            <w:r>
              <w:rPr>
                <w:rStyle w:val="34"/>
                <w:rFonts w:hint="eastAsia" w:ascii="宋体" w:hAnsi="宋体" w:eastAsia="宋体" w:cs="宋体"/>
              </w:rPr>
              <w:t>内蒙古昊盛煤业有限公司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34"/>
                <w:rFonts w:hint="eastAsia" w:ascii="宋体" w:hAnsi="宋体" w:eastAsia="宋体" w:cs="宋体"/>
              </w:rPr>
            </w:pPr>
            <w:r>
              <w:rPr>
                <w:rStyle w:val="34"/>
                <w:rFonts w:hint="eastAsia" w:ascii="宋体" w:hAnsi="宋体" w:eastAsia="宋体" w:cs="宋体"/>
              </w:rPr>
              <w:t>内蒙古</w:t>
            </w:r>
          </w:p>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鄂尔多斯</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11.85</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59.38%</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Style w:val="34"/>
                <w:rFonts w:hint="eastAsia" w:ascii="宋体" w:hAnsi="宋体" w:eastAsia="宋体" w:cs="宋体"/>
              </w:rPr>
              <w:t>煤炭开采及销售</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159.81</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102.01</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57.81</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63.83%</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35.44</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szCs w:val="22"/>
                <w:lang w:val="en-US" w:eastAsia="zh-CN"/>
              </w:rPr>
            </w:pPr>
            <w:r>
              <w:rPr>
                <w:rFonts w:hint="eastAsia" w:ascii="宋体" w:hAnsi="宋体" w:cs="宋体"/>
                <w:color w:val="000000"/>
                <w:sz w:val="22"/>
                <w:szCs w:val="22"/>
                <w:lang w:val="en-US" w:eastAsia="zh-CN"/>
              </w:rPr>
              <w:t>40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25.93</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0.62</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sz w:val="22"/>
                <w:szCs w:val="22"/>
              </w:rPr>
            </w:pPr>
            <w:r>
              <w:rPr>
                <w:rStyle w:val="34"/>
                <w:rFonts w:hint="eastAsia" w:ascii="宋体" w:hAnsi="宋体" w:eastAsia="宋体" w:cs="宋体"/>
              </w:rPr>
              <w:t>内蒙古荣信化工有限公司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34"/>
                <w:rFonts w:hint="eastAsia" w:ascii="宋体" w:hAnsi="宋体" w:eastAsia="宋体" w:cs="宋体"/>
              </w:rPr>
            </w:pPr>
            <w:r>
              <w:rPr>
                <w:rStyle w:val="34"/>
                <w:rFonts w:hint="eastAsia" w:ascii="宋体" w:hAnsi="宋体" w:eastAsia="宋体" w:cs="宋体"/>
              </w:rPr>
              <w:t>内蒙古</w:t>
            </w:r>
          </w:p>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鄂尔多斯</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15.33</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sz w:val="22"/>
                <w:szCs w:val="22"/>
              </w:rPr>
            </w:pPr>
            <w:r>
              <w:rPr>
                <w:rStyle w:val="34"/>
                <w:rFonts w:hint="eastAsia" w:ascii="宋体" w:hAnsi="宋体" w:eastAsia="宋体" w:cs="宋体"/>
              </w:rPr>
              <w:t>化工产品研发、生产及销售</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80.2</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64.61</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15.58</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80.56%</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17.93</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54.31</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-7.16</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2"/>
                <w:szCs w:val="22"/>
              </w:rPr>
            </w:pPr>
            <w:r>
              <w:rPr>
                <w:rStyle w:val="34"/>
                <w:rFonts w:hint="eastAsia" w:ascii="宋体" w:hAnsi="宋体" w:eastAsia="宋体" w:cs="宋体"/>
              </w:rPr>
              <w:t>兖州煤业榆林能化有限公司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陕西榆林</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14</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Style w:val="34"/>
                <w:rFonts w:hint="eastAsia" w:ascii="宋体" w:hAnsi="宋体" w:eastAsia="宋体" w:cs="宋体"/>
              </w:rPr>
              <w:t>化工产品研发、生产及销售</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44.39</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37.18</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7.21</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83.76%</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9.88</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szCs w:val="22"/>
                <w:lang w:val="en-US" w:eastAsia="zh-CN"/>
              </w:rPr>
            </w:pPr>
            <w:r>
              <w:rPr>
                <w:rFonts w:hint="eastAsia" w:ascii="宋体" w:hAnsi="宋体" w:cs="宋体"/>
                <w:color w:val="000000"/>
                <w:sz w:val="22"/>
                <w:szCs w:val="22"/>
                <w:lang w:val="en-US" w:eastAsia="zh-CN"/>
              </w:rPr>
              <w:t>18.60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30.44</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-5.37</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17</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2"/>
                <w:szCs w:val="22"/>
              </w:rPr>
            </w:pPr>
            <w:r>
              <w:rPr>
                <w:rStyle w:val="34"/>
                <w:rFonts w:hint="eastAsia" w:ascii="宋体" w:hAnsi="宋体" w:eastAsia="宋体" w:cs="宋体"/>
              </w:rPr>
              <w:t>内蒙古矿业（集团）有限责任公司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34"/>
                <w:rFonts w:hint="eastAsia" w:ascii="宋体" w:hAnsi="宋体" w:eastAsia="宋体" w:cs="宋体"/>
              </w:rPr>
            </w:pPr>
            <w:r>
              <w:rPr>
                <w:rStyle w:val="34"/>
                <w:rFonts w:hint="eastAsia" w:ascii="宋体" w:hAnsi="宋体" w:eastAsia="宋体" w:cs="宋体"/>
              </w:rPr>
              <w:t>内蒙古</w:t>
            </w:r>
          </w:p>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呼和浩特</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69.97</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51%</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Style w:val="34"/>
                <w:rFonts w:hint="eastAsia" w:ascii="宋体" w:hAnsi="宋体" w:eastAsia="宋体" w:cs="宋体"/>
              </w:rPr>
              <w:t>矿产资源投资与管理，矿产品销售及进出口贸易</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2"/>
                <w:szCs w:val="22"/>
              </w:rPr>
            </w:pPr>
            <w:r>
              <w:rPr>
                <w:rFonts w:ascii="宋体" w:hAnsi="宋体" w:cs="宋体"/>
                <w:color w:val="auto"/>
                <w:sz w:val="22"/>
                <w:szCs w:val="22"/>
              </w:rPr>
              <w:t>379.57</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2"/>
                <w:szCs w:val="22"/>
              </w:rPr>
            </w:pPr>
            <w:r>
              <w:rPr>
                <w:rFonts w:ascii="宋体" w:hAnsi="宋体" w:cs="宋体"/>
                <w:color w:val="auto"/>
                <w:sz w:val="22"/>
                <w:szCs w:val="22"/>
              </w:rPr>
              <w:t>266.97</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2"/>
                <w:szCs w:val="22"/>
              </w:rPr>
            </w:pPr>
            <w:r>
              <w:rPr>
                <w:rFonts w:ascii="宋体" w:hAnsi="宋体" w:cs="宋体"/>
                <w:color w:val="auto"/>
                <w:sz w:val="22"/>
                <w:szCs w:val="22"/>
              </w:rPr>
              <w:t>112.59</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bidi="ar"/>
              </w:rPr>
              <w:t>70.</w:t>
            </w:r>
            <w:r>
              <w:rPr>
                <w:rFonts w:ascii="宋体" w:hAnsi="宋体" w:cs="宋体"/>
                <w:color w:val="auto"/>
                <w:kern w:val="0"/>
                <w:sz w:val="22"/>
                <w:szCs w:val="22"/>
                <w:lang w:bidi="ar"/>
              </w:rPr>
              <w:t>34</w:t>
            </w:r>
            <w:r>
              <w:rPr>
                <w:rFonts w:hint="eastAsia" w:ascii="宋体" w:hAnsi="宋体" w:cs="宋体"/>
                <w:color w:val="auto"/>
                <w:kern w:val="0"/>
                <w:sz w:val="22"/>
                <w:szCs w:val="22"/>
                <w:lang w:bidi="ar"/>
              </w:rPr>
              <w:t>%</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2"/>
                <w:szCs w:val="22"/>
              </w:rPr>
            </w:pPr>
            <w:r>
              <w:rPr>
                <w:rFonts w:ascii="宋体" w:hAnsi="宋体" w:cs="宋体"/>
                <w:color w:val="auto"/>
                <w:sz w:val="22"/>
                <w:szCs w:val="22"/>
              </w:rPr>
              <w:t>165.82</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2"/>
                <w:szCs w:val="22"/>
              </w:rPr>
            </w:pPr>
            <w:r>
              <w:rPr>
                <w:rFonts w:ascii="宋体" w:hAnsi="宋体" w:cs="宋体"/>
                <w:color w:val="auto"/>
                <w:sz w:val="22"/>
                <w:szCs w:val="22"/>
              </w:rPr>
              <w:t>43.65</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2"/>
                <w:szCs w:val="22"/>
              </w:rPr>
            </w:pPr>
            <w:r>
              <w:rPr>
                <w:rFonts w:ascii="宋体" w:hAnsi="宋体" w:cs="宋体"/>
                <w:color w:val="auto"/>
                <w:sz w:val="22"/>
                <w:szCs w:val="22"/>
              </w:rPr>
              <w:t>33.81</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2"/>
                <w:szCs w:val="22"/>
              </w:rPr>
            </w:pPr>
            <w:r>
              <w:rPr>
                <w:rFonts w:hint="eastAsia" w:ascii="宋体" w:hAnsi="宋体" w:cs="宋体"/>
                <w:color w:val="auto"/>
                <w:sz w:val="22"/>
                <w:szCs w:val="22"/>
              </w:rPr>
              <w:t>-</w:t>
            </w:r>
            <w:r>
              <w:rPr>
                <w:rFonts w:ascii="宋体" w:hAnsi="宋体" w:cs="宋体"/>
                <w:color w:val="auto"/>
                <w:sz w:val="22"/>
                <w:szCs w:val="22"/>
              </w:rPr>
              <w:t>5.85</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18</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2"/>
                <w:szCs w:val="22"/>
              </w:rPr>
            </w:pPr>
            <w:r>
              <w:rPr>
                <w:rStyle w:val="34"/>
                <w:rFonts w:hint="eastAsia" w:ascii="宋体" w:hAnsi="宋体" w:eastAsia="宋体" w:cs="宋体"/>
              </w:rPr>
              <w:t>乌兰察布市宏大实业有限公司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34"/>
                <w:rFonts w:hint="eastAsia" w:ascii="宋体" w:hAnsi="宋体" w:eastAsia="宋体" w:cs="宋体"/>
              </w:rPr>
            </w:pPr>
            <w:r>
              <w:rPr>
                <w:rStyle w:val="34"/>
                <w:rFonts w:hint="eastAsia" w:ascii="宋体" w:hAnsi="宋体" w:eastAsia="宋体" w:cs="宋体"/>
              </w:rPr>
              <w:t>内蒙古</w:t>
            </w:r>
          </w:p>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乌兰察布</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5.5</w:t>
            </w:r>
            <w:r>
              <w:rPr>
                <w:rStyle w:val="34"/>
                <w:rFonts w:hint="eastAsia" w:ascii="宋体" w:hAnsi="宋体" w:eastAsia="宋体" w:cs="宋体"/>
                <w:lang w:val="en-US" w:eastAsia="zh-CN"/>
              </w:rPr>
              <w:t>0</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（内蒙古矿业持股100%）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Style w:val="34"/>
                <w:rFonts w:hint="eastAsia" w:ascii="宋体" w:hAnsi="宋体" w:eastAsia="宋体" w:cs="宋体"/>
              </w:rPr>
              <w:t>电力、热力生产供应</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20.93</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18.82</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2.11</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89.92%</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7.29</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12.11</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-1.19</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19</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2"/>
                <w:szCs w:val="22"/>
              </w:rPr>
            </w:pPr>
            <w:r>
              <w:rPr>
                <w:rStyle w:val="34"/>
                <w:rFonts w:hint="eastAsia" w:ascii="宋体" w:hAnsi="宋体" w:eastAsia="宋体" w:cs="宋体"/>
              </w:rPr>
              <w:t>鄂尔多斯市锋威光电有限公司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34"/>
                <w:rFonts w:hint="eastAsia" w:ascii="宋体" w:hAnsi="宋体" w:eastAsia="宋体" w:cs="宋体"/>
              </w:rPr>
            </w:pPr>
            <w:r>
              <w:rPr>
                <w:rStyle w:val="34"/>
                <w:rFonts w:hint="eastAsia" w:ascii="宋体" w:hAnsi="宋体" w:eastAsia="宋体" w:cs="宋体"/>
              </w:rPr>
              <w:t>内蒙古</w:t>
            </w:r>
          </w:p>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鄂尔多斯</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1.8</w:t>
            </w:r>
            <w:r>
              <w:rPr>
                <w:rStyle w:val="34"/>
                <w:rFonts w:hint="eastAsia" w:ascii="宋体" w:hAnsi="宋体" w:eastAsia="宋体" w:cs="宋体"/>
                <w:lang w:val="en-US" w:eastAsia="zh-CN"/>
              </w:rPr>
              <w:t>0</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（内蒙古矿业持股100%）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Style w:val="34"/>
                <w:rFonts w:hint="eastAsia" w:ascii="宋体" w:hAnsi="宋体" w:eastAsia="宋体" w:cs="宋体"/>
              </w:rPr>
              <w:t>太阳能、风能发电项目建设及生产运营</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14.36</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11.7</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2.66</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81.48%</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1.08</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1.15</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0.04</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2"/>
                <w:szCs w:val="22"/>
              </w:rPr>
            </w:pPr>
            <w:r>
              <w:rPr>
                <w:rStyle w:val="34"/>
                <w:rFonts w:hint="eastAsia" w:ascii="宋体" w:hAnsi="宋体" w:eastAsia="宋体" w:cs="宋体"/>
              </w:rPr>
              <w:t>内蒙古矿业资源投资控股有限公司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34"/>
                <w:rFonts w:hint="eastAsia" w:ascii="宋体" w:hAnsi="宋体" w:eastAsia="宋体" w:cs="宋体"/>
              </w:rPr>
            </w:pPr>
            <w:r>
              <w:rPr>
                <w:rStyle w:val="34"/>
                <w:rFonts w:hint="eastAsia" w:ascii="宋体" w:hAnsi="宋体" w:eastAsia="宋体" w:cs="宋体"/>
              </w:rPr>
              <w:t>内蒙古</w:t>
            </w:r>
          </w:p>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呼和浩特</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4</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（内蒙古矿业持股100%）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Style w:val="34"/>
                <w:rFonts w:hint="eastAsia" w:ascii="宋体" w:hAnsi="宋体" w:eastAsia="宋体" w:cs="宋体"/>
              </w:rPr>
              <w:t>投资与资产管理、矿业权经营</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23.29</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0.99</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22.29</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4.25%</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0.45</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-0.09</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2"/>
                <w:szCs w:val="22"/>
              </w:rPr>
            </w:pPr>
            <w:r>
              <w:rPr>
                <w:rStyle w:val="34"/>
                <w:rFonts w:hint="eastAsia" w:ascii="宋体" w:hAnsi="宋体" w:eastAsia="宋体" w:cs="宋体"/>
              </w:rPr>
              <w:t>内蒙古伊泰嘎鲁图矿业有限公司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34"/>
                <w:rFonts w:hint="eastAsia" w:ascii="宋体" w:hAnsi="宋体" w:eastAsia="宋体" w:cs="宋体"/>
              </w:rPr>
            </w:pPr>
            <w:r>
              <w:rPr>
                <w:rStyle w:val="34"/>
                <w:rFonts w:hint="eastAsia" w:ascii="宋体" w:hAnsi="宋体" w:eastAsia="宋体" w:cs="宋体"/>
              </w:rPr>
              <w:t>内蒙古</w:t>
            </w:r>
          </w:p>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鄂尔多斯</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10</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（内蒙古矿业持股52.77%）</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Style w:val="34"/>
                <w:rFonts w:hint="eastAsia" w:ascii="宋体" w:hAnsi="宋体" w:eastAsia="宋体" w:cs="宋体"/>
              </w:rPr>
              <w:t>原煤生产、运输、洗选、焦化、销售</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46.57</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8.9</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37.66</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19.11%</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内蒙古博珢泰煤炭有限公司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内蒙古</w:t>
            </w:r>
          </w:p>
          <w:p>
            <w:pPr>
              <w:widowControl/>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鄂尔多斯</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30</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（内蒙古矿业持股100%）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煤炭开采、煤炭洗选等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2.05</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0.09</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1.96</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4.39%</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0.09</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-0.04</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23</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2"/>
                <w:szCs w:val="22"/>
              </w:rPr>
            </w:pPr>
            <w:r>
              <w:rPr>
                <w:rStyle w:val="34"/>
                <w:rFonts w:hint="eastAsia" w:ascii="宋体" w:hAnsi="宋体" w:eastAsia="宋体" w:cs="宋体"/>
              </w:rPr>
              <w:t>内蒙古锦联铝材有限公司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34"/>
                <w:rFonts w:hint="eastAsia" w:ascii="宋体" w:hAnsi="宋体" w:eastAsia="宋体" w:cs="宋体"/>
              </w:rPr>
            </w:pPr>
            <w:r>
              <w:rPr>
                <w:rStyle w:val="34"/>
                <w:rFonts w:hint="eastAsia" w:ascii="宋体" w:hAnsi="宋体" w:eastAsia="宋体" w:cs="宋体"/>
              </w:rPr>
              <w:t>内蒙古</w:t>
            </w:r>
          </w:p>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霍林郭勒</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105</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（内蒙古矿业持股44.21%）</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Style w:val="34"/>
                <w:rFonts w:hint="eastAsia" w:ascii="宋体" w:hAnsi="宋体" w:eastAsia="宋体" w:cs="宋体"/>
              </w:rPr>
              <w:t>铝后加工，铝锭、铝制品及衍生产品的生</w:t>
            </w:r>
            <w:r>
              <w:rPr>
                <w:rStyle w:val="34"/>
                <w:rFonts w:hint="eastAsia" w:ascii="宋体" w:hAnsi="宋体" w:cs="宋体"/>
                <w:lang w:val="en-US" w:eastAsia="zh-CN"/>
              </w:rPr>
              <w:t>产</w:t>
            </w:r>
            <w:r>
              <w:rPr>
                <w:rStyle w:val="34"/>
                <w:rFonts w:hint="eastAsia" w:ascii="宋体" w:hAnsi="宋体" w:eastAsia="宋体" w:cs="宋体"/>
              </w:rPr>
              <w:t>销售，货物及技术的进出口业务</w:t>
            </w:r>
            <w:r>
              <w:rPr>
                <w:rStyle w:val="34"/>
                <w:rFonts w:hint="eastAsia" w:ascii="宋体" w:hAnsi="宋体" w:cs="宋体"/>
                <w:lang w:eastAsia="zh-CN"/>
              </w:rPr>
              <w:t>，</w:t>
            </w:r>
            <w:r>
              <w:rPr>
                <w:rStyle w:val="34"/>
                <w:rFonts w:hint="eastAsia" w:ascii="宋体" w:hAnsi="宋体" w:eastAsia="宋体" w:cs="宋体"/>
              </w:rPr>
              <w:t>售电，仓储</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156.5</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73.78</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82.72</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47.14%</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48.29</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24.85</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172.84</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12.22</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24</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2"/>
                <w:szCs w:val="22"/>
              </w:rPr>
            </w:pPr>
            <w:r>
              <w:rPr>
                <w:rStyle w:val="34"/>
                <w:rFonts w:hint="eastAsia" w:ascii="宋体" w:hAnsi="宋体" w:eastAsia="宋体" w:cs="宋体"/>
              </w:rPr>
              <w:t>兖矿东平陆港有限公司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山东泰安</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9.</w:t>
            </w:r>
            <w:r>
              <w:rPr>
                <w:rStyle w:val="34"/>
                <w:rFonts w:hint="eastAsia" w:ascii="宋体" w:hAnsi="宋体" w:eastAsia="宋体" w:cs="宋体"/>
                <w:lang w:val="en-US" w:eastAsia="zh-CN"/>
              </w:rPr>
              <w:t>20</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46.31%</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Style w:val="34"/>
                <w:rFonts w:hint="eastAsia" w:ascii="宋体" w:hAnsi="宋体" w:eastAsia="宋体" w:cs="宋体"/>
              </w:rPr>
              <w:t>港口基础设施建设、运营及管理</w:t>
            </w:r>
            <w:r>
              <w:rPr>
                <w:rStyle w:val="34"/>
                <w:rFonts w:hint="eastAsia" w:ascii="宋体" w:hAnsi="宋体" w:cs="宋体"/>
                <w:lang w:eastAsia="zh-CN"/>
              </w:rPr>
              <w:t>，</w:t>
            </w:r>
            <w:r>
              <w:rPr>
                <w:rStyle w:val="34"/>
                <w:rFonts w:hint="eastAsia" w:ascii="宋体" w:hAnsi="宋体" w:eastAsia="宋体" w:cs="宋体"/>
              </w:rPr>
              <w:t>道路货物运输</w:t>
            </w:r>
            <w:r>
              <w:rPr>
                <w:rStyle w:val="34"/>
                <w:rFonts w:hint="eastAsia" w:ascii="宋体" w:hAnsi="宋体" w:cs="宋体"/>
                <w:lang w:eastAsia="zh-CN"/>
              </w:rPr>
              <w:t>，</w:t>
            </w:r>
            <w:r>
              <w:rPr>
                <w:rStyle w:val="34"/>
                <w:rFonts w:hint="eastAsia" w:ascii="宋体" w:hAnsi="宋体" w:eastAsia="宋体" w:cs="宋体"/>
              </w:rPr>
              <w:t>铁路货物运输等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26.46</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17.1</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9.36</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64.63%</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4.1</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1.06</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0.08</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25</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2"/>
                <w:szCs w:val="22"/>
              </w:rPr>
            </w:pPr>
            <w:r>
              <w:rPr>
                <w:rStyle w:val="34"/>
                <w:rFonts w:hint="eastAsia" w:ascii="宋体" w:hAnsi="宋体" w:eastAsia="宋体" w:cs="宋体"/>
                <w:highlight w:val="none"/>
              </w:rPr>
              <w:t>烟台金正环保科技有限公司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山东烟台</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1</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（兖煤国际间接持股45%）</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Style w:val="34"/>
                <w:rFonts w:hint="eastAsia" w:ascii="宋体" w:hAnsi="宋体" w:eastAsia="宋体" w:cs="宋体"/>
              </w:rPr>
              <w:t>建设工程施工</w:t>
            </w:r>
            <w:r>
              <w:rPr>
                <w:rStyle w:val="34"/>
                <w:rFonts w:hint="eastAsia" w:ascii="宋体" w:hAnsi="宋体" w:cs="宋体"/>
                <w:lang w:eastAsia="zh-CN"/>
              </w:rPr>
              <w:t>，</w:t>
            </w:r>
            <w:r>
              <w:rPr>
                <w:rStyle w:val="34"/>
                <w:rFonts w:hint="eastAsia" w:ascii="宋体" w:hAnsi="宋体" w:eastAsia="宋体" w:cs="宋体"/>
              </w:rPr>
              <w:t>气体、液体分离及纯净设备销售</w:t>
            </w:r>
            <w:r>
              <w:rPr>
                <w:rStyle w:val="34"/>
                <w:rFonts w:hint="eastAsia" w:ascii="宋体" w:hAnsi="宋体" w:cs="宋体"/>
                <w:lang w:eastAsia="zh-CN"/>
              </w:rPr>
              <w:t>，</w:t>
            </w:r>
            <w:r>
              <w:rPr>
                <w:rStyle w:val="34"/>
                <w:rFonts w:hint="eastAsia" w:ascii="宋体" w:hAnsi="宋体" w:eastAsia="宋体" w:cs="宋体"/>
              </w:rPr>
              <w:t>新型膜材料制造及销售</w:t>
            </w:r>
            <w:r>
              <w:rPr>
                <w:rStyle w:val="34"/>
                <w:rFonts w:hint="eastAsia" w:ascii="宋体" w:hAnsi="宋体" w:cs="宋体"/>
                <w:lang w:eastAsia="zh-CN"/>
              </w:rPr>
              <w:t>，</w:t>
            </w:r>
            <w:r>
              <w:rPr>
                <w:rStyle w:val="34"/>
                <w:rFonts w:hint="eastAsia" w:ascii="宋体" w:hAnsi="宋体" w:eastAsia="宋体" w:cs="宋体"/>
              </w:rPr>
              <w:t>新材料技术研发等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21.55</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22.9</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-1.35</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106.26%</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14.43</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3.58</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1.42</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0.61</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26</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2"/>
                <w:szCs w:val="22"/>
              </w:rPr>
            </w:pPr>
            <w:r>
              <w:rPr>
                <w:rStyle w:val="34"/>
                <w:rFonts w:hint="eastAsia" w:ascii="宋体" w:hAnsi="宋体" w:eastAsia="宋体" w:cs="宋体"/>
              </w:rPr>
              <w:t>兖矿东华重工有限公司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山东济宁</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22.78</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Style w:val="34"/>
                <w:rFonts w:hint="eastAsia" w:ascii="宋体" w:hAnsi="宋体" w:eastAsia="宋体" w:cs="宋体"/>
              </w:rPr>
              <w:t>矿用设备、机电设备、液压支架、带式输送机等产品的设计、制造、安装、维修、销售</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44.21</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25.32</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18.9</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57.27%</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15.04</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35.4</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0.45</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27</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兖矿物流科技有限公司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山东济宁</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Style w:val="34"/>
                <w:rFonts w:hint="eastAsia" w:ascii="宋体" w:hAnsi="宋体" w:eastAsia="宋体" w:cs="宋体"/>
              </w:rPr>
              <w:t>15</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国际货物运输代理</w:t>
            </w:r>
            <w:r>
              <w:rPr>
                <w:rFonts w:hint="eastAsia" w:ascii="宋体" w:hAnsi="宋体" w:cs="宋体"/>
                <w:color w:val="000000"/>
                <w:sz w:val="22"/>
                <w:szCs w:val="22"/>
                <w:lang w:eastAsia="zh-CN"/>
              </w:rPr>
              <w:t>，</w:t>
            </w:r>
            <w:r>
              <w:rPr>
                <w:rFonts w:hint="eastAsia" w:ascii="宋体" w:hAnsi="宋体" w:eastAsia="宋体" w:cs="宋体"/>
                <w:color w:val="000000"/>
                <w:sz w:val="22"/>
                <w:szCs w:val="22"/>
              </w:rPr>
              <w:t>数据处理和存储支持服务</w:t>
            </w:r>
            <w:r>
              <w:rPr>
                <w:rFonts w:hint="eastAsia" w:ascii="宋体" w:hAnsi="宋体" w:cs="宋体"/>
                <w:color w:val="000000"/>
                <w:sz w:val="22"/>
                <w:szCs w:val="22"/>
                <w:lang w:eastAsia="zh-CN"/>
              </w:rPr>
              <w:t>，</w:t>
            </w:r>
            <w:r>
              <w:rPr>
                <w:rFonts w:hint="eastAsia" w:ascii="宋体" w:hAnsi="宋体" w:eastAsia="宋体" w:cs="宋体"/>
                <w:color w:val="000000"/>
                <w:sz w:val="22"/>
                <w:szCs w:val="22"/>
              </w:rPr>
              <w:t>装卸搬运等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39.31</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2.59</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36.72</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6.59%</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1.88</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5.7</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0.93</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28</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山东能源集团鲁西矿业有限公司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山东菏泽</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50</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51%</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煤炭开采</w:t>
            </w:r>
            <w:r>
              <w:rPr>
                <w:rFonts w:hint="eastAsia" w:ascii="宋体" w:hAnsi="宋体" w:cs="宋体"/>
                <w:color w:val="000000"/>
                <w:sz w:val="22"/>
                <w:szCs w:val="22"/>
                <w:lang w:eastAsia="zh-CN"/>
              </w:rPr>
              <w:t>，</w:t>
            </w:r>
            <w:r>
              <w:rPr>
                <w:rFonts w:hint="eastAsia" w:ascii="宋体" w:hAnsi="宋体" w:eastAsia="宋体" w:cs="宋体"/>
                <w:color w:val="000000"/>
                <w:sz w:val="22"/>
                <w:szCs w:val="22"/>
              </w:rPr>
              <w:t>道路货物运输等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445.07</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346.9</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98.17</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77.94%</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205.17</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16</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156.28</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24.33</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29</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肥城矿业集团梁宝寺能源有限责任公司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山东济宁</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（鲁西矿业持股85%）</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煤炭开采</w:t>
            </w:r>
            <w:r>
              <w:rPr>
                <w:rFonts w:hint="eastAsia" w:ascii="宋体" w:hAnsi="宋体" w:cs="宋体"/>
                <w:color w:val="000000"/>
                <w:sz w:val="22"/>
                <w:szCs w:val="22"/>
                <w:lang w:eastAsia="zh-CN"/>
              </w:rPr>
              <w:t>，</w:t>
            </w:r>
            <w:r>
              <w:rPr>
                <w:rFonts w:hint="eastAsia" w:ascii="宋体" w:hAnsi="宋体" w:eastAsia="宋体" w:cs="宋体"/>
                <w:color w:val="000000"/>
                <w:sz w:val="22"/>
                <w:szCs w:val="22"/>
              </w:rPr>
              <w:t>住宿服务</w:t>
            </w:r>
            <w:r>
              <w:rPr>
                <w:rFonts w:hint="eastAsia" w:ascii="宋体" w:hAnsi="宋体" w:cs="宋体"/>
                <w:color w:val="000000"/>
                <w:sz w:val="22"/>
                <w:szCs w:val="22"/>
                <w:lang w:eastAsia="zh-CN"/>
              </w:rPr>
              <w:t>，</w:t>
            </w:r>
            <w:r>
              <w:rPr>
                <w:rFonts w:hint="eastAsia" w:ascii="宋体" w:hAnsi="宋体" w:eastAsia="宋体" w:cs="宋体"/>
                <w:color w:val="000000"/>
                <w:sz w:val="22"/>
                <w:szCs w:val="22"/>
              </w:rPr>
              <w:t>道路货物运输等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highlight w:val="yellow"/>
              </w:rPr>
            </w:pPr>
            <w:r>
              <w:rPr>
                <w:rFonts w:hint="eastAsia" w:ascii="宋体" w:hAnsi="宋体" w:eastAsia="宋体" w:cs="宋体"/>
                <w:color w:val="000000"/>
                <w:sz w:val="22"/>
                <w:szCs w:val="22"/>
              </w:rPr>
              <w:t>33.1</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highlight w:val="yellow"/>
              </w:rPr>
            </w:pPr>
            <w:r>
              <w:rPr>
                <w:rFonts w:hint="eastAsia" w:ascii="宋体" w:hAnsi="宋体" w:eastAsia="宋体" w:cs="宋体"/>
                <w:color w:val="000000"/>
                <w:sz w:val="22"/>
                <w:szCs w:val="22"/>
              </w:rPr>
              <w:t>40.26</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highlight w:val="yellow"/>
              </w:rPr>
            </w:pPr>
            <w:r>
              <w:rPr>
                <w:rFonts w:hint="eastAsia" w:ascii="宋体" w:hAnsi="宋体" w:eastAsia="宋体" w:cs="宋体"/>
                <w:color w:val="000000"/>
                <w:sz w:val="22"/>
                <w:szCs w:val="22"/>
              </w:rPr>
              <w:t>-7.16</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14:ligatures w14:val="none"/>
              </w:rPr>
              <w:t>121.63%</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highlight w:val="yellow"/>
              </w:rPr>
            </w:pPr>
            <w:r>
              <w:rPr>
                <w:rFonts w:hint="eastAsia" w:ascii="宋体" w:hAnsi="宋体" w:eastAsia="宋体" w:cs="宋体"/>
                <w:color w:val="000000"/>
                <w:sz w:val="22"/>
                <w:szCs w:val="22"/>
              </w:rPr>
              <w:t>15.56</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highlight w:val="yellow"/>
              </w:rPr>
            </w:pPr>
            <w:r>
              <w:rPr>
                <w:rFonts w:hint="eastAsia" w:ascii="宋体" w:hAnsi="宋体" w:eastAsia="宋体" w:cs="宋体"/>
                <w:color w:val="000000"/>
                <w:sz w:val="22"/>
                <w:szCs w:val="22"/>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highlight w:val="yellow"/>
              </w:rPr>
            </w:pPr>
            <w:r>
              <w:rPr>
                <w:rFonts w:hint="eastAsia" w:ascii="宋体" w:hAnsi="宋体" w:eastAsia="宋体" w:cs="宋体"/>
                <w:color w:val="000000"/>
                <w:sz w:val="22"/>
                <w:szCs w:val="22"/>
              </w:rPr>
              <w:t>12.6</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highlight w:val="yellow"/>
              </w:rPr>
            </w:pPr>
            <w:r>
              <w:rPr>
                <w:rFonts w:hint="eastAsia" w:ascii="宋体" w:hAnsi="宋体" w:eastAsia="宋体" w:cs="宋体"/>
                <w:color w:val="000000"/>
                <w:sz w:val="22"/>
                <w:szCs w:val="22"/>
              </w:rPr>
              <w:t>2.05</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bCs/>
                <w:kern w:val="0"/>
                <w:sz w:val="22"/>
                <w:szCs w:val="22"/>
              </w:rPr>
            </w:pPr>
            <w:r>
              <w:rPr>
                <w:rFonts w:hint="eastAsia" w:ascii="宋体" w:hAnsi="宋体" w:eastAsia="宋体" w:cs="宋体"/>
                <w:color w:val="000000"/>
                <w:sz w:val="22"/>
                <w:szCs w:val="22"/>
              </w:rPr>
              <w:t>肥城矿业集团单县能源有限责任公司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山东菏泽</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（鲁西矿业持股100%）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煤炭开采、洗选、加工、销售等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29.07</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26.44</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2.62</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90.95%</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21.54</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1.3</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3.4</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-1.85</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bCs/>
                <w:kern w:val="0"/>
                <w:sz w:val="22"/>
                <w:szCs w:val="22"/>
              </w:rPr>
            </w:pPr>
            <w:r>
              <w:rPr>
                <w:rFonts w:hint="eastAsia" w:ascii="宋体" w:hAnsi="宋体" w:eastAsia="宋体" w:cs="宋体"/>
                <w:color w:val="000000"/>
                <w:sz w:val="22"/>
                <w:szCs w:val="22"/>
              </w:rPr>
              <w:t>山东新巨龙能源有限责任公司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山东菏泽</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10</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（鲁西矿业持股60%）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建筑材料、矿山机械的销售</w:t>
            </w:r>
            <w:r>
              <w:rPr>
                <w:rFonts w:hint="eastAsia" w:ascii="宋体" w:hAnsi="宋体" w:cs="宋体"/>
                <w:color w:val="000000"/>
                <w:sz w:val="22"/>
                <w:szCs w:val="22"/>
                <w:lang w:eastAsia="zh-CN"/>
              </w:rPr>
              <w:t>，</w:t>
            </w:r>
            <w:r>
              <w:rPr>
                <w:rFonts w:hint="eastAsia" w:ascii="宋体" w:hAnsi="宋体" w:eastAsia="宋体" w:cs="宋体"/>
                <w:color w:val="000000"/>
                <w:sz w:val="22"/>
                <w:szCs w:val="22"/>
              </w:rPr>
              <w:t>煤炭开采、洗选、加工，采煤技术的咨询服务等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151.52</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140.93</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10.59</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93.01%</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112.26</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4.99</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59.86</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16.84</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32</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bCs/>
                <w:kern w:val="0"/>
                <w:sz w:val="22"/>
                <w:szCs w:val="22"/>
              </w:rPr>
            </w:pPr>
            <w:r>
              <w:rPr>
                <w:rFonts w:hint="eastAsia" w:ascii="宋体" w:hAnsi="宋体" w:eastAsia="宋体" w:cs="宋体"/>
                <w:color w:val="000000"/>
                <w:sz w:val="22"/>
                <w:szCs w:val="22"/>
              </w:rPr>
              <w:t>山东李楼煤业有限公司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山东菏泽</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6.4</w:t>
            </w:r>
            <w:r>
              <w:rPr>
                <w:rFonts w:hint="eastAsia" w:ascii="宋体" w:hAnsi="宋体" w:eastAsia="宋体" w:cs="宋体"/>
                <w:kern w:val="0"/>
                <w:sz w:val="22"/>
                <w:szCs w:val="22"/>
                <w:lang w:val="en-US" w:eastAsia="zh-CN"/>
              </w:rPr>
              <w:t>4</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（鲁西矿业持股100%）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煤炭开采</w:t>
            </w:r>
            <w:r>
              <w:rPr>
                <w:rFonts w:hint="eastAsia" w:ascii="宋体" w:hAnsi="宋体" w:cs="宋体"/>
                <w:color w:val="000000"/>
                <w:sz w:val="22"/>
                <w:szCs w:val="22"/>
                <w:lang w:eastAsia="zh-CN"/>
              </w:rPr>
              <w:t>，</w:t>
            </w:r>
            <w:r>
              <w:rPr>
                <w:rFonts w:hint="eastAsia" w:ascii="宋体" w:hAnsi="宋体" w:eastAsia="宋体" w:cs="宋体"/>
                <w:color w:val="000000"/>
                <w:sz w:val="22"/>
                <w:szCs w:val="22"/>
              </w:rPr>
              <w:t>建设工程施工</w:t>
            </w:r>
            <w:r>
              <w:rPr>
                <w:rFonts w:hint="eastAsia" w:ascii="宋体" w:hAnsi="宋体" w:cs="宋体"/>
                <w:color w:val="000000"/>
                <w:sz w:val="22"/>
                <w:szCs w:val="22"/>
                <w:lang w:eastAsia="zh-CN"/>
              </w:rPr>
              <w:t>，</w:t>
            </w:r>
            <w:r>
              <w:rPr>
                <w:rFonts w:hint="eastAsia" w:ascii="宋体" w:hAnsi="宋体" w:eastAsia="宋体" w:cs="宋体"/>
                <w:color w:val="000000"/>
                <w:sz w:val="22"/>
                <w:szCs w:val="22"/>
              </w:rPr>
              <w:t>建筑劳务分包等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119.9</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74.81</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45.09</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62.39%</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56.46</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13.15</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21.15</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1.72</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33</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Cs/>
                <w:kern w:val="0"/>
                <w:sz w:val="22"/>
                <w:szCs w:val="22"/>
              </w:rPr>
            </w:pPr>
            <w:r>
              <w:rPr>
                <w:rFonts w:hint="eastAsia" w:ascii="宋体" w:hAnsi="宋体" w:eastAsia="宋体" w:cs="宋体"/>
                <w:color w:val="000000"/>
                <w:sz w:val="22"/>
                <w:szCs w:val="22"/>
              </w:rPr>
              <w:t>兖矿新疆能化有限公司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新疆</w:t>
            </w:r>
          </w:p>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乌鲁木齐</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30</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51%</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Fonts w:hint="eastAsia" w:ascii="宋体" w:hAnsi="宋体" w:cs="宋体"/>
                <w:color w:val="000000"/>
                <w:sz w:val="22"/>
                <w:szCs w:val="22"/>
                <w:lang w:val="en-US" w:eastAsia="zh-CN"/>
              </w:rPr>
              <w:t>煤炭开采、洗选、销售，化工产品生产、销售</w:t>
            </w:r>
            <w:r>
              <w:rPr>
                <w:rFonts w:hint="eastAsia" w:ascii="宋体" w:hAnsi="宋体" w:eastAsia="宋体" w:cs="宋体"/>
                <w:color w:val="000000"/>
                <w:sz w:val="22"/>
                <w:szCs w:val="22"/>
              </w:rPr>
              <w:t>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177</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160.66</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16.34</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90.77%</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89.22</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sz w:val="22"/>
                <w:szCs w:val="22"/>
                <w:lang w:val="en-US" w:eastAsia="zh-CN"/>
              </w:rPr>
            </w:pPr>
            <w:r>
              <w:rPr>
                <w:rFonts w:hint="eastAsia" w:ascii="宋体" w:hAnsi="宋体" w:cs="宋体"/>
                <w:color w:val="000000"/>
                <w:sz w:val="22"/>
                <w:szCs w:val="22"/>
                <w:lang w:val="en-US" w:eastAsia="zh-CN"/>
              </w:rPr>
              <w:t>62.16</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50.88</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3.73</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34</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Cs/>
                <w:kern w:val="0"/>
                <w:sz w:val="22"/>
                <w:szCs w:val="22"/>
              </w:rPr>
            </w:pPr>
            <w:r>
              <w:rPr>
                <w:rFonts w:hint="eastAsia" w:ascii="宋体" w:hAnsi="宋体" w:eastAsia="宋体" w:cs="宋体"/>
                <w:color w:val="000000"/>
                <w:sz w:val="22"/>
                <w:szCs w:val="22"/>
              </w:rPr>
              <w:t>兖矿新疆矿业有限公司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新疆昌吉</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3.83</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（新疆能化持股51%）</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煤炭生产、销售（限分支机构）等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9.15</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20.56</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-11.41</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224.70%</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16.96</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2.75</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-2.71</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35</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bCs/>
                <w:kern w:val="0"/>
                <w:sz w:val="22"/>
                <w:szCs w:val="22"/>
              </w:rPr>
            </w:pPr>
            <w:r>
              <w:rPr>
                <w:rFonts w:hint="eastAsia" w:ascii="宋体" w:hAnsi="宋体" w:eastAsia="宋体" w:cs="宋体"/>
                <w:color w:val="000000"/>
                <w:sz w:val="22"/>
                <w:szCs w:val="22"/>
              </w:rPr>
              <w:t>兖矿新疆煤化工有限公司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新疆</w:t>
            </w:r>
          </w:p>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乌鲁木齐</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31.3</w:t>
            </w:r>
            <w:r>
              <w:rPr>
                <w:rFonts w:hint="eastAsia" w:ascii="宋体" w:hAnsi="宋体" w:eastAsia="宋体" w:cs="宋体"/>
                <w:kern w:val="0"/>
                <w:sz w:val="22"/>
                <w:szCs w:val="22"/>
                <w:lang w:val="en-US" w:eastAsia="zh-CN"/>
              </w:rPr>
              <w:t>0</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（新疆能化持股100%）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危险化学品生产</w:t>
            </w:r>
            <w:r>
              <w:rPr>
                <w:rFonts w:hint="eastAsia" w:ascii="宋体" w:hAnsi="宋体" w:cs="宋体"/>
                <w:color w:val="000000"/>
                <w:sz w:val="22"/>
                <w:szCs w:val="22"/>
                <w:lang w:eastAsia="zh-CN"/>
              </w:rPr>
              <w:t>，</w:t>
            </w:r>
            <w:r>
              <w:rPr>
                <w:rFonts w:hint="eastAsia" w:ascii="宋体" w:hAnsi="宋体" w:eastAsia="宋体" w:cs="宋体"/>
                <w:color w:val="000000"/>
                <w:sz w:val="22"/>
                <w:szCs w:val="22"/>
              </w:rPr>
              <w:t>危险化学品仓储</w:t>
            </w:r>
            <w:r>
              <w:rPr>
                <w:rFonts w:hint="eastAsia" w:ascii="宋体" w:hAnsi="宋体" w:cs="宋体"/>
                <w:color w:val="000000"/>
                <w:sz w:val="22"/>
                <w:szCs w:val="22"/>
                <w:lang w:eastAsia="zh-CN"/>
              </w:rPr>
              <w:t>，</w:t>
            </w:r>
            <w:r>
              <w:rPr>
                <w:rFonts w:hint="eastAsia" w:ascii="宋体" w:hAnsi="宋体" w:eastAsia="宋体" w:cs="宋体"/>
                <w:color w:val="000000"/>
                <w:sz w:val="22"/>
                <w:szCs w:val="22"/>
              </w:rPr>
              <w:t>危险化学品经营等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40.41</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7.2</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33.21</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17.82%</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6.96</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3.3</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19.8</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2.81</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36</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Cs/>
                <w:kern w:val="0"/>
                <w:sz w:val="22"/>
                <w:szCs w:val="22"/>
              </w:rPr>
            </w:pPr>
            <w:r>
              <w:rPr>
                <w:rFonts w:hint="eastAsia" w:ascii="宋体" w:hAnsi="宋体" w:eastAsia="宋体" w:cs="宋体"/>
                <w:color w:val="000000"/>
                <w:sz w:val="22"/>
                <w:szCs w:val="22"/>
              </w:rPr>
              <w:t>新疆兖矿其能煤业有限公司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新疆昌吉</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（新疆能化持股76%）</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煤炭开采等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1.19</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0.39</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0.79</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highlight w:val="yellow"/>
              </w:rPr>
            </w:pPr>
            <w:r>
              <w:rPr>
                <w:rFonts w:hint="eastAsia" w:ascii="宋体" w:hAnsi="宋体" w:eastAsia="宋体" w:cs="宋体"/>
                <w:i w:val="0"/>
                <w:iCs w:val="0"/>
                <w:color w:val="000000"/>
                <w:kern w:val="0"/>
                <w:sz w:val="22"/>
                <w:szCs w:val="22"/>
                <w:u w:val="none"/>
                <w:lang w:val="en-US" w:eastAsia="zh-CN" w:bidi="ar"/>
                <w14:ligatures w14:val="none"/>
              </w:rPr>
              <w:t>32.77%</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0.38</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0</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0</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37</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Cs/>
                <w:kern w:val="0"/>
                <w:sz w:val="22"/>
                <w:szCs w:val="22"/>
              </w:rPr>
            </w:pPr>
            <w:r>
              <w:rPr>
                <w:rFonts w:hint="eastAsia" w:ascii="宋体" w:hAnsi="宋体" w:eastAsia="宋体" w:cs="宋体"/>
                <w:color w:val="000000"/>
                <w:sz w:val="22"/>
                <w:szCs w:val="22"/>
              </w:rPr>
              <w:t>新汶矿业集团（伊犁）能源开发有限责任公司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新疆伊犁</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10</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（新疆能化持股100%）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2"/>
                <w:szCs w:val="22"/>
              </w:rPr>
            </w:pPr>
            <w:r>
              <w:rPr>
                <w:rFonts w:hint="eastAsia" w:ascii="宋体" w:hAnsi="宋体" w:eastAsia="宋体" w:cs="宋体"/>
                <w:color w:val="000000"/>
                <w:sz w:val="22"/>
                <w:szCs w:val="22"/>
              </w:rPr>
              <w:t>煤炭开采等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134.77</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130.38</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4.39</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14:ligatures w14:val="none"/>
              </w:rPr>
              <w:t>96.74%</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61.59</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33.8</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29.01</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4.49</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38</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sz w:val="22"/>
                <w:szCs w:val="22"/>
              </w:rPr>
              <w:t>伊犁新矿煤业有限责任公司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新疆</w:t>
            </w:r>
          </w:p>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伊犁</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13.86</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sz w:val="22"/>
                <w:szCs w:val="22"/>
              </w:rPr>
              <w:t>（新疆能化持股55%）</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sz w:val="22"/>
                <w:szCs w:val="22"/>
              </w:rPr>
              <w:t>煤炭开采、加工、销售，对所属企业的管理等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52.1</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40.78</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11.32</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78.27%</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11.99</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23</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13.91</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color w:val="000000"/>
                <w:sz w:val="22"/>
                <w:szCs w:val="22"/>
              </w:rPr>
              <w:t>1.78</w:t>
            </w:r>
          </w:p>
        </w:tc>
      </w:tr>
    </w:tbl>
    <w:p/>
    <w:p>
      <w:r>
        <w:rPr>
          <w:rFonts w:hint="eastAsia"/>
        </w:rPr>
        <w:t>注：拟被担保子公司包括但不限于上述主体。</w:t>
      </w:r>
    </w:p>
    <w:p>
      <w:pPr>
        <w:widowControl/>
        <w:jc w:val="left"/>
        <w:rPr>
          <w:rFonts w:ascii="宋体" w:hAnsi="宋体" w:cs="宋体"/>
          <w:b/>
          <w:bCs/>
          <w:color w:val="000000"/>
          <w:kern w:val="0"/>
          <w:sz w:val="32"/>
          <w:szCs w:val="32"/>
        </w:rPr>
      </w:pPr>
      <w:r>
        <w:rPr>
          <w:rFonts w:ascii="宋体" w:hAnsi="宋体" w:cs="宋体"/>
          <w:b/>
          <w:bCs/>
          <w:color w:val="000000"/>
          <w:kern w:val="0"/>
          <w:sz w:val="32"/>
          <w:szCs w:val="32"/>
        </w:rPr>
        <w:br w:type="page"/>
      </w:r>
      <w:r>
        <w:rPr>
          <w:rFonts w:hint="eastAsia" w:ascii="宋体" w:hAnsi="宋体" w:cs="宋体"/>
          <w:b/>
          <w:bCs/>
          <w:color w:val="000000"/>
          <w:kern w:val="0"/>
          <w:sz w:val="32"/>
          <w:szCs w:val="32"/>
        </w:rPr>
        <w:t>附表2</w:t>
      </w:r>
    </w:p>
    <w:p>
      <w:pPr>
        <w:widowControl/>
        <w:jc w:val="center"/>
        <w:rPr>
          <w:rFonts w:ascii="宋体" w:hAnsi="宋体" w:cs="宋体"/>
          <w:b/>
          <w:bCs/>
          <w:color w:val="000000"/>
          <w:kern w:val="0"/>
          <w:sz w:val="32"/>
          <w:szCs w:val="32"/>
        </w:rPr>
      </w:pPr>
    </w:p>
    <w:p>
      <w:pPr>
        <w:widowControl/>
        <w:jc w:val="center"/>
        <w:rPr>
          <w:rFonts w:ascii="宋体" w:hAnsi="Times New Roman"/>
          <w:b/>
          <w:bCs/>
          <w:color w:val="000000"/>
          <w:kern w:val="0"/>
          <w:sz w:val="32"/>
          <w:szCs w:val="32"/>
        </w:rPr>
      </w:pPr>
      <w:r>
        <w:rPr>
          <w:rFonts w:hint="eastAsia" w:ascii="宋体" w:hAnsi="宋体" w:cs="宋体"/>
          <w:b/>
          <w:bCs/>
          <w:color w:val="000000"/>
          <w:kern w:val="0"/>
          <w:sz w:val="32"/>
          <w:szCs w:val="32"/>
        </w:rPr>
        <w:t>拟被担保兖煤澳洲附属公司基本情况表</w:t>
      </w:r>
    </w:p>
    <w:tbl>
      <w:tblPr>
        <w:tblStyle w:val="14"/>
        <w:tblW w:w="13776" w:type="dxa"/>
        <w:jc w:val="center"/>
        <w:tblLayout w:type="fixed"/>
        <w:tblCellMar>
          <w:top w:w="0" w:type="dxa"/>
          <w:left w:w="108" w:type="dxa"/>
          <w:bottom w:w="0" w:type="dxa"/>
          <w:right w:w="108" w:type="dxa"/>
        </w:tblCellMar>
      </w:tblPr>
      <w:tblGrid>
        <w:gridCol w:w="1516"/>
        <w:gridCol w:w="1067"/>
        <w:gridCol w:w="900"/>
        <w:gridCol w:w="1005"/>
        <w:gridCol w:w="1620"/>
        <w:gridCol w:w="788"/>
        <w:gridCol w:w="1055"/>
        <w:gridCol w:w="955"/>
        <w:gridCol w:w="993"/>
        <w:gridCol w:w="1015"/>
        <w:gridCol w:w="769"/>
        <w:gridCol w:w="1066"/>
        <w:gridCol w:w="1027"/>
      </w:tblGrid>
      <w:tr>
        <w:tblPrEx>
          <w:tblCellMar>
            <w:top w:w="0" w:type="dxa"/>
            <w:left w:w="108" w:type="dxa"/>
            <w:bottom w:w="0" w:type="dxa"/>
            <w:right w:w="108" w:type="dxa"/>
          </w:tblCellMar>
        </w:tblPrEx>
        <w:trPr>
          <w:trHeight w:val="585" w:hRule="atLeast"/>
          <w:jc w:val="center"/>
        </w:trPr>
        <w:tc>
          <w:tcPr>
            <w:tcW w:w="1516"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Cs w:val="20"/>
              </w:rPr>
            </w:pPr>
          </w:p>
        </w:tc>
        <w:tc>
          <w:tcPr>
            <w:tcW w:w="1067" w:type="dxa"/>
            <w:tcBorders>
              <w:top w:val="nil"/>
              <w:left w:val="nil"/>
              <w:bottom w:val="nil"/>
              <w:right w:val="nil"/>
            </w:tcBorders>
            <w:shd w:val="clear" w:color="auto" w:fill="auto"/>
            <w:noWrap/>
            <w:vAlign w:val="bottom"/>
          </w:tcPr>
          <w:p>
            <w:pPr>
              <w:widowControl/>
              <w:jc w:val="left"/>
              <w:rPr>
                <w:rFonts w:hint="eastAsia" w:ascii="宋体" w:hAnsi="宋体" w:eastAsia="宋体" w:cs="宋体"/>
                <w:kern w:val="0"/>
                <w:sz w:val="20"/>
                <w:szCs w:val="20"/>
              </w:rPr>
            </w:pPr>
          </w:p>
        </w:tc>
        <w:tc>
          <w:tcPr>
            <w:tcW w:w="900"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Cs w:val="20"/>
              </w:rPr>
            </w:pPr>
          </w:p>
        </w:tc>
        <w:tc>
          <w:tcPr>
            <w:tcW w:w="1005"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Cs w:val="20"/>
              </w:rPr>
            </w:pPr>
          </w:p>
        </w:tc>
        <w:tc>
          <w:tcPr>
            <w:tcW w:w="1620"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Cs w:val="20"/>
              </w:rPr>
            </w:pPr>
          </w:p>
        </w:tc>
        <w:tc>
          <w:tcPr>
            <w:tcW w:w="788"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Cs w:val="20"/>
              </w:rPr>
            </w:pPr>
          </w:p>
        </w:tc>
        <w:tc>
          <w:tcPr>
            <w:tcW w:w="1055"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Cs w:val="20"/>
              </w:rPr>
            </w:pPr>
          </w:p>
        </w:tc>
        <w:tc>
          <w:tcPr>
            <w:tcW w:w="955" w:type="dxa"/>
            <w:tcBorders>
              <w:top w:val="nil"/>
              <w:left w:val="nil"/>
              <w:bottom w:val="nil"/>
              <w:right w:val="nil"/>
            </w:tcBorders>
            <w:shd w:val="clear" w:color="auto" w:fill="auto"/>
            <w:vAlign w:val="bottom"/>
          </w:tcPr>
          <w:p>
            <w:pPr>
              <w:widowControl/>
              <w:rPr>
                <w:rFonts w:hint="eastAsia" w:ascii="宋体" w:hAnsi="宋体" w:eastAsia="宋体" w:cs="宋体"/>
                <w:color w:val="000000"/>
                <w:kern w:val="0"/>
                <w:szCs w:val="20"/>
              </w:rPr>
            </w:pPr>
          </w:p>
        </w:tc>
        <w:tc>
          <w:tcPr>
            <w:tcW w:w="993"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Cs w:val="20"/>
              </w:rPr>
            </w:pPr>
          </w:p>
        </w:tc>
        <w:tc>
          <w:tcPr>
            <w:tcW w:w="1015" w:type="dxa"/>
            <w:tcBorders>
              <w:top w:val="nil"/>
              <w:left w:val="nil"/>
              <w:bottom w:val="single" w:color="auto" w:sz="4" w:space="0"/>
              <w:right w:val="nil"/>
            </w:tcBorders>
          </w:tcPr>
          <w:p>
            <w:pPr>
              <w:widowControl/>
              <w:ind w:right="840"/>
              <w:rPr>
                <w:rFonts w:hint="eastAsia" w:ascii="宋体" w:hAnsi="宋体" w:eastAsia="宋体" w:cs="宋体"/>
                <w:color w:val="000000"/>
                <w:kern w:val="0"/>
                <w:szCs w:val="20"/>
              </w:rPr>
            </w:pPr>
          </w:p>
        </w:tc>
        <w:tc>
          <w:tcPr>
            <w:tcW w:w="769" w:type="dxa"/>
            <w:tcBorders>
              <w:top w:val="nil"/>
              <w:left w:val="nil"/>
              <w:bottom w:val="single" w:color="auto" w:sz="4" w:space="0"/>
              <w:right w:val="nil"/>
            </w:tcBorders>
          </w:tcPr>
          <w:p>
            <w:pPr>
              <w:widowControl/>
              <w:jc w:val="right"/>
              <w:rPr>
                <w:rFonts w:hint="eastAsia" w:ascii="宋体" w:hAnsi="宋体" w:eastAsia="宋体" w:cs="宋体"/>
                <w:color w:val="000000"/>
                <w:kern w:val="0"/>
                <w:szCs w:val="20"/>
              </w:rPr>
            </w:pPr>
          </w:p>
        </w:tc>
        <w:tc>
          <w:tcPr>
            <w:tcW w:w="2093" w:type="dxa"/>
            <w:gridSpan w:val="2"/>
            <w:tcBorders>
              <w:top w:val="nil"/>
              <w:left w:val="nil"/>
              <w:bottom w:val="single" w:color="auto" w:sz="4" w:space="0"/>
              <w:right w:val="nil"/>
            </w:tcBorders>
            <w:shd w:val="clear" w:color="auto" w:fill="auto"/>
            <w:vAlign w:val="bottom"/>
          </w:tcPr>
          <w:p>
            <w:pPr>
              <w:widowControl/>
              <w:ind w:right="660"/>
              <w:jc w:val="right"/>
              <w:rPr>
                <w:rFonts w:hint="eastAsia" w:ascii="宋体" w:hAnsi="宋体" w:eastAsia="宋体" w:cs="宋体"/>
                <w:color w:val="000000"/>
                <w:kern w:val="0"/>
                <w:szCs w:val="20"/>
              </w:rPr>
            </w:pPr>
            <w:r>
              <w:rPr>
                <w:rFonts w:hint="eastAsia" w:ascii="宋体" w:hAnsi="宋体" w:eastAsia="宋体" w:cs="宋体"/>
                <w:color w:val="000000"/>
                <w:kern w:val="0"/>
                <w:sz w:val="22"/>
                <w:szCs w:val="22"/>
              </w:rPr>
              <w:t>单位：亿澳元</w:t>
            </w:r>
          </w:p>
        </w:tc>
      </w:tr>
      <w:tr>
        <w:tblPrEx>
          <w:tblCellMar>
            <w:top w:w="0" w:type="dxa"/>
            <w:left w:w="108" w:type="dxa"/>
            <w:bottom w:w="0" w:type="dxa"/>
            <w:right w:w="108" w:type="dxa"/>
          </w:tblCellMar>
        </w:tblPrEx>
        <w:trPr>
          <w:trHeight w:val="300" w:hRule="atLeast"/>
          <w:jc w:val="center"/>
        </w:trPr>
        <w:tc>
          <w:tcPr>
            <w:tcW w:w="15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公司</w:t>
            </w:r>
          </w:p>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名称</w:t>
            </w:r>
          </w:p>
        </w:tc>
        <w:tc>
          <w:tcPr>
            <w:tcW w:w="10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注册地</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注册</w:t>
            </w:r>
          </w:p>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资本</w:t>
            </w:r>
          </w:p>
        </w:tc>
        <w:tc>
          <w:tcPr>
            <w:tcW w:w="10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持股</w:t>
            </w:r>
          </w:p>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比例</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cs="宋体"/>
                <w:color w:val="000000"/>
                <w:kern w:val="0"/>
                <w:sz w:val="22"/>
                <w:szCs w:val="22"/>
                <w:lang w:val="en-US" w:eastAsia="zh-CN"/>
              </w:rPr>
              <w:t>主要</w:t>
            </w:r>
            <w:r>
              <w:rPr>
                <w:rFonts w:hint="eastAsia" w:ascii="宋体" w:hAnsi="宋体" w:eastAsia="宋体" w:cs="宋体"/>
                <w:color w:val="000000"/>
                <w:kern w:val="0"/>
                <w:sz w:val="22"/>
                <w:szCs w:val="22"/>
              </w:rPr>
              <w:t>经营范围</w:t>
            </w:r>
          </w:p>
        </w:tc>
        <w:tc>
          <w:tcPr>
            <w:tcW w:w="5575" w:type="dxa"/>
            <w:gridSpan w:val="6"/>
            <w:tcBorders>
              <w:top w:val="single" w:color="auto" w:sz="4" w:space="0"/>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2023年12月31日</w:t>
            </w:r>
          </w:p>
        </w:tc>
        <w:tc>
          <w:tcPr>
            <w:tcW w:w="2093"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2023年度</w:t>
            </w:r>
          </w:p>
        </w:tc>
      </w:tr>
      <w:tr>
        <w:tblPrEx>
          <w:tblCellMar>
            <w:top w:w="0" w:type="dxa"/>
            <w:left w:w="108" w:type="dxa"/>
            <w:bottom w:w="0" w:type="dxa"/>
            <w:right w:w="108" w:type="dxa"/>
          </w:tblCellMar>
        </w:tblPrEx>
        <w:trPr>
          <w:trHeight w:val="526" w:hRule="atLeast"/>
          <w:jc w:val="center"/>
        </w:trPr>
        <w:tc>
          <w:tcPr>
            <w:tcW w:w="15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0"/>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0"/>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0"/>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0"/>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0"/>
              </w:rPr>
            </w:pPr>
          </w:p>
        </w:tc>
        <w:tc>
          <w:tcPr>
            <w:tcW w:w="78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资产</w:t>
            </w:r>
          </w:p>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总额</w:t>
            </w:r>
          </w:p>
        </w:tc>
        <w:tc>
          <w:tcPr>
            <w:tcW w:w="105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负债</w:t>
            </w:r>
          </w:p>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总额</w:t>
            </w:r>
          </w:p>
        </w:tc>
        <w:tc>
          <w:tcPr>
            <w:tcW w:w="95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净资产</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资产</w:t>
            </w:r>
          </w:p>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负债率</w:t>
            </w:r>
          </w:p>
        </w:tc>
        <w:tc>
          <w:tcPr>
            <w:tcW w:w="101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流动</w:t>
            </w:r>
          </w:p>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负债</w:t>
            </w:r>
          </w:p>
        </w:tc>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银行借款</w:t>
            </w:r>
          </w:p>
        </w:tc>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营业</w:t>
            </w:r>
          </w:p>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收入</w:t>
            </w:r>
          </w:p>
        </w:tc>
        <w:tc>
          <w:tcPr>
            <w:tcW w:w="102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净利润</w:t>
            </w:r>
          </w:p>
        </w:tc>
      </w:tr>
      <w:tr>
        <w:tblPrEx>
          <w:tblCellMar>
            <w:top w:w="0" w:type="dxa"/>
            <w:left w:w="108" w:type="dxa"/>
            <w:bottom w:w="0" w:type="dxa"/>
            <w:right w:w="108" w:type="dxa"/>
          </w:tblCellMar>
        </w:tblPrEx>
        <w:trPr>
          <w:trHeight w:val="482" w:hRule="atLeast"/>
          <w:jc w:val="center"/>
        </w:trPr>
        <w:tc>
          <w:tcPr>
            <w:tcW w:w="1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rPr>
            </w:pPr>
            <w:r>
              <w:rPr>
                <w:rFonts w:hint="eastAsia" w:ascii="宋体" w:hAnsi="宋体" w:eastAsia="宋体" w:cs="宋体"/>
              </w:rPr>
              <w:t>艾诗顿</w:t>
            </w:r>
          </w:p>
          <w:p>
            <w:pPr>
              <w:widowControl/>
              <w:jc w:val="center"/>
              <w:rPr>
                <w:rFonts w:hint="eastAsia" w:ascii="宋体" w:hAnsi="宋体" w:eastAsia="宋体" w:cs="宋体"/>
                <w:bCs/>
                <w:kern w:val="0"/>
                <w:szCs w:val="22"/>
              </w:rPr>
            </w:pPr>
            <w:r>
              <w:rPr>
                <w:rFonts w:hint="eastAsia" w:ascii="宋体" w:hAnsi="宋体" w:cs="宋体"/>
                <w:lang w:val="en-US" w:eastAsia="zh-CN"/>
              </w:rPr>
              <w:t>合营公司</w:t>
            </w:r>
          </w:p>
        </w:tc>
        <w:tc>
          <w:tcPr>
            <w:tcW w:w="10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rPr>
            </w:pPr>
            <w:r>
              <w:rPr>
                <w:rFonts w:hint="eastAsia" w:ascii="宋体" w:hAnsi="宋体" w:eastAsia="宋体" w:cs="宋体"/>
              </w:rPr>
              <w:t>新南</w:t>
            </w:r>
          </w:p>
          <w:p>
            <w:pPr>
              <w:widowControl/>
              <w:jc w:val="center"/>
              <w:rPr>
                <w:rFonts w:hint="eastAsia" w:ascii="宋体" w:hAnsi="宋体" w:eastAsia="宋体" w:cs="宋体"/>
                <w:kern w:val="0"/>
                <w:szCs w:val="22"/>
              </w:rPr>
            </w:pPr>
            <w:r>
              <w:rPr>
                <w:rFonts w:hint="eastAsia" w:ascii="宋体" w:hAnsi="宋体" w:eastAsia="宋体" w:cs="宋体"/>
              </w:rPr>
              <w:t>威尔士州</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不适用</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100%</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煤炭开采、洗选</w:t>
            </w:r>
          </w:p>
        </w:tc>
        <w:tc>
          <w:tcPr>
            <w:tcW w:w="788"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4.39</w:t>
            </w:r>
          </w:p>
        </w:tc>
        <w:tc>
          <w:tcPr>
            <w:tcW w:w="1055"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2.26</w:t>
            </w:r>
          </w:p>
        </w:tc>
        <w:tc>
          <w:tcPr>
            <w:tcW w:w="955"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6.65</w:t>
            </w:r>
          </w:p>
        </w:tc>
        <w:tc>
          <w:tcPr>
            <w:tcW w:w="993"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51.48%</w:t>
            </w:r>
          </w:p>
        </w:tc>
        <w:tc>
          <w:tcPr>
            <w:tcW w:w="1015" w:type="dxa"/>
            <w:tcBorders>
              <w:top w:val="single" w:color="auto" w:sz="4" w:space="0"/>
              <w:left w:val="nil"/>
              <w:bottom w:val="single" w:color="auto" w:sz="4" w:space="0"/>
              <w:right w:val="single" w:color="auto" w:sz="4" w:space="0"/>
            </w:tcBorders>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1.48</w:t>
            </w: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0</w:t>
            </w:r>
          </w:p>
        </w:tc>
        <w:tc>
          <w:tcPr>
            <w:tcW w:w="106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2.06</w:t>
            </w:r>
          </w:p>
        </w:tc>
        <w:tc>
          <w:tcPr>
            <w:tcW w:w="102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0</w:t>
            </w:r>
          </w:p>
        </w:tc>
      </w:tr>
      <w:tr>
        <w:tblPrEx>
          <w:tblCellMar>
            <w:top w:w="0" w:type="dxa"/>
            <w:left w:w="108" w:type="dxa"/>
            <w:bottom w:w="0" w:type="dxa"/>
            <w:right w:w="108" w:type="dxa"/>
          </w:tblCellMar>
        </w:tblPrEx>
        <w:trPr>
          <w:trHeight w:val="482" w:hRule="atLeast"/>
          <w:jc w:val="center"/>
        </w:trPr>
        <w:tc>
          <w:tcPr>
            <w:tcW w:w="1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rPr>
            </w:pPr>
            <w:r>
              <w:rPr>
                <w:rFonts w:hint="eastAsia" w:ascii="宋体" w:hAnsi="宋体" w:eastAsia="宋体" w:cs="宋体"/>
              </w:rPr>
              <w:t>澳思达煤矿</w:t>
            </w:r>
          </w:p>
          <w:p>
            <w:pPr>
              <w:widowControl/>
              <w:jc w:val="center"/>
              <w:rPr>
                <w:rFonts w:hint="eastAsia" w:ascii="宋体" w:hAnsi="宋体" w:eastAsia="宋体" w:cs="宋体"/>
                <w:bCs/>
                <w:kern w:val="0"/>
                <w:szCs w:val="22"/>
              </w:rPr>
            </w:pPr>
            <w:r>
              <w:rPr>
                <w:rFonts w:hint="eastAsia" w:ascii="宋体" w:hAnsi="宋体" w:eastAsia="宋体" w:cs="宋体"/>
              </w:rPr>
              <w:t>有限公司</w:t>
            </w:r>
          </w:p>
        </w:tc>
        <w:tc>
          <w:tcPr>
            <w:tcW w:w="10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rPr>
            </w:pPr>
            <w:r>
              <w:rPr>
                <w:rFonts w:hint="eastAsia" w:ascii="宋体" w:hAnsi="宋体" w:eastAsia="宋体" w:cs="宋体"/>
              </w:rPr>
              <w:t>维多</w:t>
            </w:r>
          </w:p>
          <w:p>
            <w:pPr>
              <w:widowControl/>
              <w:jc w:val="center"/>
              <w:rPr>
                <w:rFonts w:hint="eastAsia" w:ascii="宋体" w:hAnsi="宋体" w:eastAsia="宋体" w:cs="宋体"/>
                <w:kern w:val="0"/>
                <w:szCs w:val="22"/>
              </w:rPr>
            </w:pPr>
            <w:r>
              <w:rPr>
                <w:rFonts w:hint="eastAsia" w:ascii="宋体" w:hAnsi="宋体" w:eastAsia="宋体" w:cs="宋体"/>
              </w:rPr>
              <w:t>利亚州</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64,000,000澳元</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100%</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煤炭开采、洗选</w:t>
            </w:r>
          </w:p>
        </w:tc>
        <w:tc>
          <w:tcPr>
            <w:tcW w:w="788"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2.32</w:t>
            </w:r>
          </w:p>
        </w:tc>
        <w:tc>
          <w:tcPr>
            <w:tcW w:w="1055"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5.79</w:t>
            </w:r>
          </w:p>
        </w:tc>
        <w:tc>
          <w:tcPr>
            <w:tcW w:w="955"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8.11</w:t>
            </w:r>
          </w:p>
        </w:tc>
        <w:tc>
          <w:tcPr>
            <w:tcW w:w="993"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249.57%</w:t>
            </w:r>
          </w:p>
        </w:tc>
        <w:tc>
          <w:tcPr>
            <w:tcW w:w="1015" w:type="dxa"/>
            <w:tcBorders>
              <w:top w:val="single" w:color="auto" w:sz="4" w:space="0"/>
              <w:left w:val="nil"/>
              <w:bottom w:val="single" w:color="auto" w:sz="4" w:space="0"/>
              <w:right w:val="single" w:color="auto" w:sz="4" w:space="0"/>
            </w:tcBorders>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0.44</w:t>
            </w: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0</w:t>
            </w:r>
          </w:p>
        </w:tc>
        <w:tc>
          <w:tcPr>
            <w:tcW w:w="106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0.02</w:t>
            </w:r>
          </w:p>
        </w:tc>
        <w:tc>
          <w:tcPr>
            <w:tcW w:w="102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-0.4</w:t>
            </w:r>
          </w:p>
        </w:tc>
      </w:tr>
      <w:tr>
        <w:tblPrEx>
          <w:tblCellMar>
            <w:top w:w="0" w:type="dxa"/>
            <w:left w:w="108" w:type="dxa"/>
            <w:bottom w:w="0" w:type="dxa"/>
            <w:right w:w="108" w:type="dxa"/>
          </w:tblCellMar>
        </w:tblPrEx>
        <w:trPr>
          <w:trHeight w:val="482" w:hRule="atLeast"/>
          <w:jc w:val="center"/>
        </w:trPr>
        <w:tc>
          <w:tcPr>
            <w:tcW w:w="1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rPr>
            </w:pPr>
            <w:r>
              <w:rPr>
                <w:rFonts w:hint="eastAsia" w:ascii="宋体" w:hAnsi="宋体" w:eastAsia="宋体" w:cs="宋体"/>
              </w:rPr>
              <w:t>唐纳森煤矿</w:t>
            </w:r>
          </w:p>
          <w:p>
            <w:pPr>
              <w:widowControl/>
              <w:jc w:val="center"/>
              <w:rPr>
                <w:rFonts w:hint="eastAsia" w:ascii="宋体" w:hAnsi="宋体" w:eastAsia="宋体" w:cs="宋体"/>
                <w:bCs/>
                <w:kern w:val="0"/>
                <w:szCs w:val="22"/>
              </w:rPr>
            </w:pPr>
            <w:r>
              <w:rPr>
                <w:rFonts w:hint="eastAsia" w:ascii="宋体" w:hAnsi="宋体" w:eastAsia="宋体" w:cs="宋体"/>
              </w:rPr>
              <w:t>有限公司</w:t>
            </w:r>
          </w:p>
        </w:tc>
        <w:tc>
          <w:tcPr>
            <w:tcW w:w="10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rPr>
            </w:pPr>
            <w:r>
              <w:rPr>
                <w:rFonts w:hint="eastAsia" w:ascii="宋体" w:hAnsi="宋体" w:eastAsia="宋体" w:cs="宋体"/>
              </w:rPr>
              <w:t>新南</w:t>
            </w:r>
          </w:p>
          <w:p>
            <w:pPr>
              <w:widowControl/>
              <w:jc w:val="center"/>
              <w:rPr>
                <w:rFonts w:hint="eastAsia" w:ascii="宋体" w:hAnsi="宋体" w:eastAsia="宋体" w:cs="宋体"/>
                <w:kern w:val="0"/>
                <w:szCs w:val="22"/>
              </w:rPr>
            </w:pPr>
            <w:r>
              <w:rPr>
                <w:rFonts w:hint="eastAsia" w:ascii="宋体" w:hAnsi="宋体" w:eastAsia="宋体" w:cs="宋体"/>
              </w:rPr>
              <w:t>威尔士州</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3,636,115.53澳元</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100%</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煤炭开采、洗选</w:t>
            </w:r>
          </w:p>
        </w:tc>
        <w:tc>
          <w:tcPr>
            <w:tcW w:w="788"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2.11</w:t>
            </w:r>
          </w:p>
        </w:tc>
        <w:tc>
          <w:tcPr>
            <w:tcW w:w="1055"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6.38</w:t>
            </w:r>
          </w:p>
        </w:tc>
        <w:tc>
          <w:tcPr>
            <w:tcW w:w="955"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8.49</w:t>
            </w:r>
          </w:p>
        </w:tc>
        <w:tc>
          <w:tcPr>
            <w:tcW w:w="993"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302.37%</w:t>
            </w:r>
          </w:p>
        </w:tc>
        <w:tc>
          <w:tcPr>
            <w:tcW w:w="1015" w:type="dxa"/>
            <w:tcBorders>
              <w:top w:val="single" w:color="auto" w:sz="4" w:space="0"/>
              <w:left w:val="nil"/>
              <w:bottom w:val="single" w:color="auto" w:sz="4" w:space="0"/>
              <w:right w:val="single" w:color="auto" w:sz="4" w:space="0"/>
            </w:tcBorders>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0.05</w:t>
            </w: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0</w:t>
            </w:r>
          </w:p>
        </w:tc>
        <w:tc>
          <w:tcPr>
            <w:tcW w:w="106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0.02</w:t>
            </w:r>
          </w:p>
        </w:tc>
        <w:tc>
          <w:tcPr>
            <w:tcW w:w="102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-0.2</w:t>
            </w:r>
          </w:p>
        </w:tc>
      </w:tr>
      <w:tr>
        <w:tblPrEx>
          <w:tblCellMar>
            <w:top w:w="0" w:type="dxa"/>
            <w:left w:w="108" w:type="dxa"/>
            <w:bottom w:w="0" w:type="dxa"/>
            <w:right w:w="108" w:type="dxa"/>
          </w:tblCellMar>
        </w:tblPrEx>
        <w:trPr>
          <w:trHeight w:val="482" w:hRule="atLeast"/>
          <w:jc w:val="center"/>
        </w:trPr>
        <w:tc>
          <w:tcPr>
            <w:tcW w:w="1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rPr>
            </w:pPr>
            <w:r>
              <w:rPr>
                <w:rFonts w:hint="eastAsia" w:ascii="宋体" w:hAnsi="宋体" w:eastAsia="宋体" w:cs="宋体"/>
              </w:rPr>
              <w:t>杜拉里煤矿</w:t>
            </w:r>
          </w:p>
          <w:p>
            <w:pPr>
              <w:widowControl/>
              <w:jc w:val="center"/>
              <w:rPr>
                <w:rFonts w:hint="eastAsia" w:ascii="宋体" w:hAnsi="宋体" w:eastAsia="宋体" w:cs="宋体"/>
                <w:bCs/>
                <w:kern w:val="0"/>
                <w:szCs w:val="22"/>
              </w:rPr>
            </w:pPr>
            <w:r>
              <w:rPr>
                <w:rFonts w:hint="eastAsia" w:ascii="宋体" w:hAnsi="宋体" w:eastAsia="宋体" w:cs="宋体"/>
              </w:rPr>
              <w:t>有限公司</w:t>
            </w:r>
          </w:p>
        </w:tc>
        <w:tc>
          <w:tcPr>
            <w:tcW w:w="10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rPr>
            </w:pPr>
            <w:r>
              <w:rPr>
                <w:rFonts w:hint="eastAsia" w:ascii="宋体" w:hAnsi="宋体" w:eastAsia="宋体" w:cs="宋体"/>
              </w:rPr>
              <w:t>新南</w:t>
            </w:r>
          </w:p>
          <w:p>
            <w:pPr>
              <w:widowControl/>
              <w:jc w:val="center"/>
              <w:rPr>
                <w:rFonts w:hint="eastAsia" w:ascii="宋体" w:hAnsi="宋体" w:eastAsia="宋体" w:cs="宋体"/>
                <w:kern w:val="0"/>
                <w:szCs w:val="22"/>
              </w:rPr>
            </w:pPr>
            <w:r>
              <w:rPr>
                <w:rFonts w:hint="eastAsia" w:ascii="宋体" w:hAnsi="宋体" w:eastAsia="宋体" w:cs="宋体"/>
              </w:rPr>
              <w:t>威尔士州</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2澳元</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100%</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煤炭开采、洗选</w:t>
            </w:r>
          </w:p>
        </w:tc>
        <w:tc>
          <w:tcPr>
            <w:tcW w:w="788"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1.62</w:t>
            </w:r>
          </w:p>
        </w:tc>
        <w:tc>
          <w:tcPr>
            <w:tcW w:w="1055"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5.36</w:t>
            </w:r>
          </w:p>
        </w:tc>
        <w:tc>
          <w:tcPr>
            <w:tcW w:w="955"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6.98</w:t>
            </w:r>
          </w:p>
        </w:tc>
        <w:tc>
          <w:tcPr>
            <w:tcW w:w="993"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330.86%</w:t>
            </w:r>
          </w:p>
        </w:tc>
        <w:tc>
          <w:tcPr>
            <w:tcW w:w="1015" w:type="dxa"/>
            <w:tcBorders>
              <w:top w:val="single" w:color="auto" w:sz="4" w:space="0"/>
              <w:left w:val="nil"/>
              <w:bottom w:val="single" w:color="auto" w:sz="4" w:space="0"/>
              <w:right w:val="single" w:color="auto" w:sz="4" w:space="0"/>
            </w:tcBorders>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0.11</w:t>
            </w: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0</w:t>
            </w:r>
          </w:p>
        </w:tc>
        <w:tc>
          <w:tcPr>
            <w:tcW w:w="106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0</w:t>
            </w:r>
          </w:p>
        </w:tc>
        <w:tc>
          <w:tcPr>
            <w:tcW w:w="102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-0.17</w:t>
            </w:r>
          </w:p>
        </w:tc>
      </w:tr>
      <w:tr>
        <w:tblPrEx>
          <w:tblCellMar>
            <w:top w:w="0" w:type="dxa"/>
            <w:left w:w="108" w:type="dxa"/>
            <w:bottom w:w="0" w:type="dxa"/>
            <w:right w:w="108" w:type="dxa"/>
          </w:tblCellMar>
        </w:tblPrEx>
        <w:trPr>
          <w:trHeight w:val="482" w:hRule="atLeast"/>
          <w:jc w:val="center"/>
        </w:trPr>
        <w:tc>
          <w:tcPr>
            <w:tcW w:w="1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rPr>
            </w:pPr>
            <w:r>
              <w:rPr>
                <w:rFonts w:hint="eastAsia" w:ascii="宋体" w:hAnsi="宋体" w:eastAsia="宋体" w:cs="宋体"/>
              </w:rPr>
              <w:t>斯特拉</w:t>
            </w:r>
            <w:r>
              <w:rPr>
                <w:rFonts w:hint="eastAsia" w:ascii="宋体" w:hAnsi="宋体" w:cs="宋体"/>
                <w:lang w:val="en-US" w:eastAsia="zh-CN"/>
              </w:rPr>
              <w:t>福德</w:t>
            </w:r>
          </w:p>
          <w:p>
            <w:pPr>
              <w:widowControl/>
              <w:jc w:val="center"/>
              <w:rPr>
                <w:rFonts w:hint="eastAsia" w:ascii="宋体" w:hAnsi="宋体" w:eastAsia="宋体" w:cs="宋体"/>
                <w:bCs/>
                <w:kern w:val="0"/>
                <w:szCs w:val="22"/>
              </w:rPr>
            </w:pPr>
            <w:r>
              <w:rPr>
                <w:rFonts w:hint="eastAsia" w:ascii="宋体" w:hAnsi="宋体" w:eastAsia="宋体" w:cs="宋体"/>
              </w:rPr>
              <w:t>煤矿有限公司</w:t>
            </w:r>
          </w:p>
        </w:tc>
        <w:tc>
          <w:tcPr>
            <w:tcW w:w="10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lang w:val="en-US" w:eastAsia="zh-CN"/>
              </w:rPr>
            </w:pPr>
            <w:r>
              <w:rPr>
                <w:rFonts w:hint="eastAsia" w:ascii="宋体" w:hAnsi="宋体" w:eastAsia="宋体" w:cs="宋体"/>
              </w:rPr>
              <w:t>西澳</w:t>
            </w:r>
            <w:r>
              <w:rPr>
                <w:rFonts w:hint="eastAsia" w:ascii="宋体" w:hAnsi="宋体" w:cs="宋体"/>
                <w:lang w:val="en-US" w:eastAsia="zh-CN"/>
              </w:rPr>
              <w:t>州</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10澳元</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100%</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煤炭开采、洗选</w:t>
            </w:r>
          </w:p>
        </w:tc>
        <w:tc>
          <w:tcPr>
            <w:tcW w:w="788"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7.63</w:t>
            </w:r>
          </w:p>
        </w:tc>
        <w:tc>
          <w:tcPr>
            <w:tcW w:w="1055"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22.77</w:t>
            </w:r>
          </w:p>
        </w:tc>
        <w:tc>
          <w:tcPr>
            <w:tcW w:w="955"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30.4</w:t>
            </w:r>
          </w:p>
        </w:tc>
        <w:tc>
          <w:tcPr>
            <w:tcW w:w="993"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298.43%</w:t>
            </w:r>
          </w:p>
        </w:tc>
        <w:tc>
          <w:tcPr>
            <w:tcW w:w="1015" w:type="dxa"/>
            <w:tcBorders>
              <w:top w:val="single" w:color="auto" w:sz="4" w:space="0"/>
              <w:left w:val="nil"/>
              <w:bottom w:val="single" w:color="auto" w:sz="4" w:space="0"/>
              <w:right w:val="single" w:color="auto" w:sz="4" w:space="0"/>
            </w:tcBorders>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0.14</w:t>
            </w: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0</w:t>
            </w:r>
          </w:p>
        </w:tc>
        <w:tc>
          <w:tcPr>
            <w:tcW w:w="106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0.84</w:t>
            </w:r>
          </w:p>
        </w:tc>
        <w:tc>
          <w:tcPr>
            <w:tcW w:w="102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-1.23</w:t>
            </w:r>
          </w:p>
        </w:tc>
      </w:tr>
      <w:tr>
        <w:tblPrEx>
          <w:tblCellMar>
            <w:top w:w="0" w:type="dxa"/>
            <w:left w:w="108" w:type="dxa"/>
            <w:bottom w:w="0" w:type="dxa"/>
            <w:right w:w="108" w:type="dxa"/>
          </w:tblCellMar>
        </w:tblPrEx>
        <w:trPr>
          <w:trHeight w:val="482" w:hRule="atLeast"/>
          <w:jc w:val="center"/>
        </w:trPr>
        <w:tc>
          <w:tcPr>
            <w:tcW w:w="1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rPr>
            </w:pPr>
            <w:r>
              <w:rPr>
                <w:rFonts w:hint="eastAsia" w:ascii="宋体" w:hAnsi="宋体" w:eastAsia="宋体" w:cs="宋体"/>
              </w:rPr>
              <w:t>莫拉本</w:t>
            </w:r>
          </w:p>
          <w:p>
            <w:pPr>
              <w:widowControl/>
              <w:jc w:val="center"/>
              <w:rPr>
                <w:rFonts w:hint="eastAsia" w:ascii="宋体" w:hAnsi="宋体" w:eastAsia="宋体" w:cs="宋体"/>
                <w:bCs/>
                <w:kern w:val="0"/>
                <w:szCs w:val="22"/>
              </w:rPr>
            </w:pPr>
            <w:r>
              <w:rPr>
                <w:rFonts w:hint="eastAsia" w:ascii="宋体" w:hAnsi="宋体" w:eastAsia="宋体" w:cs="宋体"/>
              </w:rPr>
              <w:t>合营公司</w:t>
            </w:r>
          </w:p>
        </w:tc>
        <w:tc>
          <w:tcPr>
            <w:tcW w:w="10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非法人合资企业</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不适用</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95%</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煤炭开采、洗选</w:t>
            </w:r>
          </w:p>
        </w:tc>
        <w:tc>
          <w:tcPr>
            <w:tcW w:w="788"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67.18</w:t>
            </w:r>
          </w:p>
        </w:tc>
        <w:tc>
          <w:tcPr>
            <w:tcW w:w="1055"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37.45</w:t>
            </w:r>
          </w:p>
        </w:tc>
        <w:tc>
          <w:tcPr>
            <w:tcW w:w="955"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104.64</w:t>
            </w:r>
          </w:p>
        </w:tc>
        <w:tc>
          <w:tcPr>
            <w:tcW w:w="993"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55.75%</w:t>
            </w:r>
          </w:p>
        </w:tc>
        <w:tc>
          <w:tcPr>
            <w:tcW w:w="1015" w:type="dxa"/>
            <w:tcBorders>
              <w:top w:val="single" w:color="auto" w:sz="4" w:space="0"/>
              <w:left w:val="nil"/>
              <w:bottom w:val="single" w:color="auto" w:sz="4" w:space="0"/>
              <w:right w:val="single" w:color="auto" w:sz="4" w:space="0"/>
            </w:tcBorders>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1.1</w:t>
            </w: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0</w:t>
            </w:r>
          </w:p>
        </w:tc>
        <w:tc>
          <w:tcPr>
            <w:tcW w:w="106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25.18</w:t>
            </w:r>
          </w:p>
        </w:tc>
        <w:tc>
          <w:tcPr>
            <w:tcW w:w="102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5.33</w:t>
            </w:r>
          </w:p>
        </w:tc>
      </w:tr>
      <w:tr>
        <w:tblPrEx>
          <w:tblCellMar>
            <w:top w:w="0" w:type="dxa"/>
            <w:left w:w="108" w:type="dxa"/>
            <w:bottom w:w="0" w:type="dxa"/>
            <w:right w:w="108" w:type="dxa"/>
          </w:tblCellMar>
        </w:tblPrEx>
        <w:trPr>
          <w:trHeight w:val="482" w:hRule="atLeast"/>
          <w:jc w:val="center"/>
        </w:trPr>
        <w:tc>
          <w:tcPr>
            <w:tcW w:w="1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rPr>
            </w:pPr>
            <w:r>
              <w:rPr>
                <w:rFonts w:hint="eastAsia" w:ascii="宋体" w:hAnsi="宋体" w:eastAsia="宋体" w:cs="宋体"/>
              </w:rPr>
              <w:t>兖煤资源</w:t>
            </w:r>
          </w:p>
          <w:p>
            <w:pPr>
              <w:widowControl/>
              <w:jc w:val="center"/>
              <w:rPr>
                <w:rFonts w:hint="eastAsia" w:ascii="宋体" w:hAnsi="宋体" w:eastAsia="宋体" w:cs="宋体"/>
                <w:bCs/>
                <w:kern w:val="0"/>
                <w:szCs w:val="22"/>
              </w:rPr>
            </w:pPr>
            <w:r>
              <w:rPr>
                <w:rFonts w:hint="eastAsia" w:ascii="宋体" w:hAnsi="宋体" w:eastAsia="宋体" w:cs="宋体"/>
              </w:rPr>
              <w:t>有限公司</w:t>
            </w:r>
          </w:p>
        </w:tc>
        <w:tc>
          <w:tcPr>
            <w:tcW w:w="10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rPr>
            </w:pPr>
            <w:r>
              <w:rPr>
                <w:rFonts w:hint="eastAsia" w:ascii="宋体" w:hAnsi="宋体" w:eastAsia="宋体" w:cs="宋体"/>
              </w:rPr>
              <w:t>新南</w:t>
            </w:r>
          </w:p>
          <w:p>
            <w:pPr>
              <w:widowControl/>
              <w:jc w:val="center"/>
              <w:rPr>
                <w:rFonts w:hint="eastAsia" w:ascii="宋体" w:hAnsi="宋体" w:eastAsia="宋体" w:cs="宋体"/>
                <w:kern w:val="0"/>
                <w:szCs w:val="22"/>
              </w:rPr>
            </w:pPr>
            <w:r>
              <w:rPr>
                <w:rFonts w:hint="eastAsia" w:ascii="宋体" w:hAnsi="宋体" w:eastAsia="宋体" w:cs="宋体"/>
              </w:rPr>
              <w:t>威尔士州</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444,712,130澳元</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100%</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中间控股公司</w:t>
            </w:r>
          </w:p>
        </w:tc>
        <w:tc>
          <w:tcPr>
            <w:tcW w:w="788"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7.66</w:t>
            </w:r>
          </w:p>
        </w:tc>
        <w:tc>
          <w:tcPr>
            <w:tcW w:w="1055"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2.59</w:t>
            </w:r>
          </w:p>
        </w:tc>
        <w:tc>
          <w:tcPr>
            <w:tcW w:w="955"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10.25</w:t>
            </w:r>
          </w:p>
        </w:tc>
        <w:tc>
          <w:tcPr>
            <w:tcW w:w="993"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33.81%</w:t>
            </w:r>
          </w:p>
        </w:tc>
        <w:tc>
          <w:tcPr>
            <w:tcW w:w="1015" w:type="dxa"/>
            <w:tcBorders>
              <w:top w:val="single" w:color="auto" w:sz="4" w:space="0"/>
              <w:left w:val="nil"/>
              <w:bottom w:val="single" w:color="auto" w:sz="4" w:space="0"/>
              <w:right w:val="single" w:color="auto" w:sz="4" w:space="0"/>
            </w:tcBorders>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2.6</w:t>
            </w: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0</w:t>
            </w:r>
          </w:p>
        </w:tc>
        <w:tc>
          <w:tcPr>
            <w:tcW w:w="106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0.18</w:t>
            </w:r>
          </w:p>
        </w:tc>
        <w:tc>
          <w:tcPr>
            <w:tcW w:w="102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-0.07</w:t>
            </w:r>
          </w:p>
        </w:tc>
      </w:tr>
      <w:tr>
        <w:tblPrEx>
          <w:tblCellMar>
            <w:top w:w="0" w:type="dxa"/>
            <w:left w:w="108" w:type="dxa"/>
            <w:bottom w:w="0" w:type="dxa"/>
            <w:right w:w="108" w:type="dxa"/>
          </w:tblCellMar>
        </w:tblPrEx>
        <w:trPr>
          <w:trHeight w:val="482"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rPr>
            </w:pPr>
            <w:r>
              <w:rPr>
                <w:rFonts w:hint="eastAsia" w:ascii="宋体" w:hAnsi="宋体" w:eastAsia="宋体" w:cs="宋体"/>
              </w:rPr>
              <w:t>雅若碧煤炭</w:t>
            </w:r>
          </w:p>
          <w:p>
            <w:pPr>
              <w:widowControl/>
              <w:jc w:val="center"/>
              <w:rPr>
                <w:rFonts w:hint="eastAsia" w:ascii="宋体" w:hAnsi="宋体" w:eastAsia="宋体" w:cs="宋体"/>
                <w:bCs/>
                <w:kern w:val="0"/>
                <w:szCs w:val="22"/>
              </w:rPr>
            </w:pPr>
            <w:r>
              <w:rPr>
                <w:rFonts w:hint="eastAsia" w:ascii="宋体" w:hAnsi="宋体" w:eastAsia="宋体" w:cs="宋体"/>
              </w:rPr>
              <w:t>有限公司</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昆士兰州</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92,080澳元</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100%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煤炭开采、洗选</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9.74</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5.66</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15.4</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58.11%</w:t>
            </w:r>
          </w:p>
        </w:tc>
        <w:tc>
          <w:tcPr>
            <w:tcW w:w="101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0.82</w:t>
            </w: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0</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7.59</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0.68</w:t>
            </w:r>
          </w:p>
        </w:tc>
      </w:tr>
      <w:tr>
        <w:tblPrEx>
          <w:tblCellMar>
            <w:top w:w="0" w:type="dxa"/>
            <w:left w:w="108" w:type="dxa"/>
            <w:bottom w:w="0" w:type="dxa"/>
            <w:right w:w="108" w:type="dxa"/>
          </w:tblCellMar>
        </w:tblPrEx>
        <w:trPr>
          <w:trHeight w:val="482"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rPr>
            </w:pPr>
            <w:r>
              <w:rPr>
                <w:rFonts w:hint="eastAsia" w:ascii="宋体" w:hAnsi="宋体" w:eastAsia="宋体" w:cs="宋体"/>
              </w:rPr>
              <w:t>猎人谷</w:t>
            </w:r>
          </w:p>
          <w:p>
            <w:pPr>
              <w:widowControl/>
              <w:jc w:val="center"/>
              <w:rPr>
                <w:rFonts w:hint="eastAsia" w:ascii="宋体" w:hAnsi="宋体" w:eastAsia="宋体" w:cs="宋体"/>
                <w:color w:val="000000"/>
                <w:kern w:val="0"/>
                <w:szCs w:val="22"/>
                <w:lang w:val="en-US" w:eastAsia="zh-CN"/>
              </w:rPr>
            </w:pPr>
            <w:r>
              <w:rPr>
                <w:rFonts w:hint="eastAsia" w:ascii="宋体" w:hAnsi="宋体" w:cs="宋体"/>
                <w:lang w:val="en-US" w:eastAsia="zh-CN"/>
              </w:rPr>
              <w:t>合资公司</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rPr>
            </w:pPr>
            <w:r>
              <w:rPr>
                <w:rFonts w:hint="eastAsia" w:ascii="宋体" w:hAnsi="宋体" w:eastAsia="宋体" w:cs="宋体"/>
              </w:rPr>
              <w:t>新南</w:t>
            </w:r>
          </w:p>
          <w:p>
            <w:pPr>
              <w:widowControl/>
              <w:jc w:val="center"/>
              <w:rPr>
                <w:rFonts w:hint="eastAsia" w:ascii="宋体" w:hAnsi="宋体" w:eastAsia="宋体" w:cs="宋体"/>
                <w:color w:val="000000"/>
                <w:kern w:val="0"/>
                <w:szCs w:val="22"/>
              </w:rPr>
            </w:pPr>
            <w:r>
              <w:rPr>
                <w:rFonts w:hint="eastAsia" w:ascii="宋体" w:hAnsi="宋体" w:eastAsia="宋体" w:cs="宋体"/>
              </w:rPr>
              <w:t>威尔士州</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不适用</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51%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2"/>
              </w:rPr>
            </w:pPr>
            <w:r>
              <w:rPr>
                <w:rFonts w:hint="eastAsia" w:ascii="宋体" w:hAnsi="宋体" w:eastAsia="宋体" w:cs="宋体"/>
              </w:rPr>
              <w:t>煤炭开采、洗选</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34.26</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13.3</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47.56</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38.82%</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1.51</w:t>
            </w: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0</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16.23</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5.98</w:t>
            </w:r>
          </w:p>
        </w:tc>
      </w:tr>
      <w:tr>
        <w:tblPrEx>
          <w:tblCellMar>
            <w:top w:w="0" w:type="dxa"/>
            <w:left w:w="108" w:type="dxa"/>
            <w:bottom w:w="0" w:type="dxa"/>
            <w:right w:w="108" w:type="dxa"/>
          </w:tblCellMar>
        </w:tblPrEx>
        <w:trPr>
          <w:trHeight w:val="482"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rPr>
            </w:pPr>
            <w:r>
              <w:rPr>
                <w:rFonts w:hint="eastAsia" w:ascii="宋体" w:hAnsi="宋体" w:eastAsia="宋体" w:cs="宋体"/>
              </w:rPr>
              <w:t>沃克山</w:t>
            </w:r>
          </w:p>
          <w:p>
            <w:pPr>
              <w:jc w:val="center"/>
              <w:rPr>
                <w:rFonts w:hint="eastAsia" w:ascii="宋体" w:hAnsi="宋体" w:eastAsia="宋体" w:cs="宋体"/>
                <w:color w:val="000000"/>
                <w:szCs w:val="22"/>
              </w:rPr>
            </w:pPr>
            <w:r>
              <w:rPr>
                <w:rFonts w:hint="eastAsia" w:ascii="宋体" w:hAnsi="宋体" w:eastAsia="宋体" w:cs="宋体"/>
              </w:rPr>
              <w:t>联营公司</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rPr>
            </w:pPr>
            <w:r>
              <w:rPr>
                <w:rFonts w:hint="eastAsia" w:ascii="宋体" w:hAnsi="宋体" w:eastAsia="宋体" w:cs="宋体"/>
              </w:rPr>
              <w:t>新南</w:t>
            </w:r>
          </w:p>
          <w:p>
            <w:pPr>
              <w:jc w:val="center"/>
              <w:rPr>
                <w:rFonts w:hint="eastAsia" w:ascii="宋体" w:hAnsi="宋体" w:eastAsia="宋体" w:cs="宋体"/>
                <w:color w:val="000000"/>
                <w:szCs w:val="22"/>
              </w:rPr>
            </w:pPr>
            <w:r>
              <w:rPr>
                <w:rFonts w:hint="eastAsia" w:ascii="宋体" w:hAnsi="宋体" w:eastAsia="宋体" w:cs="宋体"/>
              </w:rPr>
              <w:t>威尔士州</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不适用</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rPr>
            </w:pPr>
            <w:r>
              <w:rPr>
                <w:rFonts w:hint="eastAsia" w:ascii="宋体" w:hAnsi="宋体" w:eastAsia="宋体" w:cs="宋体"/>
              </w:rPr>
              <w:t>84%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2"/>
              </w:rPr>
            </w:pPr>
            <w:r>
              <w:rPr>
                <w:rFonts w:hint="eastAsia" w:ascii="宋体" w:hAnsi="宋体" w:eastAsia="宋体" w:cs="宋体"/>
              </w:rPr>
              <w:t>煤炭开采、洗选</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47.47</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28.9</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76.37</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60.88%</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0.79</w:t>
            </w: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0</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16.95</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5.72</w:t>
            </w:r>
          </w:p>
        </w:tc>
      </w:tr>
      <w:tr>
        <w:tblPrEx>
          <w:tblCellMar>
            <w:top w:w="0" w:type="dxa"/>
            <w:left w:w="108" w:type="dxa"/>
            <w:bottom w:w="0" w:type="dxa"/>
            <w:right w:w="108" w:type="dxa"/>
          </w:tblCellMar>
        </w:tblPrEx>
        <w:trPr>
          <w:trHeight w:val="482"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rPr>
            </w:pPr>
            <w:r>
              <w:rPr>
                <w:rFonts w:hint="eastAsia" w:ascii="宋体" w:hAnsi="宋体" w:eastAsia="宋体" w:cs="宋体"/>
              </w:rPr>
              <w:t>索利山</w:t>
            </w:r>
          </w:p>
          <w:p>
            <w:pPr>
              <w:jc w:val="center"/>
              <w:rPr>
                <w:rFonts w:hint="eastAsia" w:ascii="宋体" w:hAnsi="宋体" w:eastAsia="宋体" w:cs="宋体"/>
                <w:color w:val="000000"/>
                <w:szCs w:val="22"/>
              </w:rPr>
            </w:pPr>
            <w:r>
              <w:rPr>
                <w:rFonts w:hint="eastAsia" w:ascii="宋体" w:hAnsi="宋体" w:eastAsia="宋体" w:cs="宋体"/>
              </w:rPr>
              <w:t>联营公司</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rPr>
            </w:pPr>
            <w:r>
              <w:rPr>
                <w:rFonts w:hint="eastAsia" w:ascii="宋体" w:hAnsi="宋体" w:eastAsia="宋体" w:cs="宋体"/>
              </w:rPr>
              <w:t>新南</w:t>
            </w:r>
          </w:p>
          <w:p>
            <w:pPr>
              <w:jc w:val="center"/>
              <w:rPr>
                <w:rFonts w:hint="eastAsia" w:ascii="宋体" w:hAnsi="宋体" w:eastAsia="宋体" w:cs="宋体"/>
                <w:color w:val="000000"/>
                <w:szCs w:val="22"/>
              </w:rPr>
            </w:pPr>
            <w:r>
              <w:rPr>
                <w:rFonts w:hint="eastAsia" w:ascii="宋体" w:hAnsi="宋体" w:eastAsia="宋体" w:cs="宋体"/>
              </w:rPr>
              <w:t>威尔士州</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不适用</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rPr>
            </w:pPr>
            <w:r>
              <w:rPr>
                <w:rFonts w:hint="eastAsia" w:ascii="宋体" w:hAnsi="宋体" w:eastAsia="宋体" w:cs="宋体"/>
              </w:rPr>
              <w:t>80%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2"/>
              </w:rPr>
            </w:pPr>
            <w:r>
              <w:rPr>
                <w:rFonts w:hint="eastAsia" w:ascii="宋体" w:hAnsi="宋体" w:eastAsia="宋体" w:cs="宋体"/>
              </w:rPr>
              <w:t>煤炭开采、洗选</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21.24</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15.03</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36.26</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70.76%</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0.36</w:t>
            </w: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0</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8.47</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rPr>
            </w:pPr>
            <w:r>
              <w:rPr>
                <w:rFonts w:hint="eastAsia" w:ascii="宋体" w:hAnsi="宋体" w:eastAsia="宋体" w:cs="宋体"/>
                <w:sz w:val="22"/>
                <w:szCs w:val="22"/>
              </w:rPr>
              <w:t>2.58</w:t>
            </w:r>
          </w:p>
        </w:tc>
      </w:tr>
    </w:tbl>
    <w:p>
      <w:pPr>
        <w:widowControl/>
        <w:jc w:val="left"/>
        <w:rPr>
          <w:rFonts w:ascii="黑体" w:hAnsi="黑体" w:eastAsia="黑体" w:cs="黑体"/>
          <w:bCs/>
          <w:sz w:val="28"/>
          <w:szCs w:val="28"/>
        </w:rPr>
      </w:pPr>
    </w:p>
    <w:p>
      <w:pPr>
        <w:widowControl/>
        <w:jc w:val="left"/>
        <w:rPr>
          <w:rFonts w:ascii="宋体" w:hAnsi="宋体" w:cs="宋体"/>
          <w:b/>
          <w:bCs/>
          <w:color w:val="000000"/>
          <w:kern w:val="0"/>
          <w:sz w:val="32"/>
          <w:szCs w:val="32"/>
        </w:rPr>
      </w:pPr>
      <w:r>
        <w:rPr>
          <w:rFonts w:ascii="宋体" w:hAnsi="宋体" w:cs="宋体"/>
          <w:b/>
          <w:bCs/>
          <w:color w:val="000000"/>
          <w:kern w:val="0"/>
          <w:sz w:val="32"/>
          <w:szCs w:val="32"/>
        </w:rPr>
        <w:br w:type="page"/>
      </w:r>
      <w:r>
        <w:rPr>
          <w:rFonts w:hint="eastAsia" w:ascii="宋体" w:hAnsi="宋体" w:cs="宋体"/>
          <w:b/>
          <w:bCs/>
          <w:color w:val="000000"/>
          <w:kern w:val="0"/>
          <w:sz w:val="32"/>
          <w:szCs w:val="32"/>
        </w:rPr>
        <w:t>附表3</w:t>
      </w:r>
    </w:p>
    <w:p>
      <w:pPr>
        <w:widowControl/>
        <w:jc w:val="center"/>
        <w:rPr>
          <w:rFonts w:ascii="宋体" w:hAnsi="Times New Roman"/>
          <w:b/>
          <w:bCs/>
          <w:color w:val="000000"/>
          <w:kern w:val="0"/>
          <w:sz w:val="32"/>
          <w:szCs w:val="32"/>
        </w:rPr>
      </w:pPr>
      <w:r>
        <w:rPr>
          <w:rFonts w:hint="eastAsia" w:ascii="宋体" w:hAnsi="宋体" w:cs="宋体"/>
          <w:b/>
          <w:bCs/>
          <w:color w:val="000000"/>
          <w:kern w:val="0"/>
          <w:sz w:val="32"/>
          <w:szCs w:val="32"/>
        </w:rPr>
        <w:t>拟被担保兖煤国际附属公司基本情况表</w:t>
      </w:r>
    </w:p>
    <w:tbl>
      <w:tblPr>
        <w:tblStyle w:val="14"/>
        <w:tblW w:w="14032" w:type="dxa"/>
        <w:tblInd w:w="204" w:type="dxa"/>
        <w:tblLayout w:type="fixed"/>
        <w:tblCellMar>
          <w:top w:w="0" w:type="dxa"/>
          <w:left w:w="108" w:type="dxa"/>
          <w:bottom w:w="0" w:type="dxa"/>
          <w:right w:w="108" w:type="dxa"/>
        </w:tblCellMar>
      </w:tblPr>
      <w:tblGrid>
        <w:gridCol w:w="1394"/>
        <w:gridCol w:w="236"/>
        <w:gridCol w:w="848"/>
        <w:gridCol w:w="1214"/>
        <w:gridCol w:w="628"/>
        <w:gridCol w:w="637"/>
        <w:gridCol w:w="1069"/>
        <w:gridCol w:w="668"/>
        <w:gridCol w:w="318"/>
        <w:gridCol w:w="668"/>
        <w:gridCol w:w="304"/>
        <w:gridCol w:w="668"/>
        <w:gridCol w:w="280"/>
        <w:gridCol w:w="602"/>
        <w:gridCol w:w="289"/>
        <w:gridCol w:w="668"/>
        <w:gridCol w:w="344"/>
        <w:gridCol w:w="1233"/>
        <w:gridCol w:w="807"/>
        <w:gridCol w:w="1157"/>
      </w:tblGrid>
      <w:tr>
        <w:tblPrEx>
          <w:tblCellMar>
            <w:top w:w="0" w:type="dxa"/>
            <w:left w:w="108" w:type="dxa"/>
            <w:bottom w:w="0" w:type="dxa"/>
            <w:right w:w="108" w:type="dxa"/>
          </w:tblCellMar>
        </w:tblPrEx>
        <w:trPr>
          <w:trHeight w:val="460" w:hRule="atLeast"/>
        </w:trPr>
        <w:tc>
          <w:tcPr>
            <w:tcW w:w="1394"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Cs w:val="20"/>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eastAsia="宋体" w:cs="宋体"/>
                <w:kern w:val="0"/>
                <w:sz w:val="20"/>
                <w:szCs w:val="20"/>
              </w:rPr>
            </w:pPr>
          </w:p>
        </w:tc>
        <w:tc>
          <w:tcPr>
            <w:tcW w:w="2690" w:type="dxa"/>
            <w:gridSpan w:val="3"/>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Cs w:val="20"/>
              </w:rPr>
            </w:pPr>
          </w:p>
        </w:tc>
        <w:tc>
          <w:tcPr>
            <w:tcW w:w="637"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Cs w:val="20"/>
              </w:rPr>
            </w:pPr>
          </w:p>
        </w:tc>
        <w:tc>
          <w:tcPr>
            <w:tcW w:w="1737"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Cs w:val="20"/>
              </w:rPr>
            </w:pPr>
          </w:p>
        </w:tc>
        <w:tc>
          <w:tcPr>
            <w:tcW w:w="986" w:type="dxa"/>
            <w:gridSpan w:val="2"/>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Cs w:val="20"/>
              </w:rPr>
            </w:pPr>
          </w:p>
        </w:tc>
        <w:tc>
          <w:tcPr>
            <w:tcW w:w="972" w:type="dxa"/>
            <w:gridSpan w:val="2"/>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Cs w:val="20"/>
              </w:rPr>
            </w:pPr>
          </w:p>
        </w:tc>
        <w:tc>
          <w:tcPr>
            <w:tcW w:w="882" w:type="dxa"/>
            <w:gridSpan w:val="2"/>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Cs w:val="20"/>
              </w:rPr>
            </w:pPr>
          </w:p>
        </w:tc>
        <w:tc>
          <w:tcPr>
            <w:tcW w:w="957" w:type="dxa"/>
            <w:gridSpan w:val="2"/>
            <w:tcBorders>
              <w:top w:val="nil"/>
              <w:left w:val="nil"/>
              <w:bottom w:val="nil"/>
              <w:right w:val="nil"/>
            </w:tcBorders>
          </w:tcPr>
          <w:p>
            <w:pPr>
              <w:widowControl/>
              <w:jc w:val="center"/>
              <w:rPr>
                <w:rFonts w:hint="eastAsia" w:ascii="宋体" w:hAnsi="宋体" w:eastAsia="宋体" w:cs="宋体"/>
                <w:color w:val="000000"/>
                <w:kern w:val="0"/>
                <w:szCs w:val="20"/>
              </w:rPr>
            </w:pPr>
          </w:p>
        </w:tc>
        <w:tc>
          <w:tcPr>
            <w:tcW w:w="3541" w:type="dxa"/>
            <w:gridSpan w:val="4"/>
            <w:tcBorders>
              <w:top w:val="nil"/>
              <w:left w:val="nil"/>
              <w:bottom w:val="nil"/>
              <w:right w:val="nil"/>
            </w:tcBorders>
            <w:vAlign w:val="bottom"/>
          </w:tcPr>
          <w:p>
            <w:pPr>
              <w:widowControl/>
              <w:jc w:val="center"/>
              <w:rPr>
                <w:rFonts w:hint="eastAsia" w:ascii="宋体" w:hAnsi="宋体" w:eastAsia="宋体" w:cs="宋体"/>
                <w:color w:val="000000"/>
                <w:kern w:val="0"/>
                <w:szCs w:val="20"/>
              </w:rPr>
            </w:pPr>
            <w:r>
              <w:rPr>
                <w:rFonts w:hint="eastAsia" w:ascii="宋体" w:hAnsi="宋体" w:cs="宋体"/>
                <w:color w:val="000000"/>
                <w:kern w:val="0"/>
                <w:sz w:val="22"/>
                <w:szCs w:val="20"/>
                <w:lang w:val="en-US" w:eastAsia="zh-CN"/>
              </w:rPr>
              <w:t xml:space="preserve">       </w:t>
            </w:r>
            <w:r>
              <w:rPr>
                <w:rFonts w:hint="eastAsia" w:ascii="宋体" w:hAnsi="宋体" w:eastAsia="宋体" w:cs="宋体"/>
                <w:color w:val="000000"/>
                <w:kern w:val="0"/>
                <w:sz w:val="22"/>
                <w:szCs w:val="20"/>
              </w:rPr>
              <w:t>单位：亿澳元</w:t>
            </w:r>
          </w:p>
        </w:tc>
      </w:tr>
      <w:tr>
        <w:tblPrEx>
          <w:tblCellMar>
            <w:top w:w="0" w:type="dxa"/>
            <w:left w:w="108" w:type="dxa"/>
            <w:bottom w:w="0" w:type="dxa"/>
            <w:right w:w="108" w:type="dxa"/>
          </w:tblCellMar>
        </w:tblPrEx>
        <w:trPr>
          <w:trHeight w:val="382" w:hRule="atLeast"/>
        </w:trPr>
        <w:tc>
          <w:tcPr>
            <w:tcW w:w="13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被担保公司</w:t>
            </w:r>
          </w:p>
        </w:tc>
        <w:tc>
          <w:tcPr>
            <w:tcW w:w="10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注册地</w:t>
            </w:r>
          </w:p>
        </w:tc>
        <w:tc>
          <w:tcPr>
            <w:tcW w:w="12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注册资本</w:t>
            </w:r>
          </w:p>
        </w:tc>
        <w:tc>
          <w:tcPr>
            <w:tcW w:w="126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本公司</w:t>
            </w:r>
          </w:p>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持股比例</w:t>
            </w:r>
          </w:p>
        </w:tc>
        <w:tc>
          <w:tcPr>
            <w:tcW w:w="10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cs="宋体"/>
                <w:color w:val="000000"/>
                <w:kern w:val="0"/>
                <w:sz w:val="22"/>
                <w:szCs w:val="22"/>
                <w:lang w:val="en-US" w:eastAsia="zh-CN"/>
              </w:rPr>
              <w:t>主要</w:t>
            </w:r>
            <w:r>
              <w:rPr>
                <w:rFonts w:hint="eastAsia" w:ascii="宋体" w:hAnsi="宋体" w:eastAsia="宋体" w:cs="宋体"/>
                <w:color w:val="000000"/>
                <w:kern w:val="0"/>
                <w:sz w:val="22"/>
                <w:szCs w:val="22"/>
              </w:rPr>
              <w:t>经营范围</w:t>
            </w:r>
          </w:p>
        </w:tc>
        <w:tc>
          <w:tcPr>
            <w:tcW w:w="6042"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2023年12月31日</w:t>
            </w:r>
          </w:p>
        </w:tc>
        <w:tc>
          <w:tcPr>
            <w:tcW w:w="19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2023年度</w:t>
            </w:r>
          </w:p>
        </w:tc>
      </w:tr>
      <w:tr>
        <w:tblPrEx>
          <w:tblCellMar>
            <w:top w:w="0" w:type="dxa"/>
            <w:left w:w="108" w:type="dxa"/>
            <w:bottom w:w="0" w:type="dxa"/>
            <w:right w:w="108" w:type="dxa"/>
          </w:tblCellMar>
        </w:tblPrEx>
        <w:trPr>
          <w:trHeight w:val="779" w:hRule="atLeast"/>
        </w:trPr>
        <w:tc>
          <w:tcPr>
            <w:tcW w:w="13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p>
        </w:tc>
        <w:tc>
          <w:tcPr>
            <w:tcW w:w="10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p>
        </w:tc>
        <w:tc>
          <w:tcPr>
            <w:tcW w:w="121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p>
        </w:tc>
        <w:tc>
          <w:tcPr>
            <w:tcW w:w="12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p>
        </w:tc>
        <w:tc>
          <w:tcPr>
            <w:tcW w:w="9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资产</w:t>
            </w:r>
          </w:p>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总额</w:t>
            </w:r>
          </w:p>
        </w:tc>
        <w:tc>
          <w:tcPr>
            <w:tcW w:w="97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负债</w:t>
            </w:r>
          </w:p>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总额</w:t>
            </w:r>
          </w:p>
        </w:tc>
        <w:tc>
          <w:tcPr>
            <w:tcW w:w="948"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净资产</w:t>
            </w:r>
          </w:p>
        </w:tc>
        <w:tc>
          <w:tcPr>
            <w:tcW w:w="89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资产</w:t>
            </w:r>
          </w:p>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负债率</w:t>
            </w:r>
          </w:p>
        </w:tc>
        <w:tc>
          <w:tcPr>
            <w:tcW w:w="10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流动</w:t>
            </w:r>
          </w:p>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负债</w:t>
            </w:r>
          </w:p>
        </w:tc>
        <w:tc>
          <w:tcPr>
            <w:tcW w:w="123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银行借款</w:t>
            </w:r>
          </w:p>
        </w:tc>
        <w:tc>
          <w:tcPr>
            <w:tcW w:w="8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收入</w:t>
            </w:r>
          </w:p>
        </w:tc>
        <w:tc>
          <w:tcPr>
            <w:tcW w:w="11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净利润</w:t>
            </w:r>
          </w:p>
        </w:tc>
      </w:tr>
      <w:tr>
        <w:tblPrEx>
          <w:tblCellMar>
            <w:top w:w="0" w:type="dxa"/>
            <w:left w:w="108" w:type="dxa"/>
            <w:bottom w:w="0" w:type="dxa"/>
            <w:right w:w="108" w:type="dxa"/>
          </w:tblCellMar>
        </w:tblPrEx>
        <w:trPr>
          <w:trHeight w:val="346" w:hRule="atLeast"/>
        </w:trPr>
        <w:tc>
          <w:tcPr>
            <w:tcW w:w="13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亚森纳合营公司</w:t>
            </w:r>
          </w:p>
        </w:tc>
        <w:tc>
          <w:tcPr>
            <w:tcW w:w="10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rPr>
              <w:t>非法人合资企业</w:t>
            </w:r>
          </w:p>
        </w:tc>
        <w:tc>
          <w:tcPr>
            <w:tcW w:w="121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rPr>
              <w:t>不适用</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rPr>
              <w:t>51%</w:t>
            </w:r>
          </w:p>
        </w:tc>
        <w:tc>
          <w:tcPr>
            <w:tcW w:w="106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rPr>
              <w:t>勘探</w:t>
            </w:r>
          </w:p>
        </w:tc>
        <w:tc>
          <w:tcPr>
            <w:tcW w:w="98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szCs w:val="22"/>
              </w:rPr>
            </w:pPr>
            <w:r>
              <w:rPr>
                <w:rFonts w:hint="eastAsia" w:ascii="宋体" w:hAnsi="宋体" w:eastAsia="宋体" w:cs="宋体"/>
                <w:sz w:val="22"/>
                <w:szCs w:val="22"/>
              </w:rPr>
              <w:t>0.03</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0</w:t>
            </w:r>
          </w:p>
        </w:tc>
        <w:tc>
          <w:tcPr>
            <w:tcW w:w="948"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0.03</w:t>
            </w:r>
          </w:p>
        </w:tc>
        <w:tc>
          <w:tcPr>
            <w:tcW w:w="891"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0.92%</w:t>
            </w:r>
          </w:p>
        </w:tc>
        <w:tc>
          <w:tcPr>
            <w:tcW w:w="1012" w:type="dxa"/>
            <w:gridSpan w:val="2"/>
            <w:tcBorders>
              <w:top w:val="single" w:color="auto" w:sz="4" w:space="0"/>
              <w:left w:val="nil"/>
              <w:bottom w:val="single" w:color="auto" w:sz="4" w:space="0"/>
              <w:right w:val="single" w:color="auto" w:sz="4" w:space="0"/>
            </w:tcBorders>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0</w:t>
            </w:r>
          </w:p>
        </w:tc>
        <w:tc>
          <w:tcPr>
            <w:tcW w:w="12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0</w:t>
            </w:r>
          </w:p>
        </w:tc>
        <w:tc>
          <w:tcPr>
            <w:tcW w:w="8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0</w:t>
            </w:r>
          </w:p>
        </w:tc>
        <w:tc>
          <w:tcPr>
            <w:tcW w:w="115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0</w:t>
            </w:r>
          </w:p>
        </w:tc>
      </w:tr>
      <w:tr>
        <w:tblPrEx>
          <w:tblCellMar>
            <w:top w:w="0" w:type="dxa"/>
            <w:left w:w="108" w:type="dxa"/>
            <w:bottom w:w="0" w:type="dxa"/>
            <w:right w:w="108" w:type="dxa"/>
          </w:tblCellMar>
        </w:tblPrEx>
        <w:trPr>
          <w:trHeight w:val="346" w:hRule="atLeast"/>
        </w:trPr>
        <w:tc>
          <w:tcPr>
            <w:tcW w:w="13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普瑞马煤炭有限公司</w:t>
            </w:r>
          </w:p>
        </w:tc>
        <w:tc>
          <w:tcPr>
            <w:tcW w:w="10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lang w:val="en-US" w:eastAsia="zh-CN"/>
              </w:rPr>
            </w:pPr>
            <w:r>
              <w:rPr>
                <w:rFonts w:hint="eastAsia" w:ascii="宋体" w:hAnsi="宋体" w:eastAsia="宋体" w:cs="宋体"/>
              </w:rPr>
              <w:t>西澳</w:t>
            </w:r>
            <w:r>
              <w:rPr>
                <w:rFonts w:hint="eastAsia" w:ascii="宋体" w:hAnsi="宋体" w:cs="宋体"/>
                <w:lang w:val="en-US" w:eastAsia="zh-CN"/>
              </w:rPr>
              <w:t>州</w:t>
            </w:r>
          </w:p>
        </w:tc>
        <w:tc>
          <w:tcPr>
            <w:tcW w:w="121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3,885,679澳元</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rPr>
              <w:t>100%</w:t>
            </w:r>
          </w:p>
        </w:tc>
        <w:tc>
          <w:tcPr>
            <w:tcW w:w="106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rPr>
              <w:t>煤炭开采、洗选</w:t>
            </w:r>
          </w:p>
        </w:tc>
        <w:tc>
          <w:tcPr>
            <w:tcW w:w="98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szCs w:val="22"/>
              </w:rPr>
            </w:pPr>
            <w:r>
              <w:rPr>
                <w:rFonts w:hint="eastAsia" w:ascii="宋体" w:hAnsi="宋体" w:eastAsia="宋体" w:cs="宋体"/>
                <w:sz w:val="22"/>
                <w:szCs w:val="22"/>
              </w:rPr>
              <w:t>2.29</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1.34</w:t>
            </w:r>
          </w:p>
        </w:tc>
        <w:tc>
          <w:tcPr>
            <w:tcW w:w="948"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0.96</w:t>
            </w:r>
          </w:p>
        </w:tc>
        <w:tc>
          <w:tcPr>
            <w:tcW w:w="891"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58.26%</w:t>
            </w:r>
          </w:p>
        </w:tc>
        <w:tc>
          <w:tcPr>
            <w:tcW w:w="1012" w:type="dxa"/>
            <w:gridSpan w:val="2"/>
            <w:tcBorders>
              <w:top w:val="single" w:color="auto" w:sz="4" w:space="0"/>
              <w:left w:val="nil"/>
              <w:bottom w:val="single" w:color="auto" w:sz="4" w:space="0"/>
              <w:right w:val="single" w:color="auto" w:sz="4" w:space="0"/>
            </w:tcBorders>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0.77</w:t>
            </w:r>
          </w:p>
        </w:tc>
        <w:tc>
          <w:tcPr>
            <w:tcW w:w="12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0</w:t>
            </w:r>
          </w:p>
        </w:tc>
        <w:tc>
          <w:tcPr>
            <w:tcW w:w="8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2.93</w:t>
            </w:r>
          </w:p>
        </w:tc>
        <w:tc>
          <w:tcPr>
            <w:tcW w:w="115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0.03</w:t>
            </w:r>
          </w:p>
        </w:tc>
      </w:tr>
      <w:tr>
        <w:tblPrEx>
          <w:tblCellMar>
            <w:top w:w="0" w:type="dxa"/>
            <w:left w:w="108" w:type="dxa"/>
            <w:bottom w:w="0" w:type="dxa"/>
            <w:right w:w="108" w:type="dxa"/>
          </w:tblCellMar>
        </w:tblPrEx>
        <w:trPr>
          <w:trHeight w:val="346" w:hRule="atLeast"/>
        </w:trPr>
        <w:tc>
          <w:tcPr>
            <w:tcW w:w="139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rPr>
              <w:t>新泰克资源有限公司</w:t>
            </w:r>
          </w:p>
        </w:tc>
        <w:tc>
          <w:tcPr>
            <w:tcW w:w="10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rPr>
              <w:t>新南威尔士州</w:t>
            </w:r>
          </w:p>
        </w:tc>
        <w:tc>
          <w:tcPr>
            <w:tcW w:w="121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64,826.90澳元</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rPr>
              <w:t>100%</w:t>
            </w:r>
          </w:p>
        </w:tc>
        <w:tc>
          <w:tcPr>
            <w:tcW w:w="106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rPr>
              <w:t>煤炭开采、洗选</w:t>
            </w:r>
          </w:p>
        </w:tc>
        <w:tc>
          <w:tcPr>
            <w:tcW w:w="98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szCs w:val="22"/>
              </w:rPr>
            </w:pPr>
            <w:r>
              <w:rPr>
                <w:rFonts w:hint="eastAsia" w:ascii="宋体" w:hAnsi="宋体" w:eastAsia="宋体" w:cs="宋体"/>
                <w:sz w:val="22"/>
                <w:szCs w:val="22"/>
              </w:rPr>
              <w:t>20.23</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16.55</w:t>
            </w:r>
          </w:p>
        </w:tc>
        <w:tc>
          <w:tcPr>
            <w:tcW w:w="948"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3.69</w:t>
            </w:r>
          </w:p>
        </w:tc>
        <w:tc>
          <w:tcPr>
            <w:tcW w:w="891"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81.79%</w:t>
            </w:r>
          </w:p>
        </w:tc>
        <w:tc>
          <w:tcPr>
            <w:tcW w:w="1012" w:type="dxa"/>
            <w:gridSpan w:val="2"/>
            <w:tcBorders>
              <w:top w:val="single" w:color="auto" w:sz="4" w:space="0"/>
              <w:left w:val="nil"/>
              <w:bottom w:val="single" w:color="auto" w:sz="4" w:space="0"/>
              <w:right w:val="single" w:color="auto" w:sz="4" w:space="0"/>
            </w:tcBorders>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4.76</w:t>
            </w:r>
          </w:p>
        </w:tc>
        <w:tc>
          <w:tcPr>
            <w:tcW w:w="12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0</w:t>
            </w:r>
          </w:p>
        </w:tc>
        <w:tc>
          <w:tcPr>
            <w:tcW w:w="8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6.46</w:t>
            </w:r>
          </w:p>
        </w:tc>
        <w:tc>
          <w:tcPr>
            <w:tcW w:w="115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1.81</w:t>
            </w:r>
          </w:p>
        </w:tc>
      </w:tr>
      <w:tr>
        <w:tblPrEx>
          <w:tblCellMar>
            <w:top w:w="0" w:type="dxa"/>
            <w:left w:w="108" w:type="dxa"/>
            <w:bottom w:w="0" w:type="dxa"/>
            <w:right w:w="108" w:type="dxa"/>
          </w:tblCellMar>
        </w:tblPrEx>
        <w:trPr>
          <w:trHeight w:val="689" w:hRule="atLeast"/>
        </w:trPr>
        <w:tc>
          <w:tcPr>
            <w:tcW w:w="13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汤佛控股有限公司</w:t>
            </w:r>
          </w:p>
        </w:tc>
        <w:tc>
          <w:tcPr>
            <w:tcW w:w="10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rPr>
              <w:t>维多利亚州</w:t>
            </w:r>
          </w:p>
        </w:tc>
        <w:tc>
          <w:tcPr>
            <w:tcW w:w="121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46,407,918澳元</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rPr>
              <w:t>100%</w:t>
            </w:r>
          </w:p>
        </w:tc>
        <w:tc>
          <w:tcPr>
            <w:tcW w:w="106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rPr>
              <w:t>勘探</w:t>
            </w:r>
          </w:p>
        </w:tc>
        <w:tc>
          <w:tcPr>
            <w:tcW w:w="98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szCs w:val="22"/>
              </w:rPr>
            </w:pPr>
            <w:r>
              <w:rPr>
                <w:rFonts w:hint="eastAsia" w:ascii="宋体" w:hAnsi="宋体" w:eastAsia="宋体" w:cs="宋体"/>
                <w:sz w:val="22"/>
                <w:szCs w:val="22"/>
              </w:rPr>
              <w:t>0.02</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0.1</w:t>
            </w:r>
          </w:p>
        </w:tc>
        <w:tc>
          <w:tcPr>
            <w:tcW w:w="948"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-0.08</w:t>
            </w:r>
          </w:p>
        </w:tc>
        <w:tc>
          <w:tcPr>
            <w:tcW w:w="891"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437.14%</w:t>
            </w:r>
          </w:p>
        </w:tc>
        <w:tc>
          <w:tcPr>
            <w:tcW w:w="1012" w:type="dxa"/>
            <w:gridSpan w:val="2"/>
            <w:tcBorders>
              <w:top w:val="single" w:color="auto" w:sz="4" w:space="0"/>
              <w:left w:val="nil"/>
              <w:bottom w:val="single" w:color="auto" w:sz="4" w:space="0"/>
              <w:right w:val="single" w:color="auto" w:sz="4" w:space="0"/>
            </w:tcBorders>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0.1</w:t>
            </w:r>
          </w:p>
        </w:tc>
        <w:tc>
          <w:tcPr>
            <w:tcW w:w="12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0</w:t>
            </w:r>
          </w:p>
        </w:tc>
        <w:tc>
          <w:tcPr>
            <w:tcW w:w="8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0</w:t>
            </w:r>
          </w:p>
        </w:tc>
        <w:tc>
          <w:tcPr>
            <w:tcW w:w="115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0</w:t>
            </w:r>
          </w:p>
        </w:tc>
      </w:tr>
      <w:tr>
        <w:tblPrEx>
          <w:tblCellMar>
            <w:top w:w="0" w:type="dxa"/>
            <w:left w:w="108" w:type="dxa"/>
            <w:bottom w:w="0" w:type="dxa"/>
            <w:right w:w="108" w:type="dxa"/>
          </w:tblCellMar>
        </w:tblPrEx>
        <w:trPr>
          <w:trHeight w:val="346" w:hRule="atLeast"/>
        </w:trPr>
        <w:tc>
          <w:tcPr>
            <w:tcW w:w="13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威尔平那控股有限公司</w:t>
            </w:r>
          </w:p>
        </w:tc>
        <w:tc>
          <w:tcPr>
            <w:tcW w:w="10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rPr>
              <w:t>维多利亚州</w:t>
            </w:r>
          </w:p>
        </w:tc>
        <w:tc>
          <w:tcPr>
            <w:tcW w:w="121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rPr>
              <w:t>3,457,382澳元</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rPr>
              <w:t>100%</w:t>
            </w:r>
          </w:p>
        </w:tc>
        <w:tc>
          <w:tcPr>
            <w:tcW w:w="106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rPr>
              <w:t>勘探</w:t>
            </w:r>
          </w:p>
        </w:tc>
        <w:tc>
          <w:tcPr>
            <w:tcW w:w="98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szCs w:val="22"/>
              </w:rPr>
            </w:pPr>
            <w:r>
              <w:rPr>
                <w:rFonts w:hint="eastAsia" w:ascii="宋体" w:hAnsi="宋体" w:eastAsia="宋体" w:cs="宋体"/>
                <w:sz w:val="22"/>
                <w:szCs w:val="22"/>
              </w:rPr>
              <w:t>0.2</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0.18</w:t>
            </w:r>
          </w:p>
        </w:tc>
        <w:tc>
          <w:tcPr>
            <w:tcW w:w="948"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0.02</w:t>
            </w:r>
          </w:p>
        </w:tc>
        <w:tc>
          <w:tcPr>
            <w:tcW w:w="891"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89.42%</w:t>
            </w:r>
          </w:p>
        </w:tc>
        <w:tc>
          <w:tcPr>
            <w:tcW w:w="1012" w:type="dxa"/>
            <w:gridSpan w:val="2"/>
            <w:tcBorders>
              <w:top w:val="single" w:color="auto" w:sz="4" w:space="0"/>
              <w:left w:val="nil"/>
              <w:bottom w:val="single" w:color="auto" w:sz="4" w:space="0"/>
              <w:right w:val="single" w:color="auto" w:sz="4" w:space="0"/>
            </w:tcBorders>
            <w:vAlign w:val="center"/>
          </w:tcPr>
          <w:p>
            <w:pPr>
              <w:widowControl/>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14:ligatures w14:val="none"/>
              </w:rPr>
              <w:t>0.13</w:t>
            </w:r>
          </w:p>
        </w:tc>
        <w:tc>
          <w:tcPr>
            <w:tcW w:w="12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0</w:t>
            </w:r>
          </w:p>
        </w:tc>
        <w:tc>
          <w:tcPr>
            <w:tcW w:w="8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0</w:t>
            </w:r>
          </w:p>
        </w:tc>
        <w:tc>
          <w:tcPr>
            <w:tcW w:w="115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0</w:t>
            </w:r>
          </w:p>
        </w:tc>
      </w:tr>
      <w:bookmarkEnd w:id="0"/>
    </w:tbl>
    <w:p>
      <w:pPr>
        <w:widowControl/>
        <w:tabs>
          <w:tab w:val="left" w:pos="630"/>
        </w:tabs>
        <w:jc w:val="left"/>
        <w:rPr>
          <w:rFonts w:ascii="宋体" w:hAnsi="宋体"/>
          <w:color w:val="000000"/>
          <w:sz w:val="28"/>
        </w:rPr>
      </w:pPr>
    </w:p>
    <w:sectPr>
      <w:headerReference r:id="rId5" w:type="default"/>
      <w:footerReference r:id="rId6" w:type="default"/>
      <w:pgSz w:w="16838" w:h="11906" w:orient="landscape"/>
      <w:pgMar w:top="1276" w:right="1440" w:bottom="1701" w:left="144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
    <w:altName w:val="黑体"/>
    <w:panose1 w:val="00000000000000000000"/>
    <w:charset w:val="86"/>
    <w:family w:val="auto"/>
    <w:pitch w:val="default"/>
    <w:sig w:usb0="00000000" w:usb1="00000000" w:usb2="00000010" w:usb3="00000000" w:csb0="0004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4</w:t>
    </w:r>
    <w:r>
      <w:rPr>
        <w:rStyle w:val="18"/>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w:t>
    </w:r>
    <w:r>
      <w:rPr>
        <w:rStyle w:val="18"/>
      </w:rP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13</w:t>
    </w:r>
    <w:r>
      <w:fldChar w:fldCharType="end"/>
    </w:r>
  </w:p>
  <w:p>
    <w:pPr>
      <w:pStyle w:val="9"/>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63B4DC"/>
    <w:multiLevelType w:val="singleLevel"/>
    <w:tmpl w:val="F163B4DC"/>
    <w:lvl w:ilvl="0" w:tentative="0">
      <w:start w:val="1"/>
      <w:numFmt w:val="decimal"/>
      <w:lvlText w:val="%1."/>
      <w:lvlJc w:val="left"/>
      <w:pPr>
        <w:tabs>
          <w:tab w:val="left" w:pos="312"/>
        </w:tabs>
      </w:pPr>
      <w:rPr>
        <w:rFonts w:hint="default" w:ascii="宋体" w:hAnsi="宋体" w:eastAsia="宋体" w:cs="宋体"/>
        <w:b w:val="0"/>
        <w:bCs w:val="0"/>
      </w:rPr>
    </w:lvl>
  </w:abstractNum>
  <w:abstractNum w:abstractNumId="1">
    <w:nsid w:val="61722525"/>
    <w:multiLevelType w:val="multilevel"/>
    <w:tmpl w:val="61722525"/>
    <w:lvl w:ilvl="0" w:tentative="0">
      <w:start w:val="1"/>
      <w:numFmt w:val="bullet"/>
      <w:lvlText w:val=""/>
      <w:lvlJc w:val="left"/>
      <w:pPr>
        <w:ind w:left="960" w:hanging="420"/>
      </w:pPr>
      <w:rPr>
        <w:rFonts w:hint="default" w:ascii="Wingdings" w:hAnsi="Wingdings"/>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mY2NjOWZkMzhlYWI0MWRhODhiNmQxNGI1NDMzYzEifQ=="/>
    <w:docVar w:name="KSO_WPS_MARK_KEY" w:val="1796db91-e3bb-45c7-9770-558d5c8e482b"/>
  </w:docVars>
  <w:rsids>
    <w:rsidRoot w:val="00B1166A"/>
    <w:rsid w:val="00000C66"/>
    <w:rsid w:val="00004217"/>
    <w:rsid w:val="00004F54"/>
    <w:rsid w:val="00010C7D"/>
    <w:rsid w:val="00010F7F"/>
    <w:rsid w:val="000116A3"/>
    <w:rsid w:val="00011EA4"/>
    <w:rsid w:val="00014E26"/>
    <w:rsid w:val="000214C2"/>
    <w:rsid w:val="000233E3"/>
    <w:rsid w:val="0002426E"/>
    <w:rsid w:val="00024379"/>
    <w:rsid w:val="00026422"/>
    <w:rsid w:val="0002731B"/>
    <w:rsid w:val="000352B0"/>
    <w:rsid w:val="000370A7"/>
    <w:rsid w:val="00043543"/>
    <w:rsid w:val="00044496"/>
    <w:rsid w:val="0004674E"/>
    <w:rsid w:val="000476C8"/>
    <w:rsid w:val="00050B16"/>
    <w:rsid w:val="000511F3"/>
    <w:rsid w:val="000528FA"/>
    <w:rsid w:val="00056E40"/>
    <w:rsid w:val="00061BB9"/>
    <w:rsid w:val="0006259E"/>
    <w:rsid w:val="00062790"/>
    <w:rsid w:val="00062C38"/>
    <w:rsid w:val="00072E86"/>
    <w:rsid w:val="00081501"/>
    <w:rsid w:val="0008169E"/>
    <w:rsid w:val="0008173A"/>
    <w:rsid w:val="00082F21"/>
    <w:rsid w:val="00086404"/>
    <w:rsid w:val="000918E3"/>
    <w:rsid w:val="000925B2"/>
    <w:rsid w:val="00093159"/>
    <w:rsid w:val="000932BB"/>
    <w:rsid w:val="00097BE1"/>
    <w:rsid w:val="000A2DA2"/>
    <w:rsid w:val="000B320D"/>
    <w:rsid w:val="000B50E0"/>
    <w:rsid w:val="000C0D4B"/>
    <w:rsid w:val="000C27F6"/>
    <w:rsid w:val="000C5674"/>
    <w:rsid w:val="000C5F87"/>
    <w:rsid w:val="000C7908"/>
    <w:rsid w:val="000D00F7"/>
    <w:rsid w:val="000D08AF"/>
    <w:rsid w:val="000D2858"/>
    <w:rsid w:val="000D3363"/>
    <w:rsid w:val="000E601C"/>
    <w:rsid w:val="000F1F4E"/>
    <w:rsid w:val="000F664B"/>
    <w:rsid w:val="00100065"/>
    <w:rsid w:val="0010275A"/>
    <w:rsid w:val="00103433"/>
    <w:rsid w:val="001037A0"/>
    <w:rsid w:val="00104049"/>
    <w:rsid w:val="001040E2"/>
    <w:rsid w:val="001049AD"/>
    <w:rsid w:val="00107077"/>
    <w:rsid w:val="001074A9"/>
    <w:rsid w:val="001075E8"/>
    <w:rsid w:val="001102A7"/>
    <w:rsid w:val="00112206"/>
    <w:rsid w:val="00112FFC"/>
    <w:rsid w:val="00113684"/>
    <w:rsid w:val="001317E5"/>
    <w:rsid w:val="00131EAE"/>
    <w:rsid w:val="00133FF0"/>
    <w:rsid w:val="00136120"/>
    <w:rsid w:val="00136497"/>
    <w:rsid w:val="00140ECB"/>
    <w:rsid w:val="00142007"/>
    <w:rsid w:val="001424F3"/>
    <w:rsid w:val="00145AE1"/>
    <w:rsid w:val="00146972"/>
    <w:rsid w:val="00151936"/>
    <w:rsid w:val="001519AF"/>
    <w:rsid w:val="00152D7B"/>
    <w:rsid w:val="00152EF5"/>
    <w:rsid w:val="00156669"/>
    <w:rsid w:val="001609CE"/>
    <w:rsid w:val="001660E6"/>
    <w:rsid w:val="00167509"/>
    <w:rsid w:val="001702E8"/>
    <w:rsid w:val="001710E6"/>
    <w:rsid w:val="001723C6"/>
    <w:rsid w:val="00172B92"/>
    <w:rsid w:val="00174DB2"/>
    <w:rsid w:val="00177770"/>
    <w:rsid w:val="00177B5A"/>
    <w:rsid w:val="00181DF4"/>
    <w:rsid w:val="001826AE"/>
    <w:rsid w:val="001827F4"/>
    <w:rsid w:val="0018495C"/>
    <w:rsid w:val="00186A21"/>
    <w:rsid w:val="00187950"/>
    <w:rsid w:val="00190ED1"/>
    <w:rsid w:val="001945F1"/>
    <w:rsid w:val="00195760"/>
    <w:rsid w:val="001971D6"/>
    <w:rsid w:val="001A28A4"/>
    <w:rsid w:val="001A3DCA"/>
    <w:rsid w:val="001A3F2B"/>
    <w:rsid w:val="001A6684"/>
    <w:rsid w:val="001B03E7"/>
    <w:rsid w:val="001B333A"/>
    <w:rsid w:val="001B4B3C"/>
    <w:rsid w:val="001C1B8A"/>
    <w:rsid w:val="001C476B"/>
    <w:rsid w:val="001C4C53"/>
    <w:rsid w:val="001C5E45"/>
    <w:rsid w:val="001D095A"/>
    <w:rsid w:val="001D1FD8"/>
    <w:rsid w:val="001D4E3E"/>
    <w:rsid w:val="001D4F36"/>
    <w:rsid w:val="001D601E"/>
    <w:rsid w:val="001E04EB"/>
    <w:rsid w:val="001E0A87"/>
    <w:rsid w:val="001E140B"/>
    <w:rsid w:val="001E1DDA"/>
    <w:rsid w:val="001E1F75"/>
    <w:rsid w:val="001E2596"/>
    <w:rsid w:val="001E4B66"/>
    <w:rsid w:val="001E4F6B"/>
    <w:rsid w:val="001F0B26"/>
    <w:rsid w:val="001F1263"/>
    <w:rsid w:val="001F5AB0"/>
    <w:rsid w:val="00200D5E"/>
    <w:rsid w:val="0020181F"/>
    <w:rsid w:val="00201B81"/>
    <w:rsid w:val="0020720E"/>
    <w:rsid w:val="002079EF"/>
    <w:rsid w:val="0021073B"/>
    <w:rsid w:val="002146B3"/>
    <w:rsid w:val="00216202"/>
    <w:rsid w:val="00216E6C"/>
    <w:rsid w:val="00222902"/>
    <w:rsid w:val="0022415A"/>
    <w:rsid w:val="00224AB1"/>
    <w:rsid w:val="00226377"/>
    <w:rsid w:val="00226695"/>
    <w:rsid w:val="0022720D"/>
    <w:rsid w:val="00227AEC"/>
    <w:rsid w:val="00234F6D"/>
    <w:rsid w:val="002360CB"/>
    <w:rsid w:val="002412D2"/>
    <w:rsid w:val="002424F4"/>
    <w:rsid w:val="00243D16"/>
    <w:rsid w:val="0025011E"/>
    <w:rsid w:val="00254979"/>
    <w:rsid w:val="002567CF"/>
    <w:rsid w:val="00261DB6"/>
    <w:rsid w:val="00264439"/>
    <w:rsid w:val="00267C65"/>
    <w:rsid w:val="00270B3B"/>
    <w:rsid w:val="00273A15"/>
    <w:rsid w:val="00276653"/>
    <w:rsid w:val="00277115"/>
    <w:rsid w:val="00277207"/>
    <w:rsid w:val="002832A0"/>
    <w:rsid w:val="002861A8"/>
    <w:rsid w:val="002909AA"/>
    <w:rsid w:val="00294979"/>
    <w:rsid w:val="002965E2"/>
    <w:rsid w:val="0029667A"/>
    <w:rsid w:val="002A1CB2"/>
    <w:rsid w:val="002A36EF"/>
    <w:rsid w:val="002A3841"/>
    <w:rsid w:val="002A3AA7"/>
    <w:rsid w:val="002A49BC"/>
    <w:rsid w:val="002A6867"/>
    <w:rsid w:val="002B0825"/>
    <w:rsid w:val="002B0BDE"/>
    <w:rsid w:val="002C2B5C"/>
    <w:rsid w:val="002C6AA6"/>
    <w:rsid w:val="002D0095"/>
    <w:rsid w:val="002D331B"/>
    <w:rsid w:val="002D413C"/>
    <w:rsid w:val="002D738C"/>
    <w:rsid w:val="002E450A"/>
    <w:rsid w:val="002F11CA"/>
    <w:rsid w:val="002F13A1"/>
    <w:rsid w:val="002F1D7A"/>
    <w:rsid w:val="002F45BA"/>
    <w:rsid w:val="002F5278"/>
    <w:rsid w:val="002F61B8"/>
    <w:rsid w:val="003002F6"/>
    <w:rsid w:val="00300970"/>
    <w:rsid w:val="00301DB6"/>
    <w:rsid w:val="0030202B"/>
    <w:rsid w:val="00302BC8"/>
    <w:rsid w:val="0030466A"/>
    <w:rsid w:val="00304D9D"/>
    <w:rsid w:val="003053D8"/>
    <w:rsid w:val="00305F47"/>
    <w:rsid w:val="00306D0F"/>
    <w:rsid w:val="00307EC1"/>
    <w:rsid w:val="00312FF2"/>
    <w:rsid w:val="003141DD"/>
    <w:rsid w:val="00315E7D"/>
    <w:rsid w:val="00317B58"/>
    <w:rsid w:val="00324490"/>
    <w:rsid w:val="00325B7D"/>
    <w:rsid w:val="003311D5"/>
    <w:rsid w:val="00341AE8"/>
    <w:rsid w:val="00342EC4"/>
    <w:rsid w:val="003468C1"/>
    <w:rsid w:val="003475E3"/>
    <w:rsid w:val="003504E3"/>
    <w:rsid w:val="003517CB"/>
    <w:rsid w:val="00353B50"/>
    <w:rsid w:val="00354828"/>
    <w:rsid w:val="00356C7A"/>
    <w:rsid w:val="0036105B"/>
    <w:rsid w:val="00361481"/>
    <w:rsid w:val="00362AB2"/>
    <w:rsid w:val="00362B84"/>
    <w:rsid w:val="00365905"/>
    <w:rsid w:val="00370C02"/>
    <w:rsid w:val="0037171C"/>
    <w:rsid w:val="003727D6"/>
    <w:rsid w:val="0037389C"/>
    <w:rsid w:val="00382979"/>
    <w:rsid w:val="003832E6"/>
    <w:rsid w:val="00383CEA"/>
    <w:rsid w:val="00386052"/>
    <w:rsid w:val="003866E8"/>
    <w:rsid w:val="00390DB7"/>
    <w:rsid w:val="00392F1C"/>
    <w:rsid w:val="0039344E"/>
    <w:rsid w:val="0039366A"/>
    <w:rsid w:val="00397E1A"/>
    <w:rsid w:val="003A2833"/>
    <w:rsid w:val="003B4E49"/>
    <w:rsid w:val="003B6E18"/>
    <w:rsid w:val="003C0976"/>
    <w:rsid w:val="003C5316"/>
    <w:rsid w:val="003D2F8D"/>
    <w:rsid w:val="003D41D0"/>
    <w:rsid w:val="003D4E1F"/>
    <w:rsid w:val="003E2E2D"/>
    <w:rsid w:val="003E3F1A"/>
    <w:rsid w:val="003E4680"/>
    <w:rsid w:val="003E5142"/>
    <w:rsid w:val="003E540E"/>
    <w:rsid w:val="003E5742"/>
    <w:rsid w:val="003E60F3"/>
    <w:rsid w:val="003E73D3"/>
    <w:rsid w:val="003E7428"/>
    <w:rsid w:val="003F5958"/>
    <w:rsid w:val="003F70DF"/>
    <w:rsid w:val="00400593"/>
    <w:rsid w:val="00400EF7"/>
    <w:rsid w:val="004046A1"/>
    <w:rsid w:val="00406881"/>
    <w:rsid w:val="00406A8B"/>
    <w:rsid w:val="00407613"/>
    <w:rsid w:val="00410104"/>
    <w:rsid w:val="00414278"/>
    <w:rsid w:val="00416620"/>
    <w:rsid w:val="00416E45"/>
    <w:rsid w:val="0042031E"/>
    <w:rsid w:val="00420EE7"/>
    <w:rsid w:val="00420EFC"/>
    <w:rsid w:val="00421A81"/>
    <w:rsid w:val="0042469F"/>
    <w:rsid w:val="00430734"/>
    <w:rsid w:val="00431198"/>
    <w:rsid w:val="00435781"/>
    <w:rsid w:val="0044668E"/>
    <w:rsid w:val="00450237"/>
    <w:rsid w:val="00450DA1"/>
    <w:rsid w:val="004547D2"/>
    <w:rsid w:val="00461A88"/>
    <w:rsid w:val="00464520"/>
    <w:rsid w:val="00470AE7"/>
    <w:rsid w:val="00470CA9"/>
    <w:rsid w:val="00471C27"/>
    <w:rsid w:val="00471FC9"/>
    <w:rsid w:val="00472A24"/>
    <w:rsid w:val="0047354B"/>
    <w:rsid w:val="00475C2A"/>
    <w:rsid w:val="004777C3"/>
    <w:rsid w:val="004803DD"/>
    <w:rsid w:val="00481DBE"/>
    <w:rsid w:val="00482903"/>
    <w:rsid w:val="00485459"/>
    <w:rsid w:val="00486F95"/>
    <w:rsid w:val="004935A1"/>
    <w:rsid w:val="004A343E"/>
    <w:rsid w:val="004A41D3"/>
    <w:rsid w:val="004A6538"/>
    <w:rsid w:val="004A6667"/>
    <w:rsid w:val="004B1950"/>
    <w:rsid w:val="004B69FD"/>
    <w:rsid w:val="004C0FC7"/>
    <w:rsid w:val="004C2F57"/>
    <w:rsid w:val="004C5846"/>
    <w:rsid w:val="004D00C4"/>
    <w:rsid w:val="004D01F4"/>
    <w:rsid w:val="004D0FF2"/>
    <w:rsid w:val="004D19DC"/>
    <w:rsid w:val="004D2C88"/>
    <w:rsid w:val="004D31B2"/>
    <w:rsid w:val="004D663B"/>
    <w:rsid w:val="004D739C"/>
    <w:rsid w:val="004E046C"/>
    <w:rsid w:val="004E0E6F"/>
    <w:rsid w:val="004E4202"/>
    <w:rsid w:val="004E66DB"/>
    <w:rsid w:val="004E70DE"/>
    <w:rsid w:val="004E7356"/>
    <w:rsid w:val="004F29D3"/>
    <w:rsid w:val="004F40DC"/>
    <w:rsid w:val="004F5FED"/>
    <w:rsid w:val="00502CFD"/>
    <w:rsid w:val="00506E57"/>
    <w:rsid w:val="0051345D"/>
    <w:rsid w:val="00514A04"/>
    <w:rsid w:val="00516ABB"/>
    <w:rsid w:val="00517019"/>
    <w:rsid w:val="00520220"/>
    <w:rsid w:val="00523F7D"/>
    <w:rsid w:val="00525D0D"/>
    <w:rsid w:val="00527D17"/>
    <w:rsid w:val="005321DA"/>
    <w:rsid w:val="00534537"/>
    <w:rsid w:val="00535112"/>
    <w:rsid w:val="00537657"/>
    <w:rsid w:val="005379B1"/>
    <w:rsid w:val="0054020E"/>
    <w:rsid w:val="00541232"/>
    <w:rsid w:val="005459D5"/>
    <w:rsid w:val="00552727"/>
    <w:rsid w:val="00553577"/>
    <w:rsid w:val="005541B3"/>
    <w:rsid w:val="00554A44"/>
    <w:rsid w:val="005567F4"/>
    <w:rsid w:val="00563524"/>
    <w:rsid w:val="005649E0"/>
    <w:rsid w:val="00567AB8"/>
    <w:rsid w:val="005708E3"/>
    <w:rsid w:val="00571FD8"/>
    <w:rsid w:val="00572FEE"/>
    <w:rsid w:val="00573AD2"/>
    <w:rsid w:val="00574F1D"/>
    <w:rsid w:val="00577366"/>
    <w:rsid w:val="0057774B"/>
    <w:rsid w:val="00577DF3"/>
    <w:rsid w:val="00582424"/>
    <w:rsid w:val="00582B21"/>
    <w:rsid w:val="0058649F"/>
    <w:rsid w:val="0059077E"/>
    <w:rsid w:val="00593418"/>
    <w:rsid w:val="00596403"/>
    <w:rsid w:val="00597142"/>
    <w:rsid w:val="005A0FE1"/>
    <w:rsid w:val="005A274A"/>
    <w:rsid w:val="005A4B7C"/>
    <w:rsid w:val="005B5482"/>
    <w:rsid w:val="005B7EC3"/>
    <w:rsid w:val="005C147B"/>
    <w:rsid w:val="005C2F10"/>
    <w:rsid w:val="005C4795"/>
    <w:rsid w:val="005C5A2A"/>
    <w:rsid w:val="005C6C6B"/>
    <w:rsid w:val="005D02E2"/>
    <w:rsid w:val="005D138E"/>
    <w:rsid w:val="005D17D8"/>
    <w:rsid w:val="005D26EE"/>
    <w:rsid w:val="005D48C5"/>
    <w:rsid w:val="005D4FF4"/>
    <w:rsid w:val="005D783B"/>
    <w:rsid w:val="005D7DF8"/>
    <w:rsid w:val="005E0764"/>
    <w:rsid w:val="005E0A40"/>
    <w:rsid w:val="005E1E1D"/>
    <w:rsid w:val="005E2687"/>
    <w:rsid w:val="005E3011"/>
    <w:rsid w:val="005E5EC0"/>
    <w:rsid w:val="005E7BCD"/>
    <w:rsid w:val="005F1443"/>
    <w:rsid w:val="005F43C9"/>
    <w:rsid w:val="005F4C96"/>
    <w:rsid w:val="005F6548"/>
    <w:rsid w:val="005F7542"/>
    <w:rsid w:val="00604182"/>
    <w:rsid w:val="00604899"/>
    <w:rsid w:val="006064F7"/>
    <w:rsid w:val="006069B7"/>
    <w:rsid w:val="00606D40"/>
    <w:rsid w:val="006111A8"/>
    <w:rsid w:val="006138C4"/>
    <w:rsid w:val="006151AF"/>
    <w:rsid w:val="00616A31"/>
    <w:rsid w:val="006175CB"/>
    <w:rsid w:val="00620B39"/>
    <w:rsid w:val="006232DD"/>
    <w:rsid w:val="0062459F"/>
    <w:rsid w:val="006257C3"/>
    <w:rsid w:val="00625B3C"/>
    <w:rsid w:val="006264A2"/>
    <w:rsid w:val="006308BF"/>
    <w:rsid w:val="00630CA2"/>
    <w:rsid w:val="00630DD5"/>
    <w:rsid w:val="00633574"/>
    <w:rsid w:val="006342C4"/>
    <w:rsid w:val="00635DC6"/>
    <w:rsid w:val="006377E1"/>
    <w:rsid w:val="0064200D"/>
    <w:rsid w:val="0064327D"/>
    <w:rsid w:val="006451E9"/>
    <w:rsid w:val="006452B3"/>
    <w:rsid w:val="00647C00"/>
    <w:rsid w:val="006509C3"/>
    <w:rsid w:val="006512DA"/>
    <w:rsid w:val="006519FA"/>
    <w:rsid w:val="006547DE"/>
    <w:rsid w:val="00654D53"/>
    <w:rsid w:val="00654DD7"/>
    <w:rsid w:val="00661699"/>
    <w:rsid w:val="00661969"/>
    <w:rsid w:val="00667ABC"/>
    <w:rsid w:val="00670363"/>
    <w:rsid w:val="00672693"/>
    <w:rsid w:val="00680396"/>
    <w:rsid w:val="00682F53"/>
    <w:rsid w:val="006835FC"/>
    <w:rsid w:val="00684AF6"/>
    <w:rsid w:val="0069159A"/>
    <w:rsid w:val="00696B88"/>
    <w:rsid w:val="00697447"/>
    <w:rsid w:val="006A1145"/>
    <w:rsid w:val="006A19E1"/>
    <w:rsid w:val="006A3B24"/>
    <w:rsid w:val="006B4BC2"/>
    <w:rsid w:val="006B7FA7"/>
    <w:rsid w:val="006C2979"/>
    <w:rsid w:val="006C4487"/>
    <w:rsid w:val="006C4C49"/>
    <w:rsid w:val="006C6259"/>
    <w:rsid w:val="006C6DB6"/>
    <w:rsid w:val="006D05DA"/>
    <w:rsid w:val="006D097B"/>
    <w:rsid w:val="006D1D81"/>
    <w:rsid w:val="006D294F"/>
    <w:rsid w:val="006E5421"/>
    <w:rsid w:val="006E5548"/>
    <w:rsid w:val="006E5E2D"/>
    <w:rsid w:val="006E7F29"/>
    <w:rsid w:val="006F0162"/>
    <w:rsid w:val="006F020D"/>
    <w:rsid w:val="006F5EBD"/>
    <w:rsid w:val="00706A57"/>
    <w:rsid w:val="007079E2"/>
    <w:rsid w:val="007108C5"/>
    <w:rsid w:val="0071169A"/>
    <w:rsid w:val="00712D9D"/>
    <w:rsid w:val="007178C3"/>
    <w:rsid w:val="00723650"/>
    <w:rsid w:val="00723BA1"/>
    <w:rsid w:val="00723BE2"/>
    <w:rsid w:val="00734DB0"/>
    <w:rsid w:val="0074016A"/>
    <w:rsid w:val="00740A9E"/>
    <w:rsid w:val="00741F16"/>
    <w:rsid w:val="00746966"/>
    <w:rsid w:val="00753D4A"/>
    <w:rsid w:val="007601CD"/>
    <w:rsid w:val="00763737"/>
    <w:rsid w:val="00764713"/>
    <w:rsid w:val="007647B9"/>
    <w:rsid w:val="00764BE2"/>
    <w:rsid w:val="00765FE5"/>
    <w:rsid w:val="00770663"/>
    <w:rsid w:val="0077592E"/>
    <w:rsid w:val="00777258"/>
    <w:rsid w:val="00777BD6"/>
    <w:rsid w:val="00777CCA"/>
    <w:rsid w:val="0078750B"/>
    <w:rsid w:val="00793A51"/>
    <w:rsid w:val="007944F2"/>
    <w:rsid w:val="00794620"/>
    <w:rsid w:val="00794C77"/>
    <w:rsid w:val="00795BF6"/>
    <w:rsid w:val="007A1165"/>
    <w:rsid w:val="007A5ACB"/>
    <w:rsid w:val="007A5FC6"/>
    <w:rsid w:val="007A6B1B"/>
    <w:rsid w:val="007B06B3"/>
    <w:rsid w:val="007B10D1"/>
    <w:rsid w:val="007B1738"/>
    <w:rsid w:val="007B42A1"/>
    <w:rsid w:val="007B4552"/>
    <w:rsid w:val="007C2315"/>
    <w:rsid w:val="007C5C3B"/>
    <w:rsid w:val="007D12E9"/>
    <w:rsid w:val="007D4568"/>
    <w:rsid w:val="007D562B"/>
    <w:rsid w:val="007E0C66"/>
    <w:rsid w:val="007E261D"/>
    <w:rsid w:val="007E4596"/>
    <w:rsid w:val="007E5616"/>
    <w:rsid w:val="007E6AA1"/>
    <w:rsid w:val="007E71B2"/>
    <w:rsid w:val="007E7438"/>
    <w:rsid w:val="007F0416"/>
    <w:rsid w:val="007F1106"/>
    <w:rsid w:val="007F137F"/>
    <w:rsid w:val="007F611C"/>
    <w:rsid w:val="007F64BB"/>
    <w:rsid w:val="007F737E"/>
    <w:rsid w:val="007F7CE0"/>
    <w:rsid w:val="008023A5"/>
    <w:rsid w:val="008043A6"/>
    <w:rsid w:val="008103F9"/>
    <w:rsid w:val="00810FAA"/>
    <w:rsid w:val="00816EA3"/>
    <w:rsid w:val="00823BBE"/>
    <w:rsid w:val="00823CEB"/>
    <w:rsid w:val="008260E2"/>
    <w:rsid w:val="00826BCA"/>
    <w:rsid w:val="00827EC9"/>
    <w:rsid w:val="0083162E"/>
    <w:rsid w:val="00831A55"/>
    <w:rsid w:val="00844E22"/>
    <w:rsid w:val="00845CC3"/>
    <w:rsid w:val="008470A3"/>
    <w:rsid w:val="008515BA"/>
    <w:rsid w:val="00851ECF"/>
    <w:rsid w:val="00852468"/>
    <w:rsid w:val="0085266A"/>
    <w:rsid w:val="00853ECD"/>
    <w:rsid w:val="00854468"/>
    <w:rsid w:val="008556BB"/>
    <w:rsid w:val="0085666E"/>
    <w:rsid w:val="00856CBD"/>
    <w:rsid w:val="0085707D"/>
    <w:rsid w:val="00860829"/>
    <w:rsid w:val="00862959"/>
    <w:rsid w:val="0086318B"/>
    <w:rsid w:val="00866FCA"/>
    <w:rsid w:val="00867617"/>
    <w:rsid w:val="00873477"/>
    <w:rsid w:val="00873EA2"/>
    <w:rsid w:val="00873F02"/>
    <w:rsid w:val="0087497B"/>
    <w:rsid w:val="008754C9"/>
    <w:rsid w:val="00877C86"/>
    <w:rsid w:val="00883811"/>
    <w:rsid w:val="00884B8F"/>
    <w:rsid w:val="008864A2"/>
    <w:rsid w:val="0088713A"/>
    <w:rsid w:val="00890012"/>
    <w:rsid w:val="00890567"/>
    <w:rsid w:val="00894BC9"/>
    <w:rsid w:val="00895B59"/>
    <w:rsid w:val="008A72B2"/>
    <w:rsid w:val="008B1914"/>
    <w:rsid w:val="008B3792"/>
    <w:rsid w:val="008B4BE6"/>
    <w:rsid w:val="008C04EB"/>
    <w:rsid w:val="008C07AE"/>
    <w:rsid w:val="008C0D2C"/>
    <w:rsid w:val="008C3203"/>
    <w:rsid w:val="008C3858"/>
    <w:rsid w:val="008C3905"/>
    <w:rsid w:val="008C5934"/>
    <w:rsid w:val="008C7396"/>
    <w:rsid w:val="008D1528"/>
    <w:rsid w:val="008D22C1"/>
    <w:rsid w:val="008D4A93"/>
    <w:rsid w:val="008D636C"/>
    <w:rsid w:val="008D709C"/>
    <w:rsid w:val="008E05A5"/>
    <w:rsid w:val="008E3622"/>
    <w:rsid w:val="008E3D99"/>
    <w:rsid w:val="008E476B"/>
    <w:rsid w:val="008E567F"/>
    <w:rsid w:val="008E5A9F"/>
    <w:rsid w:val="008F235D"/>
    <w:rsid w:val="008F2DDB"/>
    <w:rsid w:val="008F703B"/>
    <w:rsid w:val="009009E0"/>
    <w:rsid w:val="00900B2B"/>
    <w:rsid w:val="0090211E"/>
    <w:rsid w:val="00903B4E"/>
    <w:rsid w:val="0090511B"/>
    <w:rsid w:val="00913BDF"/>
    <w:rsid w:val="009204E7"/>
    <w:rsid w:val="009210CF"/>
    <w:rsid w:val="00922772"/>
    <w:rsid w:val="00923ED4"/>
    <w:rsid w:val="00927C54"/>
    <w:rsid w:val="009307E8"/>
    <w:rsid w:val="00932C48"/>
    <w:rsid w:val="0093627E"/>
    <w:rsid w:val="009364EC"/>
    <w:rsid w:val="0093654C"/>
    <w:rsid w:val="00936793"/>
    <w:rsid w:val="009367E0"/>
    <w:rsid w:val="00937780"/>
    <w:rsid w:val="009500F9"/>
    <w:rsid w:val="00952E18"/>
    <w:rsid w:val="00954C54"/>
    <w:rsid w:val="00956618"/>
    <w:rsid w:val="00956820"/>
    <w:rsid w:val="009633CC"/>
    <w:rsid w:val="00966BF6"/>
    <w:rsid w:val="00972FA1"/>
    <w:rsid w:val="00974F32"/>
    <w:rsid w:val="0097584D"/>
    <w:rsid w:val="00975C25"/>
    <w:rsid w:val="009801AF"/>
    <w:rsid w:val="009804A9"/>
    <w:rsid w:val="00981373"/>
    <w:rsid w:val="00982221"/>
    <w:rsid w:val="00983538"/>
    <w:rsid w:val="00986BD3"/>
    <w:rsid w:val="0098747D"/>
    <w:rsid w:val="00990237"/>
    <w:rsid w:val="009941A1"/>
    <w:rsid w:val="00995522"/>
    <w:rsid w:val="009959E6"/>
    <w:rsid w:val="009A32DC"/>
    <w:rsid w:val="009A3588"/>
    <w:rsid w:val="009A415A"/>
    <w:rsid w:val="009A7F37"/>
    <w:rsid w:val="009B1A16"/>
    <w:rsid w:val="009B4C26"/>
    <w:rsid w:val="009B78C5"/>
    <w:rsid w:val="009C005F"/>
    <w:rsid w:val="009C0AE3"/>
    <w:rsid w:val="009C50E9"/>
    <w:rsid w:val="009C5C9F"/>
    <w:rsid w:val="009C6448"/>
    <w:rsid w:val="009C74B0"/>
    <w:rsid w:val="009D2963"/>
    <w:rsid w:val="009D2CCF"/>
    <w:rsid w:val="009D2EF6"/>
    <w:rsid w:val="009D73F1"/>
    <w:rsid w:val="009D7E9A"/>
    <w:rsid w:val="009D7EA2"/>
    <w:rsid w:val="009E42CB"/>
    <w:rsid w:val="009E4682"/>
    <w:rsid w:val="009E4D5A"/>
    <w:rsid w:val="009E5693"/>
    <w:rsid w:val="009E7113"/>
    <w:rsid w:val="009F161B"/>
    <w:rsid w:val="009F2CE8"/>
    <w:rsid w:val="009F553D"/>
    <w:rsid w:val="009F6E60"/>
    <w:rsid w:val="00A00729"/>
    <w:rsid w:val="00A0628B"/>
    <w:rsid w:val="00A06566"/>
    <w:rsid w:val="00A0668C"/>
    <w:rsid w:val="00A0738D"/>
    <w:rsid w:val="00A12EC8"/>
    <w:rsid w:val="00A15339"/>
    <w:rsid w:val="00A17BA9"/>
    <w:rsid w:val="00A20D54"/>
    <w:rsid w:val="00A21321"/>
    <w:rsid w:val="00A213F4"/>
    <w:rsid w:val="00A330AF"/>
    <w:rsid w:val="00A33830"/>
    <w:rsid w:val="00A35F0D"/>
    <w:rsid w:val="00A36F87"/>
    <w:rsid w:val="00A37682"/>
    <w:rsid w:val="00A41B1C"/>
    <w:rsid w:val="00A42181"/>
    <w:rsid w:val="00A523A6"/>
    <w:rsid w:val="00A54F7B"/>
    <w:rsid w:val="00A5723C"/>
    <w:rsid w:val="00A62602"/>
    <w:rsid w:val="00A63773"/>
    <w:rsid w:val="00A66231"/>
    <w:rsid w:val="00A75632"/>
    <w:rsid w:val="00A77E6D"/>
    <w:rsid w:val="00A856D3"/>
    <w:rsid w:val="00A86A82"/>
    <w:rsid w:val="00A8780A"/>
    <w:rsid w:val="00A94FEB"/>
    <w:rsid w:val="00A95D10"/>
    <w:rsid w:val="00A97630"/>
    <w:rsid w:val="00AA0A24"/>
    <w:rsid w:val="00AA24FC"/>
    <w:rsid w:val="00AA28EA"/>
    <w:rsid w:val="00AA45BB"/>
    <w:rsid w:val="00AA567C"/>
    <w:rsid w:val="00AA5FE7"/>
    <w:rsid w:val="00AB005D"/>
    <w:rsid w:val="00AB1073"/>
    <w:rsid w:val="00AB12E9"/>
    <w:rsid w:val="00AB2777"/>
    <w:rsid w:val="00AB635A"/>
    <w:rsid w:val="00AC329E"/>
    <w:rsid w:val="00AC387B"/>
    <w:rsid w:val="00AC5B04"/>
    <w:rsid w:val="00AC6ACF"/>
    <w:rsid w:val="00AC785E"/>
    <w:rsid w:val="00AD1732"/>
    <w:rsid w:val="00AD1A33"/>
    <w:rsid w:val="00AD2E1A"/>
    <w:rsid w:val="00AD463C"/>
    <w:rsid w:val="00AD47CD"/>
    <w:rsid w:val="00AD4EB9"/>
    <w:rsid w:val="00AD7B93"/>
    <w:rsid w:val="00AE0F8F"/>
    <w:rsid w:val="00AE16C9"/>
    <w:rsid w:val="00AE4A7A"/>
    <w:rsid w:val="00AE5EF6"/>
    <w:rsid w:val="00AF0D5C"/>
    <w:rsid w:val="00AF0FA9"/>
    <w:rsid w:val="00AF1450"/>
    <w:rsid w:val="00AF277A"/>
    <w:rsid w:val="00AF5A17"/>
    <w:rsid w:val="00AF7672"/>
    <w:rsid w:val="00AF7B47"/>
    <w:rsid w:val="00B00C3C"/>
    <w:rsid w:val="00B01D34"/>
    <w:rsid w:val="00B0341B"/>
    <w:rsid w:val="00B04CAA"/>
    <w:rsid w:val="00B053E5"/>
    <w:rsid w:val="00B05FD1"/>
    <w:rsid w:val="00B1166A"/>
    <w:rsid w:val="00B1243A"/>
    <w:rsid w:val="00B12462"/>
    <w:rsid w:val="00B1426D"/>
    <w:rsid w:val="00B20093"/>
    <w:rsid w:val="00B219D9"/>
    <w:rsid w:val="00B266B5"/>
    <w:rsid w:val="00B30DF2"/>
    <w:rsid w:val="00B3324E"/>
    <w:rsid w:val="00B361A4"/>
    <w:rsid w:val="00B3688A"/>
    <w:rsid w:val="00B37012"/>
    <w:rsid w:val="00B41A34"/>
    <w:rsid w:val="00B42464"/>
    <w:rsid w:val="00B42D22"/>
    <w:rsid w:val="00B51371"/>
    <w:rsid w:val="00B5220D"/>
    <w:rsid w:val="00B60411"/>
    <w:rsid w:val="00B60906"/>
    <w:rsid w:val="00B63297"/>
    <w:rsid w:val="00B63472"/>
    <w:rsid w:val="00B7141E"/>
    <w:rsid w:val="00B720D9"/>
    <w:rsid w:val="00B75E3D"/>
    <w:rsid w:val="00B76FDB"/>
    <w:rsid w:val="00B865EE"/>
    <w:rsid w:val="00B87065"/>
    <w:rsid w:val="00B90CDA"/>
    <w:rsid w:val="00B933B6"/>
    <w:rsid w:val="00B95AF3"/>
    <w:rsid w:val="00B95EA4"/>
    <w:rsid w:val="00B96AE4"/>
    <w:rsid w:val="00B97154"/>
    <w:rsid w:val="00BA14CC"/>
    <w:rsid w:val="00BA3DB8"/>
    <w:rsid w:val="00BB25B5"/>
    <w:rsid w:val="00BB669A"/>
    <w:rsid w:val="00BB6A7D"/>
    <w:rsid w:val="00BB6B10"/>
    <w:rsid w:val="00BB7248"/>
    <w:rsid w:val="00BB72D1"/>
    <w:rsid w:val="00BC1AF5"/>
    <w:rsid w:val="00BC4566"/>
    <w:rsid w:val="00BC4594"/>
    <w:rsid w:val="00BC4FED"/>
    <w:rsid w:val="00BC5815"/>
    <w:rsid w:val="00BD1562"/>
    <w:rsid w:val="00BD182C"/>
    <w:rsid w:val="00BD2533"/>
    <w:rsid w:val="00BD68EC"/>
    <w:rsid w:val="00BD7328"/>
    <w:rsid w:val="00BE14A4"/>
    <w:rsid w:val="00BE395C"/>
    <w:rsid w:val="00BE5D58"/>
    <w:rsid w:val="00BF1B29"/>
    <w:rsid w:val="00BF3AD4"/>
    <w:rsid w:val="00BF6F49"/>
    <w:rsid w:val="00C0028A"/>
    <w:rsid w:val="00C00600"/>
    <w:rsid w:val="00C02A4B"/>
    <w:rsid w:val="00C05634"/>
    <w:rsid w:val="00C05DEC"/>
    <w:rsid w:val="00C07942"/>
    <w:rsid w:val="00C07CAB"/>
    <w:rsid w:val="00C1004E"/>
    <w:rsid w:val="00C10305"/>
    <w:rsid w:val="00C13779"/>
    <w:rsid w:val="00C16ECD"/>
    <w:rsid w:val="00C1713D"/>
    <w:rsid w:val="00C236B2"/>
    <w:rsid w:val="00C268EA"/>
    <w:rsid w:val="00C27170"/>
    <w:rsid w:val="00C30320"/>
    <w:rsid w:val="00C346EF"/>
    <w:rsid w:val="00C42DAC"/>
    <w:rsid w:val="00C443DD"/>
    <w:rsid w:val="00C4532B"/>
    <w:rsid w:val="00C50C5F"/>
    <w:rsid w:val="00C5748E"/>
    <w:rsid w:val="00C629A4"/>
    <w:rsid w:val="00C629CB"/>
    <w:rsid w:val="00C641D3"/>
    <w:rsid w:val="00C6632D"/>
    <w:rsid w:val="00C718FE"/>
    <w:rsid w:val="00C73585"/>
    <w:rsid w:val="00C803E9"/>
    <w:rsid w:val="00C81C7C"/>
    <w:rsid w:val="00C82122"/>
    <w:rsid w:val="00C83A92"/>
    <w:rsid w:val="00C83B27"/>
    <w:rsid w:val="00C8572E"/>
    <w:rsid w:val="00C86766"/>
    <w:rsid w:val="00C90E2C"/>
    <w:rsid w:val="00C9105F"/>
    <w:rsid w:val="00C91413"/>
    <w:rsid w:val="00C92529"/>
    <w:rsid w:val="00C93B56"/>
    <w:rsid w:val="00C942FE"/>
    <w:rsid w:val="00CA07A2"/>
    <w:rsid w:val="00CA0B17"/>
    <w:rsid w:val="00CA2ED3"/>
    <w:rsid w:val="00CA39F0"/>
    <w:rsid w:val="00CA4837"/>
    <w:rsid w:val="00CB042D"/>
    <w:rsid w:val="00CB0BB3"/>
    <w:rsid w:val="00CB2487"/>
    <w:rsid w:val="00CB4DBF"/>
    <w:rsid w:val="00CB59F6"/>
    <w:rsid w:val="00CC1FD7"/>
    <w:rsid w:val="00CC51E9"/>
    <w:rsid w:val="00CC55DF"/>
    <w:rsid w:val="00CC7267"/>
    <w:rsid w:val="00CD0E54"/>
    <w:rsid w:val="00CD104B"/>
    <w:rsid w:val="00CD485D"/>
    <w:rsid w:val="00CD5124"/>
    <w:rsid w:val="00CD7D91"/>
    <w:rsid w:val="00CE0471"/>
    <w:rsid w:val="00CE1752"/>
    <w:rsid w:val="00CE3792"/>
    <w:rsid w:val="00CE416F"/>
    <w:rsid w:val="00CE472B"/>
    <w:rsid w:val="00CE4C5D"/>
    <w:rsid w:val="00CE4DA9"/>
    <w:rsid w:val="00CF0CDB"/>
    <w:rsid w:val="00CF31FF"/>
    <w:rsid w:val="00CF594C"/>
    <w:rsid w:val="00CF770E"/>
    <w:rsid w:val="00D0544D"/>
    <w:rsid w:val="00D074CD"/>
    <w:rsid w:val="00D102CB"/>
    <w:rsid w:val="00D1275C"/>
    <w:rsid w:val="00D128DC"/>
    <w:rsid w:val="00D14DBE"/>
    <w:rsid w:val="00D14E7F"/>
    <w:rsid w:val="00D26880"/>
    <w:rsid w:val="00D27A0E"/>
    <w:rsid w:val="00D302AD"/>
    <w:rsid w:val="00D31D4B"/>
    <w:rsid w:val="00D33FC5"/>
    <w:rsid w:val="00D33FD4"/>
    <w:rsid w:val="00D34423"/>
    <w:rsid w:val="00D35780"/>
    <w:rsid w:val="00D358D2"/>
    <w:rsid w:val="00D363EE"/>
    <w:rsid w:val="00D4746D"/>
    <w:rsid w:val="00D47753"/>
    <w:rsid w:val="00D51B9E"/>
    <w:rsid w:val="00D53199"/>
    <w:rsid w:val="00D55D5C"/>
    <w:rsid w:val="00D567CA"/>
    <w:rsid w:val="00D57322"/>
    <w:rsid w:val="00D606AE"/>
    <w:rsid w:val="00D66B4A"/>
    <w:rsid w:val="00D82F5B"/>
    <w:rsid w:val="00D9094C"/>
    <w:rsid w:val="00D97710"/>
    <w:rsid w:val="00DA209B"/>
    <w:rsid w:val="00DA3F9C"/>
    <w:rsid w:val="00DA41AC"/>
    <w:rsid w:val="00DA4F79"/>
    <w:rsid w:val="00DA57FE"/>
    <w:rsid w:val="00DA6A65"/>
    <w:rsid w:val="00DB3971"/>
    <w:rsid w:val="00DB4672"/>
    <w:rsid w:val="00DB7B0A"/>
    <w:rsid w:val="00DC024C"/>
    <w:rsid w:val="00DC1CA9"/>
    <w:rsid w:val="00DC1EBC"/>
    <w:rsid w:val="00DC3862"/>
    <w:rsid w:val="00DC6B12"/>
    <w:rsid w:val="00DD2F96"/>
    <w:rsid w:val="00DD38A2"/>
    <w:rsid w:val="00DD6018"/>
    <w:rsid w:val="00DE17A1"/>
    <w:rsid w:val="00DE523A"/>
    <w:rsid w:val="00DE6B52"/>
    <w:rsid w:val="00DE79C1"/>
    <w:rsid w:val="00DF0415"/>
    <w:rsid w:val="00DF4EC6"/>
    <w:rsid w:val="00DF65CB"/>
    <w:rsid w:val="00DF70D7"/>
    <w:rsid w:val="00E0067C"/>
    <w:rsid w:val="00E01800"/>
    <w:rsid w:val="00E0310F"/>
    <w:rsid w:val="00E0503A"/>
    <w:rsid w:val="00E07172"/>
    <w:rsid w:val="00E14624"/>
    <w:rsid w:val="00E14FF7"/>
    <w:rsid w:val="00E15598"/>
    <w:rsid w:val="00E16C07"/>
    <w:rsid w:val="00E17044"/>
    <w:rsid w:val="00E17A24"/>
    <w:rsid w:val="00E20E67"/>
    <w:rsid w:val="00E223A7"/>
    <w:rsid w:val="00E25109"/>
    <w:rsid w:val="00E265A3"/>
    <w:rsid w:val="00E2709F"/>
    <w:rsid w:val="00E375A9"/>
    <w:rsid w:val="00E41C44"/>
    <w:rsid w:val="00E45BB3"/>
    <w:rsid w:val="00E51F9A"/>
    <w:rsid w:val="00E520CE"/>
    <w:rsid w:val="00E52A71"/>
    <w:rsid w:val="00E5771C"/>
    <w:rsid w:val="00E60BA0"/>
    <w:rsid w:val="00E6217F"/>
    <w:rsid w:val="00E63007"/>
    <w:rsid w:val="00E63088"/>
    <w:rsid w:val="00E63D89"/>
    <w:rsid w:val="00E66CE1"/>
    <w:rsid w:val="00E722CE"/>
    <w:rsid w:val="00E72AD7"/>
    <w:rsid w:val="00E74DA5"/>
    <w:rsid w:val="00E74F12"/>
    <w:rsid w:val="00E75DC5"/>
    <w:rsid w:val="00E77457"/>
    <w:rsid w:val="00E81B4B"/>
    <w:rsid w:val="00E81C59"/>
    <w:rsid w:val="00E82D8D"/>
    <w:rsid w:val="00E83E04"/>
    <w:rsid w:val="00E86BF9"/>
    <w:rsid w:val="00E873F8"/>
    <w:rsid w:val="00E87660"/>
    <w:rsid w:val="00E87D8E"/>
    <w:rsid w:val="00E90CAA"/>
    <w:rsid w:val="00E90E7B"/>
    <w:rsid w:val="00EA1962"/>
    <w:rsid w:val="00EA2A85"/>
    <w:rsid w:val="00EA3FC5"/>
    <w:rsid w:val="00EA568D"/>
    <w:rsid w:val="00EA5F1D"/>
    <w:rsid w:val="00EA7AB9"/>
    <w:rsid w:val="00EB00B3"/>
    <w:rsid w:val="00EB1194"/>
    <w:rsid w:val="00EB2D08"/>
    <w:rsid w:val="00EB7F64"/>
    <w:rsid w:val="00EC03F0"/>
    <w:rsid w:val="00EC4E83"/>
    <w:rsid w:val="00ED1340"/>
    <w:rsid w:val="00ED1540"/>
    <w:rsid w:val="00ED217D"/>
    <w:rsid w:val="00ED2E0B"/>
    <w:rsid w:val="00ED3790"/>
    <w:rsid w:val="00ED4917"/>
    <w:rsid w:val="00EE3BDF"/>
    <w:rsid w:val="00EE4DEA"/>
    <w:rsid w:val="00EF1DF0"/>
    <w:rsid w:val="00EF4B72"/>
    <w:rsid w:val="00EF5786"/>
    <w:rsid w:val="00EF57F6"/>
    <w:rsid w:val="00EF74AA"/>
    <w:rsid w:val="00F01AED"/>
    <w:rsid w:val="00F034E8"/>
    <w:rsid w:val="00F07FFE"/>
    <w:rsid w:val="00F10A4D"/>
    <w:rsid w:val="00F1122F"/>
    <w:rsid w:val="00F11A8C"/>
    <w:rsid w:val="00F153B3"/>
    <w:rsid w:val="00F21EF0"/>
    <w:rsid w:val="00F2524B"/>
    <w:rsid w:val="00F259FF"/>
    <w:rsid w:val="00F260E9"/>
    <w:rsid w:val="00F2675B"/>
    <w:rsid w:val="00F3237F"/>
    <w:rsid w:val="00F32597"/>
    <w:rsid w:val="00F3646B"/>
    <w:rsid w:val="00F42221"/>
    <w:rsid w:val="00F43DDB"/>
    <w:rsid w:val="00F50752"/>
    <w:rsid w:val="00F56B99"/>
    <w:rsid w:val="00F573B7"/>
    <w:rsid w:val="00F60AEB"/>
    <w:rsid w:val="00F62BD7"/>
    <w:rsid w:val="00F63C49"/>
    <w:rsid w:val="00F6436E"/>
    <w:rsid w:val="00F64796"/>
    <w:rsid w:val="00F7560A"/>
    <w:rsid w:val="00F758AF"/>
    <w:rsid w:val="00F8443D"/>
    <w:rsid w:val="00F86B43"/>
    <w:rsid w:val="00F86F56"/>
    <w:rsid w:val="00F872BE"/>
    <w:rsid w:val="00F91F30"/>
    <w:rsid w:val="00F92119"/>
    <w:rsid w:val="00F95156"/>
    <w:rsid w:val="00F953AE"/>
    <w:rsid w:val="00FA4A16"/>
    <w:rsid w:val="00FA63C3"/>
    <w:rsid w:val="00FA71B4"/>
    <w:rsid w:val="00FA7FA8"/>
    <w:rsid w:val="00FB2367"/>
    <w:rsid w:val="00FB2B44"/>
    <w:rsid w:val="00FB4AEA"/>
    <w:rsid w:val="00FB53AA"/>
    <w:rsid w:val="00FB56E8"/>
    <w:rsid w:val="00FB7A96"/>
    <w:rsid w:val="00FB7EEB"/>
    <w:rsid w:val="00FC2965"/>
    <w:rsid w:val="00FC2AB9"/>
    <w:rsid w:val="00FC61C9"/>
    <w:rsid w:val="00FC76A6"/>
    <w:rsid w:val="00FD2420"/>
    <w:rsid w:val="00FD3F89"/>
    <w:rsid w:val="00FD41FA"/>
    <w:rsid w:val="00FD5CCA"/>
    <w:rsid w:val="00FE02BF"/>
    <w:rsid w:val="00FE0F88"/>
    <w:rsid w:val="00FE2AE6"/>
    <w:rsid w:val="00FE3F87"/>
    <w:rsid w:val="00FE4CBF"/>
    <w:rsid w:val="00FE746C"/>
    <w:rsid w:val="00FE793B"/>
    <w:rsid w:val="00FE7CBC"/>
    <w:rsid w:val="00FF1D0A"/>
    <w:rsid w:val="00FF79C5"/>
    <w:rsid w:val="01E620DF"/>
    <w:rsid w:val="0C1B6771"/>
    <w:rsid w:val="0CDC5CB4"/>
    <w:rsid w:val="0D0737F8"/>
    <w:rsid w:val="1130228A"/>
    <w:rsid w:val="12267AD6"/>
    <w:rsid w:val="176470DA"/>
    <w:rsid w:val="1D5C41FF"/>
    <w:rsid w:val="21F3681F"/>
    <w:rsid w:val="234A2E0A"/>
    <w:rsid w:val="287E5A86"/>
    <w:rsid w:val="30C36883"/>
    <w:rsid w:val="38847F7E"/>
    <w:rsid w:val="39E926A8"/>
    <w:rsid w:val="3A776E91"/>
    <w:rsid w:val="40BC7631"/>
    <w:rsid w:val="48947988"/>
    <w:rsid w:val="4B303D5D"/>
    <w:rsid w:val="4C8627EB"/>
    <w:rsid w:val="4D781947"/>
    <w:rsid w:val="4F9A403F"/>
    <w:rsid w:val="55E269A0"/>
    <w:rsid w:val="56742E56"/>
    <w:rsid w:val="5999145A"/>
    <w:rsid w:val="5D5D3774"/>
    <w:rsid w:val="5DE007BC"/>
    <w:rsid w:val="5EE0320B"/>
    <w:rsid w:val="64EB7A8E"/>
    <w:rsid w:val="692E43DB"/>
    <w:rsid w:val="6B3400F0"/>
    <w:rsid w:val="6EE24E4B"/>
    <w:rsid w:val="6F344869"/>
    <w:rsid w:val="71156FF8"/>
    <w:rsid w:val="72093496"/>
    <w:rsid w:val="75CD7A22"/>
    <w:rsid w:val="760C682A"/>
    <w:rsid w:val="76FF13B0"/>
    <w:rsid w:val="7AF83446"/>
    <w:rsid w:val="7B2A76F2"/>
    <w:rsid w:val="7FD022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qFormat="1" w:unhideWhenUsed="0" w:uiPriority="0" w:semiHidden="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7">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28"/>
    <w:semiHidden/>
    <w:qFormat/>
    <w:uiPriority w:val="99"/>
    <w:pPr>
      <w:jc w:val="left"/>
    </w:pPr>
  </w:style>
  <w:style w:type="paragraph" w:styleId="4">
    <w:name w:val="Body Text Indent"/>
    <w:basedOn w:val="1"/>
    <w:qFormat/>
    <w:uiPriority w:val="0"/>
    <w:pPr>
      <w:spacing w:line="480" w:lineRule="exact"/>
      <w:ind w:firstLine="560"/>
    </w:pPr>
    <w:rPr>
      <w:rFonts w:ascii="宋体" w:hAnsi="宋体"/>
    </w:rPr>
  </w:style>
  <w:style w:type="paragraph" w:styleId="5">
    <w:name w:val="Plain Text"/>
    <w:basedOn w:val="1"/>
    <w:qFormat/>
    <w:uiPriority w:val="0"/>
    <w:rPr>
      <w:rFonts w:ascii="宋体" w:hAnsi="Courier New"/>
    </w:rPr>
  </w:style>
  <w:style w:type="paragraph" w:styleId="6">
    <w:name w:val="Date"/>
    <w:basedOn w:val="1"/>
    <w:next w:val="1"/>
    <w:link w:val="29"/>
    <w:qFormat/>
    <w:uiPriority w:val="0"/>
    <w:rPr>
      <w:sz w:val="24"/>
    </w:rPr>
  </w:style>
  <w:style w:type="paragraph" w:styleId="7">
    <w:name w:val="Body Text Indent 2"/>
    <w:basedOn w:val="1"/>
    <w:qFormat/>
    <w:uiPriority w:val="0"/>
    <w:pPr>
      <w:ind w:firstLine="539"/>
    </w:pPr>
    <w:rPr>
      <w:color w:val="FF0000"/>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line="440" w:lineRule="exact"/>
      <w:ind w:firstLine="480"/>
    </w:pPr>
    <w:rPr>
      <w:rFonts w:ascii="宋体" w:hAnsi="宋体"/>
      <w:sz w:val="24"/>
    </w:rPr>
  </w:style>
  <w:style w:type="paragraph" w:styleId="12">
    <w:name w:val="index 1"/>
    <w:basedOn w:val="1"/>
    <w:next w:val="1"/>
    <w:qFormat/>
    <w:uiPriority w:val="0"/>
    <w:rPr>
      <w:rFonts w:eastAsia="楷体_GB2312"/>
      <w:sz w:val="28"/>
      <w:szCs w:val="24"/>
    </w:rPr>
  </w:style>
  <w:style w:type="paragraph" w:styleId="13">
    <w:name w:val="annotation subject"/>
    <w:basedOn w:val="3"/>
    <w:next w:val="3"/>
    <w:semiHidden/>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Table Colorful 2"/>
    <w:basedOn w:val="14"/>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18">
    <w:name w:val="page number"/>
    <w:basedOn w:val="17"/>
    <w:qFormat/>
    <w:uiPriority w:val="0"/>
  </w:style>
  <w:style w:type="character" w:styleId="19">
    <w:name w:val="FollowedHyperlink"/>
    <w:qFormat/>
    <w:uiPriority w:val="0"/>
    <w:rPr>
      <w:color w:val="800080"/>
      <w:u w:val="single"/>
    </w:rPr>
  </w:style>
  <w:style w:type="character" w:styleId="20">
    <w:name w:val="Hyperlink"/>
    <w:qFormat/>
    <w:uiPriority w:val="0"/>
    <w:rPr>
      <w:color w:val="0000FF"/>
      <w:u w:val="single"/>
    </w:rPr>
  </w:style>
  <w:style w:type="character" w:styleId="21">
    <w:name w:val="annotation reference"/>
    <w:semiHidden/>
    <w:qFormat/>
    <w:uiPriority w:val="0"/>
    <w:rPr>
      <w:sz w:val="21"/>
      <w:szCs w:val="21"/>
    </w:rPr>
  </w:style>
  <w:style w:type="paragraph" w:customStyle="1" w:styleId="22">
    <w:name w:val="正文1"/>
    <w:qFormat/>
    <w:uiPriority w:val="0"/>
    <w:pPr>
      <w:jc w:val="both"/>
    </w:pPr>
    <w:rPr>
      <w:rFonts w:ascii="Times New Roman" w:hAnsi="Times New Roman" w:eastAsia="PMingLiU" w:cs="Times New Roman"/>
      <w:kern w:val="2"/>
      <w:sz w:val="24"/>
      <w:lang w:val="en-US" w:eastAsia="zh-TW" w:bidi="ar-SA"/>
    </w:rPr>
  </w:style>
  <w:style w:type="paragraph" w:customStyle="1" w:styleId="23">
    <w:name w:val="默认段落字体 Para Char Char Char Char Char Char Char"/>
    <w:basedOn w:val="1"/>
    <w:qFormat/>
    <w:uiPriority w:val="0"/>
    <w:rPr>
      <w:rFonts w:ascii="Tahoma" w:hAnsi="Tahoma"/>
      <w:sz w:val="24"/>
    </w:rPr>
  </w:style>
  <w:style w:type="paragraph" w:customStyle="1" w:styleId="24">
    <w:name w:val="Char Char Char Char 字元 字元 Char Char 字元 字元"/>
    <w:basedOn w:val="1"/>
    <w:qFormat/>
    <w:uiPriority w:val="0"/>
    <w:pPr>
      <w:widowControl/>
      <w:adjustRightInd w:val="0"/>
      <w:spacing w:after="160" w:line="240" w:lineRule="exact"/>
      <w:jc w:val="left"/>
      <w:textAlignment w:val="baseline"/>
    </w:pPr>
    <w:rPr>
      <w:rFonts w:ascii="Verdana" w:hAnsi="Verdana" w:eastAsia="Times New Roman"/>
      <w:kern w:val="0"/>
      <w:sz w:val="20"/>
      <w:lang w:eastAsia="en-US"/>
    </w:rPr>
  </w:style>
  <w:style w:type="paragraph" w:customStyle="1" w:styleId="25">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6">
    <w:name w:val="Char Char Char1 Char"/>
    <w:basedOn w:val="2"/>
    <w:qFormat/>
    <w:uiPriority w:val="0"/>
    <w:pPr>
      <w:adjustRightInd w:val="0"/>
      <w:spacing w:line="436" w:lineRule="exact"/>
      <w:ind w:left="357"/>
      <w:jc w:val="left"/>
      <w:outlineLvl w:val="3"/>
    </w:pPr>
    <w:rPr>
      <w:rFonts w:ascii="Tahoma" w:hAnsi="Tahoma"/>
      <w:b/>
      <w:sz w:val="24"/>
      <w:szCs w:val="28"/>
    </w:rPr>
  </w:style>
  <w:style w:type="character" w:customStyle="1" w:styleId="27">
    <w:name w:val="页眉 字符"/>
    <w:link w:val="10"/>
    <w:qFormat/>
    <w:uiPriority w:val="0"/>
    <w:rPr>
      <w:kern w:val="2"/>
      <w:sz w:val="18"/>
      <w:szCs w:val="18"/>
    </w:rPr>
  </w:style>
  <w:style w:type="character" w:customStyle="1" w:styleId="28">
    <w:name w:val="批注文字 字符"/>
    <w:link w:val="3"/>
    <w:semiHidden/>
    <w:qFormat/>
    <w:uiPriority w:val="99"/>
    <w:rPr>
      <w:kern w:val="2"/>
      <w:sz w:val="21"/>
    </w:rPr>
  </w:style>
  <w:style w:type="character" w:customStyle="1" w:styleId="29">
    <w:name w:val="日期 字符"/>
    <w:link w:val="6"/>
    <w:qFormat/>
    <w:uiPriority w:val="0"/>
    <w:rPr>
      <w:kern w:val="2"/>
      <w:sz w:val="24"/>
    </w:rPr>
  </w:style>
  <w:style w:type="paragraph" w:customStyle="1" w:styleId="30">
    <w:name w:val="修订1"/>
    <w:hidden/>
    <w:semiHidden/>
    <w:qFormat/>
    <w:uiPriority w:val="99"/>
    <w:rPr>
      <w:rFonts w:ascii="Times New Roman" w:hAnsi="Times New Roman" w:eastAsia="宋体" w:cs="Times New Roman"/>
      <w:kern w:val="2"/>
      <w:sz w:val="21"/>
      <w:lang w:val="en-US" w:eastAsia="zh-CN" w:bidi="ar-SA"/>
    </w:rPr>
  </w:style>
  <w:style w:type="paragraph" w:styleId="31">
    <w:name w:val="List Paragraph"/>
    <w:basedOn w:val="1"/>
    <w:qFormat/>
    <w:uiPriority w:val="34"/>
    <w:pPr>
      <w:ind w:firstLine="420" w:firstLineChars="200"/>
    </w:pPr>
  </w:style>
  <w:style w:type="character" w:customStyle="1" w:styleId="32">
    <w:name w:val="font51"/>
    <w:basedOn w:val="17"/>
    <w:qFormat/>
    <w:uiPriority w:val="0"/>
    <w:rPr>
      <w:rFonts w:hint="eastAsia" w:ascii="宋体" w:hAnsi="宋体" w:eastAsia="宋体" w:cs="宋体"/>
      <w:color w:val="000000"/>
      <w:sz w:val="21"/>
      <w:szCs w:val="21"/>
      <w:u w:val="none"/>
    </w:rPr>
  </w:style>
  <w:style w:type="character" w:customStyle="1" w:styleId="33">
    <w:name w:val="font61"/>
    <w:basedOn w:val="17"/>
    <w:qFormat/>
    <w:uiPriority w:val="0"/>
    <w:rPr>
      <w:rFonts w:hint="eastAsia" w:ascii="宋体" w:hAnsi="宋体" w:eastAsia="宋体" w:cs="宋体"/>
      <w:color w:val="000000"/>
      <w:sz w:val="22"/>
      <w:szCs w:val="22"/>
      <w:u w:val="none"/>
    </w:rPr>
  </w:style>
  <w:style w:type="character" w:customStyle="1" w:styleId="34">
    <w:name w:val="font11"/>
    <w:basedOn w:val="17"/>
    <w:qFormat/>
    <w:uiPriority w:val="0"/>
    <w:rPr>
      <w:rFonts w:hint="eastAsia" w:ascii="宋体" w:hAnsi="宋体" w:eastAsia="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06EE71-D6D0-454E-864E-E7834B50226E}">
  <ds:schemaRefs/>
</ds:datastoreItem>
</file>

<file path=docProps/app.xml><?xml version="1.0" encoding="utf-8"?>
<Properties xmlns="http://schemas.openxmlformats.org/officeDocument/2006/extended-properties" xmlns:vt="http://schemas.openxmlformats.org/officeDocument/2006/docPropsVTypes">
  <Template>Normal</Template>
  <Company>csc</Company>
  <Pages>14</Pages>
  <Words>6463</Words>
  <Characters>9527</Characters>
  <Lines>49</Lines>
  <Paragraphs>13</Paragraphs>
  <TotalTime>2</TotalTime>
  <ScaleCrop>false</ScaleCrop>
  <LinksUpToDate>false</LinksUpToDate>
  <CharactersWithSpaces>9557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2024-03-12T10:49:00Z</dcterms:created>
  <dc:creator>lx</dc:creator>
  <cp:lastModifiedBy>金建德</cp:lastModifiedBy>
  <cp:lastPrinted>2024-03-26T02:33:00Z</cp:lastPrinted>
  <dcterms:modified xsi:type="dcterms:W3CDTF">2024-03-28T03:36:21Z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5B77E7CEEC58BC6AFAE8886BEB80DBEB">
    <vt:lpwstr>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</vt:lpwstr>
  </property>
  <property fmtid="{D5CDD505-2E9C-101B-9397-08002B2CF9AE}" pid="4" name="ICV">
    <vt:lpwstr>580BA30D74EC420A84606BA680AF28F1_13</vt:lpwstr>
  </property>
</Properties>
</file>