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highlight w:val="none"/>
        </w:rPr>
      </w:pPr>
    </w:p>
    <w:p>
      <w:pPr>
        <w:spacing w:line="360" w:lineRule="auto"/>
        <w:jc w:val="center"/>
        <w:rPr>
          <w:rFonts w:hint="default" w:ascii="黑体" w:hAnsi="黑体" w:eastAsia="黑体"/>
          <w:color w:val="000000"/>
          <w:highlight w:val="none"/>
          <w:lang w:val="en-US" w:eastAsia="zh-CN"/>
        </w:rPr>
      </w:pPr>
      <w:r>
        <w:rPr>
          <w:rFonts w:ascii="黑体" w:hAnsi="黑体" w:eastAsia="黑体"/>
          <w:color w:val="000000"/>
          <w:highlight w:val="none"/>
        </w:rPr>
        <w:t>股票代码：600188             股票简称：</w:t>
      </w:r>
      <w:r>
        <w:rPr>
          <w:rFonts w:hint="eastAsia" w:ascii="黑体" w:hAnsi="黑体" w:eastAsia="黑体"/>
          <w:color w:val="000000"/>
          <w:highlight w:val="none"/>
        </w:rPr>
        <w:t>兖矿能源</w:t>
      </w:r>
      <w:r>
        <w:rPr>
          <w:rFonts w:ascii="黑体" w:hAnsi="黑体" w:eastAsia="黑体"/>
          <w:color w:val="000000"/>
          <w:highlight w:val="none"/>
        </w:rPr>
        <w:t xml:space="preserve">             编号：临202</w:t>
      </w:r>
      <w:r>
        <w:rPr>
          <w:rFonts w:hint="eastAsia" w:ascii="黑体" w:hAnsi="黑体" w:eastAsia="黑体"/>
          <w:color w:val="000000"/>
          <w:highlight w:val="none"/>
        </w:rPr>
        <w:t>4</w:t>
      </w:r>
      <w:r>
        <w:rPr>
          <w:rFonts w:ascii="黑体" w:hAnsi="黑体" w:eastAsia="黑体"/>
          <w:color w:val="000000"/>
          <w:highlight w:val="none"/>
        </w:rPr>
        <w:t>-0</w:t>
      </w:r>
      <w:r>
        <w:rPr>
          <w:rFonts w:hint="eastAsia" w:ascii="黑体" w:hAnsi="黑体" w:eastAsia="黑体"/>
          <w:color w:val="000000"/>
          <w:highlight w:val="none"/>
          <w:lang w:val="en-US" w:eastAsia="zh-CN"/>
        </w:rPr>
        <w:t>12</w:t>
      </w:r>
    </w:p>
    <w:p>
      <w:pPr>
        <w:spacing w:line="500" w:lineRule="exact"/>
        <w:jc w:val="center"/>
        <w:rPr>
          <w:rFonts w:eastAsia="黑体"/>
          <w:color w:val="000000"/>
          <w:highlight w:val="none"/>
        </w:rPr>
      </w:pPr>
    </w:p>
    <w:p>
      <w:pPr>
        <w:spacing w:line="500" w:lineRule="exact"/>
        <w:jc w:val="center"/>
        <w:rPr>
          <w:rFonts w:ascii="黑体" w:eastAsia="黑体"/>
          <w:b/>
          <w:bCs/>
          <w:color w:val="FF0000"/>
          <w:sz w:val="36"/>
          <w:szCs w:val="36"/>
          <w:highlight w:val="none"/>
        </w:rPr>
      </w:pPr>
      <w:r>
        <w:rPr>
          <w:rFonts w:hint="eastAsia" w:ascii="黑体" w:eastAsia="黑体"/>
          <w:b/>
          <w:bCs/>
          <w:color w:val="FF0000"/>
          <w:sz w:val="36"/>
          <w:szCs w:val="36"/>
          <w:highlight w:val="none"/>
        </w:rPr>
        <w:t>兖矿能源集团</w:t>
      </w:r>
      <w:r>
        <w:rPr>
          <w:rFonts w:ascii="黑体" w:eastAsia="黑体"/>
          <w:b/>
          <w:bCs/>
          <w:color w:val="FF0000"/>
          <w:sz w:val="36"/>
          <w:szCs w:val="36"/>
          <w:highlight w:val="none"/>
        </w:rPr>
        <w:t>股份有限公司</w:t>
      </w:r>
    </w:p>
    <w:p>
      <w:pPr>
        <w:spacing w:line="500" w:lineRule="exact"/>
        <w:jc w:val="center"/>
        <w:rPr>
          <w:b/>
          <w:bCs/>
          <w:color w:val="000000"/>
          <w:sz w:val="32"/>
          <w:highlight w:val="none"/>
        </w:rPr>
      </w:pPr>
      <w:r>
        <w:rPr>
          <w:rFonts w:hint="eastAsia" w:ascii="黑体" w:eastAsia="黑体"/>
          <w:b/>
          <w:bCs/>
          <w:color w:val="FF0000"/>
          <w:sz w:val="36"/>
          <w:szCs w:val="36"/>
          <w:highlight w:val="none"/>
        </w:rPr>
        <w:t>关于年度预计担保的进展公告</w:t>
      </w:r>
    </w:p>
    <w:p>
      <w:pPr>
        <w:spacing w:line="560" w:lineRule="exact"/>
        <w:jc w:val="center"/>
        <w:rPr>
          <w:b/>
          <w:bCs/>
          <w:color w:val="000000"/>
          <w:sz w:val="28"/>
          <w:highlight w:val="none"/>
        </w:rPr>
      </w:pPr>
      <w:r>
        <w:rPr>
          <w:b/>
          <w:bCs/>
          <w:color w:val="000000"/>
          <w:sz w:val="28"/>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文本框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0gRU9cAAAAJAQAADwAAAAAAAAABACAAAAAi&#10;AAAAZHJzL2Rvd25yZXYueG1sUEsBAhQAFAAAAAgAh07iQLNaixwLAgAANgQAAA4AAAAAAAAAAQAg&#10;AAAAJgEAAGRycy9lMm9Eb2MueG1sUEsFBgAAAAAGAAYAWQEAAKMFA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480" w:lineRule="exact"/>
        <w:ind w:firstLine="540"/>
        <w:rPr>
          <w:rFonts w:ascii="宋体" w:hAnsi="宋体"/>
          <w:b/>
          <w:color w:val="000000"/>
          <w:sz w:val="28"/>
          <w:highlight w:val="none"/>
        </w:rPr>
      </w:pPr>
    </w:p>
    <w:p>
      <w:pPr>
        <w:adjustRightInd w:val="0"/>
        <w:snapToGrid w:val="0"/>
        <w:spacing w:line="520" w:lineRule="exact"/>
        <w:ind w:firstLine="540"/>
        <w:rPr>
          <w:rFonts w:ascii="宋体" w:hAnsi="宋体"/>
          <w:b/>
          <w:color w:val="000000"/>
          <w:sz w:val="28"/>
          <w:szCs w:val="28"/>
          <w:highlight w:val="none"/>
        </w:rPr>
      </w:pPr>
      <w:r>
        <w:rPr>
          <w:rFonts w:hint="eastAsia" w:ascii="宋体" w:hAnsi="宋体"/>
          <w:b/>
          <w:color w:val="000000"/>
          <w:sz w:val="28"/>
          <w:szCs w:val="28"/>
          <w:highlight w:val="none"/>
        </w:rPr>
        <w:t>重要内容提示：</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被担保人名称：</w:t>
      </w:r>
      <w:r>
        <w:rPr>
          <w:rFonts w:hint="eastAsia" w:ascii="宋体" w:hAnsi="宋体"/>
          <w:color w:val="000000"/>
          <w:sz w:val="28"/>
          <w:szCs w:val="28"/>
          <w:highlight w:val="none"/>
        </w:rPr>
        <w:t>兖矿瑞丰国际贸易有限公司（“兖矿瑞丰”）</w:t>
      </w:r>
      <w:r>
        <w:rPr>
          <w:rFonts w:hint="eastAsia" w:ascii="宋体" w:hAnsi="宋体"/>
          <w:sz w:val="28"/>
          <w:szCs w:val="28"/>
          <w:highlight w:val="none"/>
        </w:rPr>
        <w:t>、</w:t>
      </w:r>
      <w:r>
        <w:rPr>
          <w:rFonts w:hint="eastAsia" w:ascii="宋体" w:hAnsi="宋体"/>
          <w:color w:val="000000"/>
          <w:sz w:val="28"/>
          <w:szCs w:val="28"/>
          <w:highlight w:val="none"/>
        </w:rPr>
        <w:t>兖煤澳大利亚有限公司（“兖煤澳洲”）及其子公司等</w:t>
      </w:r>
      <w:r>
        <w:rPr>
          <w:rFonts w:hint="eastAsia" w:ascii="宋体" w:hAnsi="宋体"/>
          <w:sz w:val="28"/>
          <w:szCs w:val="28"/>
          <w:highlight w:val="none"/>
        </w:rPr>
        <w:t>兖矿能源集团股份有限公司（“兖矿能源”“公司”）</w:t>
      </w:r>
      <w:r>
        <w:rPr>
          <w:rFonts w:hint="eastAsia" w:ascii="宋体" w:hAnsi="宋体"/>
          <w:color w:val="000000"/>
          <w:sz w:val="28"/>
          <w:szCs w:val="28"/>
          <w:highlight w:val="none"/>
        </w:rPr>
        <w:t>澳洲附属公司</w:t>
      </w:r>
      <w:r>
        <w:rPr>
          <w:rFonts w:hint="eastAsia" w:ascii="宋体" w:hAnsi="宋体"/>
          <w:sz w:val="28"/>
          <w:szCs w:val="28"/>
          <w:highlight w:val="none"/>
        </w:rPr>
        <w:t>。上述被担保人均为兖矿能源权属子公司，</w:t>
      </w:r>
      <w:r>
        <w:rPr>
          <w:rFonts w:hint="eastAsia" w:ascii="宋体" w:hAnsi="宋体"/>
          <w:color w:val="000000"/>
          <w:sz w:val="28"/>
          <w:szCs w:val="28"/>
          <w:highlight w:val="none"/>
        </w:rPr>
        <w:t>其中公司持有</w:t>
      </w:r>
      <w:bookmarkStart w:id="1" w:name="_GoBack"/>
      <w:bookmarkEnd w:id="1"/>
      <w:r>
        <w:rPr>
          <w:rFonts w:hint="eastAsia" w:ascii="宋体" w:hAnsi="宋体"/>
          <w:color w:val="000000"/>
          <w:sz w:val="28"/>
          <w:szCs w:val="28"/>
          <w:highlight w:val="none"/>
        </w:rPr>
        <w:t>兖矿瑞丰51%股权；持有兖煤澳洲约6</w:t>
      </w:r>
      <w:r>
        <w:rPr>
          <w:rFonts w:ascii="宋体" w:hAnsi="宋体"/>
          <w:color w:val="000000"/>
          <w:sz w:val="28"/>
          <w:szCs w:val="28"/>
          <w:highlight w:val="none"/>
        </w:rPr>
        <w:t>2</w:t>
      </w:r>
      <w:r>
        <w:rPr>
          <w:rFonts w:hint="eastAsia" w:ascii="宋体" w:hAnsi="宋体"/>
          <w:color w:val="000000"/>
          <w:sz w:val="28"/>
          <w:szCs w:val="28"/>
          <w:highlight w:val="none"/>
        </w:rPr>
        <w:t>.</w:t>
      </w:r>
      <w:r>
        <w:rPr>
          <w:rFonts w:ascii="宋体" w:hAnsi="宋体"/>
          <w:color w:val="000000"/>
          <w:sz w:val="28"/>
          <w:szCs w:val="28"/>
          <w:highlight w:val="none"/>
        </w:rPr>
        <w:t>26</w:t>
      </w:r>
      <w:r>
        <w:rPr>
          <w:rFonts w:hint="eastAsia" w:ascii="宋体" w:hAnsi="宋体"/>
          <w:color w:val="000000"/>
          <w:sz w:val="28"/>
          <w:szCs w:val="28"/>
          <w:highlight w:val="none"/>
        </w:rPr>
        <w:t>%股权。</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是否为上市公司关联人：</w:t>
      </w:r>
      <w:r>
        <w:rPr>
          <w:rFonts w:hint="eastAsia" w:ascii="宋体" w:hAnsi="宋体"/>
          <w:color w:val="000000"/>
          <w:sz w:val="28"/>
          <w:szCs w:val="28"/>
          <w:highlight w:val="none"/>
        </w:rPr>
        <w:t>否</w:t>
      </w:r>
    </w:p>
    <w:p>
      <w:pPr>
        <w:numPr>
          <w:ilvl w:val="0"/>
          <w:numId w:val="1"/>
        </w:numPr>
        <w:adjustRightInd w:val="0"/>
        <w:snapToGrid w:val="0"/>
        <w:spacing w:line="520" w:lineRule="exact"/>
        <w:rPr>
          <w:rFonts w:ascii="宋体" w:hAnsi="宋体"/>
          <w:b/>
          <w:color w:val="000000"/>
          <w:sz w:val="28"/>
          <w:szCs w:val="28"/>
          <w:highlight w:val="none"/>
        </w:rPr>
      </w:pPr>
      <w:r>
        <w:rPr>
          <w:rFonts w:hint="eastAsia" w:ascii="宋体" w:hAnsi="宋体"/>
          <w:b/>
          <w:color w:val="000000"/>
          <w:sz w:val="28"/>
          <w:szCs w:val="28"/>
          <w:highlight w:val="none"/>
        </w:rPr>
        <w:t>担保金额及担保余额：</w:t>
      </w:r>
      <w:r>
        <w:rPr>
          <w:rFonts w:hint="eastAsia" w:ascii="宋体" w:hAnsi="宋体"/>
          <w:color w:val="000000"/>
          <w:sz w:val="28"/>
          <w:szCs w:val="28"/>
          <w:highlight w:val="none"/>
        </w:rPr>
        <w:t>1月份</w:t>
      </w:r>
      <w:r>
        <w:rPr>
          <w:rFonts w:hint="eastAsia" w:ascii="宋体" w:hAnsi="宋体"/>
          <w:bCs/>
          <w:color w:val="000000"/>
          <w:sz w:val="28"/>
          <w:szCs w:val="28"/>
          <w:highlight w:val="none"/>
        </w:rPr>
        <w:t>（</w:t>
      </w:r>
      <w:r>
        <w:rPr>
          <w:rFonts w:hint="eastAsia" w:ascii="宋体" w:hAnsi="宋体"/>
          <w:color w:val="000000"/>
          <w:sz w:val="28"/>
          <w:szCs w:val="28"/>
          <w:highlight w:val="none"/>
        </w:rPr>
        <w:t>自2024年1月</w:t>
      </w:r>
      <w:r>
        <w:rPr>
          <w:rFonts w:ascii="宋体" w:hAnsi="宋体"/>
          <w:color w:val="000000"/>
          <w:sz w:val="28"/>
          <w:szCs w:val="28"/>
          <w:highlight w:val="none"/>
        </w:rPr>
        <w:t>1</w:t>
      </w:r>
      <w:r>
        <w:rPr>
          <w:rFonts w:hint="eastAsia" w:ascii="宋体" w:hAnsi="宋体"/>
          <w:color w:val="000000"/>
          <w:sz w:val="28"/>
          <w:szCs w:val="28"/>
          <w:highlight w:val="none"/>
        </w:rPr>
        <w:t>日至2024年1月31日）公司在年度预计担保金额内为兖矿瑞丰提供担保金额为人民币2.30亿元；截至2024年1月31日，公司为兖矿瑞丰提供的担保余额为人民币22.00亿元；截至2024年</w:t>
      </w:r>
      <w:r>
        <w:rPr>
          <w:rFonts w:ascii="宋体" w:hAnsi="宋体"/>
          <w:color w:val="000000"/>
          <w:sz w:val="28"/>
          <w:szCs w:val="28"/>
          <w:highlight w:val="none"/>
        </w:rPr>
        <w:t>1</w:t>
      </w:r>
      <w:r>
        <w:rPr>
          <w:rFonts w:hint="eastAsia" w:ascii="宋体" w:hAnsi="宋体"/>
          <w:color w:val="000000"/>
          <w:sz w:val="28"/>
          <w:szCs w:val="28"/>
          <w:highlight w:val="none"/>
        </w:rPr>
        <w:t>月31日，兖煤澳洲为其子公司提供担保余额为600万澳元，兖煤澳洲下属子公司为兖矿能源澳洲附属公司提供担保余额为9.17亿澳元，担保余额合计为9.23亿澳元。</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本次担保是否有反担保：</w:t>
      </w:r>
      <w:r>
        <w:rPr>
          <w:rFonts w:hint="eastAsia" w:ascii="宋体" w:hAnsi="宋体"/>
          <w:bCs/>
          <w:color w:val="000000"/>
          <w:sz w:val="28"/>
          <w:szCs w:val="28"/>
          <w:highlight w:val="none"/>
        </w:rPr>
        <w:t>是</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公司无逾期对外担保</w:t>
      </w:r>
    </w:p>
    <w:p>
      <w:pPr>
        <w:pStyle w:val="31"/>
        <w:numPr>
          <w:ilvl w:val="0"/>
          <w:numId w:val="1"/>
        </w:numPr>
        <w:spacing w:line="520" w:lineRule="exact"/>
        <w:ind w:firstLineChars="0"/>
        <w:rPr>
          <w:rFonts w:ascii="宋体" w:hAnsi="宋体"/>
          <w:bCs/>
          <w:color w:val="000000"/>
          <w:sz w:val="28"/>
          <w:szCs w:val="28"/>
          <w:highlight w:val="none"/>
        </w:rPr>
      </w:pPr>
      <w:r>
        <w:rPr>
          <w:rFonts w:hint="eastAsia" w:ascii="宋体" w:hAnsi="宋体"/>
          <w:b/>
          <w:color w:val="000000"/>
          <w:sz w:val="28"/>
          <w:szCs w:val="28"/>
          <w:highlight w:val="none"/>
        </w:rPr>
        <w:t>特别风险提示：</w:t>
      </w:r>
      <w:r>
        <w:rPr>
          <w:rFonts w:hint="eastAsia" w:ascii="宋体" w:hAnsi="宋体"/>
          <w:bCs/>
          <w:color w:val="000000"/>
          <w:sz w:val="28"/>
          <w:szCs w:val="28"/>
          <w:highlight w:val="none"/>
        </w:rPr>
        <w:t>部分被担保对象资产负债率超过70%，敬请广大投资者注意相关风险。担保对象均为公司权属子公司，担保风险可控。</w:t>
      </w:r>
    </w:p>
    <w:p>
      <w:pPr>
        <w:adjustRightInd w:val="0"/>
        <w:snapToGrid w:val="0"/>
        <w:spacing w:line="520" w:lineRule="exact"/>
        <w:ind w:firstLine="539"/>
        <w:rPr>
          <w:rFonts w:ascii="宋体" w:hAnsi="宋体"/>
          <w:color w:val="000000"/>
          <w:sz w:val="28"/>
          <w:szCs w:val="28"/>
          <w:highlight w:val="none"/>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一、本次担保情况概述</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（一）本次担保的基本情况</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自2024年1月1日至2024年1月31日，公司在年度预计担保金额内为兖矿瑞丰提供人民币2.30亿元融资担保；截至2024年1月31日，公司已实际为兖矿瑞丰提供的担保余额为人民币22.00亿元。</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截至2024年</w:t>
      </w:r>
      <w:r>
        <w:rPr>
          <w:rFonts w:ascii="宋体" w:hAnsi="宋体"/>
          <w:color w:val="000000"/>
          <w:sz w:val="28"/>
          <w:szCs w:val="28"/>
          <w:highlight w:val="none"/>
        </w:rPr>
        <w:t>1</w:t>
      </w:r>
      <w:r>
        <w:rPr>
          <w:rFonts w:hint="eastAsia" w:ascii="宋体" w:hAnsi="宋体"/>
          <w:color w:val="000000"/>
          <w:sz w:val="28"/>
          <w:szCs w:val="28"/>
          <w:highlight w:val="none"/>
        </w:rPr>
        <w:t>月31日，兖煤澳洲为其子公司提供担保余额为600万澳元，兖煤澳洲下属子公司以银行保函和保险保函形式为兖矿能源澳洲附属公司提供担保余额为9.17亿澳元，</w:t>
      </w:r>
      <w:bookmarkStart w:id="0" w:name="_Hlk127454364"/>
      <w:r>
        <w:rPr>
          <w:rFonts w:hint="eastAsia" w:ascii="宋体" w:hAnsi="宋体"/>
          <w:color w:val="000000"/>
          <w:sz w:val="28"/>
          <w:szCs w:val="28"/>
          <w:highlight w:val="none"/>
        </w:rPr>
        <w:t>前述担保余额合计为9.23亿澳元</w:t>
      </w:r>
      <w:bookmarkEnd w:id="0"/>
      <w:r>
        <w:rPr>
          <w:rFonts w:hint="eastAsia" w:ascii="宋体" w:hAnsi="宋体"/>
          <w:color w:val="000000"/>
          <w:sz w:val="28"/>
          <w:szCs w:val="28"/>
          <w:highlight w:val="none"/>
        </w:rPr>
        <w:t>。</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（二）担保事项履行的内部决策程序</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公司于20</w:t>
      </w:r>
      <w:r>
        <w:rPr>
          <w:rFonts w:ascii="宋体" w:hAnsi="宋体"/>
          <w:color w:val="000000"/>
          <w:sz w:val="28"/>
          <w:szCs w:val="28"/>
          <w:highlight w:val="none"/>
        </w:rPr>
        <w:t>2</w:t>
      </w:r>
      <w:r>
        <w:rPr>
          <w:rFonts w:hint="eastAsia" w:ascii="宋体" w:hAnsi="宋体"/>
          <w:color w:val="000000"/>
          <w:sz w:val="28"/>
          <w:szCs w:val="28"/>
          <w:highlight w:val="none"/>
        </w:rPr>
        <w:t>3年3月24日召开的第八届董事会第二十七次会议、于20</w:t>
      </w:r>
      <w:r>
        <w:rPr>
          <w:rFonts w:ascii="宋体" w:hAnsi="宋体"/>
          <w:color w:val="000000"/>
          <w:sz w:val="28"/>
          <w:szCs w:val="28"/>
          <w:highlight w:val="none"/>
        </w:rPr>
        <w:t>2</w:t>
      </w:r>
      <w:r>
        <w:rPr>
          <w:rFonts w:hint="eastAsia" w:ascii="宋体" w:hAnsi="宋体"/>
          <w:color w:val="000000"/>
          <w:sz w:val="28"/>
          <w:szCs w:val="28"/>
          <w:highlight w:val="none"/>
        </w:rPr>
        <w:t>3年</w:t>
      </w:r>
      <w:r>
        <w:rPr>
          <w:rFonts w:ascii="宋体" w:hAnsi="宋体"/>
          <w:color w:val="000000"/>
          <w:sz w:val="28"/>
          <w:szCs w:val="28"/>
          <w:highlight w:val="none"/>
        </w:rPr>
        <w:t>6</w:t>
      </w:r>
      <w:r>
        <w:rPr>
          <w:rFonts w:hint="eastAsia" w:ascii="宋体" w:hAnsi="宋体"/>
          <w:color w:val="000000"/>
          <w:sz w:val="28"/>
          <w:szCs w:val="28"/>
          <w:highlight w:val="none"/>
        </w:rPr>
        <w:t>月30日召开的2</w:t>
      </w:r>
      <w:r>
        <w:rPr>
          <w:rFonts w:ascii="宋体" w:hAnsi="宋体"/>
          <w:color w:val="000000"/>
          <w:sz w:val="28"/>
          <w:szCs w:val="28"/>
          <w:highlight w:val="none"/>
        </w:rPr>
        <w:t>02</w:t>
      </w:r>
      <w:r>
        <w:rPr>
          <w:rFonts w:hint="eastAsia" w:ascii="宋体" w:hAnsi="宋体"/>
          <w:color w:val="000000"/>
          <w:sz w:val="28"/>
          <w:szCs w:val="28"/>
          <w:highlight w:val="none"/>
        </w:rPr>
        <w:t>2年度股东周年大会审议通过了《关于向子公司提供融资担保和授权兖煤澳洲及其子公司向兖矿能源澳洲附属公司提供日常经营担保的议案》，批准公司及控股公司向控股公司及参股公司提供不超过等值</w:t>
      </w:r>
      <w:r>
        <w:rPr>
          <w:rFonts w:ascii="宋体" w:hAnsi="宋体"/>
          <w:color w:val="000000"/>
          <w:sz w:val="28"/>
          <w:szCs w:val="28"/>
          <w:highlight w:val="none"/>
        </w:rPr>
        <w:t>5</w:t>
      </w:r>
      <w:r>
        <w:rPr>
          <w:rFonts w:hint="eastAsia" w:ascii="宋体" w:hAnsi="宋体"/>
          <w:color w:val="000000"/>
          <w:sz w:val="28"/>
          <w:szCs w:val="28"/>
          <w:highlight w:val="none"/>
        </w:rPr>
        <w:t>0亿美元的融资担保；批准兖煤澳洲及其子公司向兖矿能源澳洲附属公司提供不超过15亿澳元的日常经营担保。</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本次担保事项及金额均在公司已履行审批程序的担保额度以内，无需履行其他审批程序。</w:t>
      </w:r>
    </w:p>
    <w:p>
      <w:pPr>
        <w:spacing w:before="156" w:beforeLines="50" w:after="156" w:afterLines="50" w:line="520" w:lineRule="exact"/>
        <w:ind w:firstLine="560" w:firstLineChars="200"/>
        <w:rPr>
          <w:rFonts w:ascii="楷体" w:hAnsi="楷体" w:eastAsia="楷体"/>
          <w:sz w:val="28"/>
          <w:szCs w:val="28"/>
          <w:highlight w:val="none"/>
        </w:rPr>
      </w:pPr>
      <w:r>
        <w:rPr>
          <w:rFonts w:hint="eastAsia" w:ascii="楷体" w:hAnsi="楷体" w:eastAsia="楷体"/>
          <w:sz w:val="28"/>
          <w:szCs w:val="28"/>
          <w:highlight w:val="none"/>
        </w:rPr>
        <w:t>有关详情请见公司日期为2023年3月24日的公司第八届董事会第二十七次会议决议公告、关于向子公司提供融资担保和授权兖煤澳洲及其子公司向兖矿能源澳洲附属公司提供日常经营担保的公告，日期为2023年</w:t>
      </w:r>
      <w:r>
        <w:rPr>
          <w:rFonts w:ascii="楷体" w:hAnsi="楷体" w:eastAsia="楷体"/>
          <w:sz w:val="28"/>
          <w:szCs w:val="28"/>
          <w:highlight w:val="none"/>
        </w:rPr>
        <w:t>6</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日的公司2</w:t>
      </w:r>
      <w:r>
        <w:rPr>
          <w:rFonts w:ascii="楷体" w:hAnsi="楷体" w:eastAsia="楷体"/>
          <w:sz w:val="28"/>
          <w:szCs w:val="28"/>
          <w:highlight w:val="none"/>
        </w:rPr>
        <w:t>02</w:t>
      </w:r>
      <w:r>
        <w:rPr>
          <w:rFonts w:hint="eastAsia" w:ascii="楷体" w:hAnsi="楷体" w:eastAsia="楷体"/>
          <w:sz w:val="28"/>
          <w:szCs w:val="28"/>
          <w:highlight w:val="none"/>
        </w:rPr>
        <w:t>2年度股东周年大会决议公告。该等资料刊载于上海证券交易所网站、香港联合交易所有限公司网站、公司网站及/或中国境内《中国证券报》《上海证券报》《证券时报》《证券日报》。</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二、被担保人基本情况</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（一）兖矿瑞丰</w:t>
      </w:r>
    </w:p>
    <w:p>
      <w:pPr>
        <w:adjustRightInd w:val="0"/>
        <w:snapToGrid w:val="0"/>
        <w:spacing w:after="156" w:afterLines="50"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兖矿瑞丰于</w:t>
      </w:r>
      <w:r>
        <w:rPr>
          <w:rFonts w:ascii="宋体" w:hAnsi="宋体"/>
          <w:color w:val="000000"/>
          <w:sz w:val="28"/>
          <w:szCs w:val="28"/>
          <w:highlight w:val="none"/>
        </w:rPr>
        <w:t>2015</w:t>
      </w:r>
      <w:r>
        <w:rPr>
          <w:rFonts w:hint="eastAsia" w:ascii="宋体" w:hAnsi="宋体"/>
          <w:color w:val="000000"/>
          <w:sz w:val="28"/>
          <w:szCs w:val="28"/>
          <w:highlight w:val="none"/>
        </w:rPr>
        <w:t>年</w:t>
      </w:r>
      <w:r>
        <w:rPr>
          <w:rFonts w:ascii="宋体" w:hAnsi="宋体"/>
          <w:color w:val="000000"/>
          <w:sz w:val="28"/>
          <w:szCs w:val="28"/>
          <w:highlight w:val="none"/>
        </w:rPr>
        <w:t>11</w:t>
      </w:r>
      <w:r>
        <w:rPr>
          <w:rFonts w:hint="eastAsia" w:ascii="宋体" w:hAnsi="宋体"/>
          <w:color w:val="000000"/>
          <w:sz w:val="28"/>
          <w:szCs w:val="28"/>
          <w:highlight w:val="none"/>
        </w:rPr>
        <w:t>月在青岛市注册成立，统一社会信用代码</w:t>
      </w:r>
      <w:r>
        <w:rPr>
          <w:rFonts w:ascii="宋体" w:hAnsi="宋体"/>
          <w:color w:val="000000"/>
          <w:sz w:val="28"/>
          <w:szCs w:val="28"/>
          <w:highlight w:val="none"/>
        </w:rPr>
        <w:t>91370220MA3C0K0918</w:t>
      </w:r>
      <w:r>
        <w:rPr>
          <w:rFonts w:hint="eastAsia" w:ascii="宋体" w:hAnsi="宋体"/>
          <w:color w:val="000000"/>
          <w:sz w:val="28"/>
          <w:szCs w:val="28"/>
          <w:highlight w:val="none"/>
        </w:rPr>
        <w:t>，法定代表人任义飞，注册资本金人民币</w:t>
      </w:r>
      <w:r>
        <w:rPr>
          <w:rFonts w:ascii="宋体" w:hAnsi="宋体"/>
          <w:color w:val="000000"/>
          <w:sz w:val="28"/>
          <w:szCs w:val="28"/>
          <w:highlight w:val="none"/>
        </w:rPr>
        <w:t>2</w:t>
      </w:r>
      <w:r>
        <w:rPr>
          <w:rFonts w:hint="eastAsia" w:ascii="宋体" w:hAnsi="宋体"/>
          <w:color w:val="000000"/>
          <w:sz w:val="28"/>
          <w:szCs w:val="28"/>
          <w:highlight w:val="none"/>
        </w:rPr>
        <w:t>亿元，主要从事铁矿石、煤炭、钢材、机械设备、化工产品（不含危险品）、焦炭的国际贸易等业务，为兖矿能源控股子公司，其股权结构如下：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288"/>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3288"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名称</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出资额（亿元）</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持股比例（</w:t>
            </w:r>
            <w:r>
              <w:rPr>
                <w:rFonts w:ascii="宋体" w:hAnsi="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兖矿能源</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1.02</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w:t>
            </w:r>
          </w:p>
        </w:tc>
        <w:tc>
          <w:tcPr>
            <w:tcW w:w="3288" w:type="dxa"/>
            <w:vAlign w:val="center"/>
          </w:tcPr>
          <w:p>
            <w:pPr>
              <w:adjustRightInd w:val="0"/>
              <w:snapToGrid w:val="0"/>
              <w:spacing w:line="360" w:lineRule="atLeast"/>
              <w:jc w:val="center"/>
              <w:rPr>
                <w:rFonts w:ascii="宋体" w:hAnsi="宋体"/>
                <w:color w:val="000000"/>
                <w:szCs w:val="21"/>
                <w:highlight w:val="none"/>
              </w:rPr>
            </w:pPr>
            <w:r>
              <w:rPr>
                <w:rFonts w:hint="eastAsia" w:ascii="宋体" w:hAnsi="宋体"/>
                <w:color w:val="000000"/>
                <w:szCs w:val="21"/>
                <w:highlight w:val="none"/>
              </w:rPr>
              <w:t>青岛世纪瑞丰集团有限公司</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0.98</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合计</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2.00</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100</w:t>
            </w:r>
          </w:p>
        </w:tc>
      </w:tr>
    </w:tbl>
    <w:p>
      <w:pPr>
        <w:spacing w:before="156" w:beforeLines="50" w:line="520" w:lineRule="exact"/>
        <w:ind w:firstLine="612"/>
        <w:rPr>
          <w:rFonts w:ascii="宋体" w:hAnsi="宋体"/>
          <w:spacing w:val="-4"/>
          <w:sz w:val="28"/>
          <w:szCs w:val="28"/>
          <w:highlight w:val="none"/>
        </w:rPr>
      </w:pPr>
      <w:r>
        <w:rPr>
          <w:rFonts w:hint="eastAsia" w:ascii="宋体" w:hAnsi="宋体"/>
          <w:spacing w:val="-4"/>
          <w:sz w:val="28"/>
          <w:szCs w:val="28"/>
          <w:highlight w:val="none"/>
        </w:rPr>
        <w:t>兖矿瑞丰主要财务指标如下（按中国会计准则编制）：</w:t>
      </w:r>
    </w:p>
    <w:p>
      <w:pPr>
        <w:spacing w:before="156" w:line="500" w:lineRule="exact"/>
        <w:ind w:firstLine="5983" w:firstLineChars="2962"/>
        <w:rPr>
          <w:rFonts w:ascii="宋体" w:hAnsi="宋体"/>
          <w:spacing w:val="-4"/>
          <w:szCs w:val="21"/>
          <w:highlight w:val="none"/>
        </w:rPr>
      </w:pPr>
      <w:r>
        <w:rPr>
          <w:rFonts w:hint="eastAsia" w:ascii="宋体" w:hAnsi="宋体"/>
          <w:spacing w:val="-4"/>
          <w:szCs w:val="21"/>
          <w:highlight w:val="none"/>
        </w:rPr>
        <w:t>币种</w:t>
      </w:r>
      <w:r>
        <w:rPr>
          <w:rFonts w:ascii="宋体" w:hAnsi="宋体"/>
          <w:spacing w:val="-4"/>
          <w:szCs w:val="21"/>
          <w:highlight w:val="none"/>
        </w:rPr>
        <w:t xml:space="preserve">:人民币  </w:t>
      </w:r>
      <w:r>
        <w:rPr>
          <w:rFonts w:hint="eastAsia" w:ascii="宋体" w:hAnsi="宋体"/>
          <w:spacing w:val="-4"/>
          <w:szCs w:val="21"/>
          <w:highlight w:val="none"/>
        </w:rPr>
        <w:t>单位：千元</w:t>
      </w:r>
    </w:p>
    <w:tbl>
      <w:tblPr>
        <w:tblStyle w:val="14"/>
        <w:tblW w:w="4988" w:type="pct"/>
        <w:jc w:val="center"/>
        <w:tblLayout w:type="autofit"/>
        <w:tblCellMar>
          <w:top w:w="0" w:type="dxa"/>
          <w:left w:w="108" w:type="dxa"/>
          <w:bottom w:w="0" w:type="dxa"/>
          <w:right w:w="108" w:type="dxa"/>
        </w:tblCellMar>
      </w:tblPr>
      <w:tblGrid>
        <w:gridCol w:w="2970"/>
        <w:gridCol w:w="3149"/>
        <w:gridCol w:w="3004"/>
      </w:tblGrid>
      <w:tr>
        <w:tblPrEx>
          <w:tblCellMar>
            <w:top w:w="0" w:type="dxa"/>
            <w:left w:w="108" w:type="dxa"/>
            <w:bottom w:w="0" w:type="dxa"/>
            <w:right w:w="108" w:type="dxa"/>
          </w:tblCellMar>
        </w:tblPrEx>
        <w:trPr>
          <w:trHeight w:val="562"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12月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1日</w:t>
            </w:r>
          </w:p>
        </w:tc>
        <w:tc>
          <w:tcPr>
            <w:tcW w:w="1646" w:type="pct"/>
            <w:tcBorders>
              <w:top w:val="single" w:color="auto" w:sz="4" w:space="0"/>
              <w:left w:val="nil"/>
              <w:bottom w:val="single" w:color="auto" w:sz="4" w:space="0"/>
              <w:right w:val="single" w:color="auto" w:sz="4" w:space="0"/>
            </w:tcBorders>
            <w:shd w:val="clear" w:color="auto" w:fill="auto"/>
            <w:vAlign w:val="center"/>
          </w:tcPr>
          <w:p>
            <w:pPr>
              <w:spacing w:line="500" w:lineRule="exact"/>
              <w:ind w:left="-73" w:leftChars="-35"/>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rPr>
              <w:t>9月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0日</w:t>
            </w:r>
          </w:p>
        </w:tc>
      </w:tr>
      <w:tr>
        <w:tblPrEx>
          <w:tblCellMar>
            <w:top w:w="0" w:type="dxa"/>
            <w:left w:w="108" w:type="dxa"/>
            <w:bottom w:w="0" w:type="dxa"/>
            <w:right w:w="108" w:type="dxa"/>
          </w:tblCellMar>
        </w:tblPrEx>
        <w:trPr>
          <w:trHeight w:val="510" w:hRule="atLeast"/>
          <w:jc w:val="center"/>
        </w:trPr>
        <w:tc>
          <w:tcPr>
            <w:tcW w:w="1628" w:type="pc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资产总额</w:t>
            </w:r>
          </w:p>
        </w:tc>
        <w:tc>
          <w:tcPr>
            <w:tcW w:w="1726" w:type="pct"/>
            <w:tcBorders>
              <w:top w:val="nil"/>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highlight w:val="none"/>
              </w:rPr>
              <w:t>,</w:t>
            </w:r>
            <w:r>
              <w:rPr>
                <w:rFonts w:hint="eastAsia" w:ascii="宋体" w:hAnsi="宋体" w:cs="宋体"/>
                <w:color w:val="000000"/>
                <w:szCs w:val="21"/>
                <w:highlight w:val="none"/>
              </w:rPr>
              <w:t>920</w:t>
            </w:r>
            <w:r>
              <w:rPr>
                <w:rFonts w:ascii="宋体" w:hAnsi="宋体"/>
                <w:highlight w:val="none"/>
              </w:rPr>
              <w:t>,</w:t>
            </w:r>
            <w:r>
              <w:rPr>
                <w:rFonts w:hint="eastAsia" w:ascii="宋体" w:hAnsi="宋体" w:cs="宋体"/>
                <w:color w:val="000000"/>
                <w:szCs w:val="21"/>
                <w:highlight w:val="none"/>
              </w:rPr>
              <w:t>803</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 xml:space="preserve">6,270,310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负债总额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highlight w:val="none"/>
              </w:rPr>
              <w:t>,</w:t>
            </w:r>
            <w:r>
              <w:rPr>
                <w:rFonts w:hint="eastAsia" w:ascii="宋体" w:hAnsi="宋体" w:cs="宋体"/>
                <w:color w:val="000000"/>
                <w:szCs w:val="21"/>
                <w:highlight w:val="none"/>
              </w:rPr>
              <w:t>552</w:t>
            </w:r>
            <w:r>
              <w:rPr>
                <w:rFonts w:ascii="宋体" w:hAnsi="宋体"/>
                <w:highlight w:val="none"/>
              </w:rPr>
              <w:t>,</w:t>
            </w:r>
            <w:r>
              <w:rPr>
                <w:rFonts w:hint="eastAsia" w:ascii="宋体" w:hAnsi="宋体" w:cs="宋体"/>
                <w:color w:val="000000"/>
                <w:szCs w:val="21"/>
                <w:highlight w:val="none"/>
              </w:rPr>
              <w:t>500</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 xml:space="preserve">5,869,324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净资产</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368</w:t>
            </w:r>
            <w:r>
              <w:rPr>
                <w:rFonts w:ascii="宋体" w:hAnsi="宋体"/>
                <w:highlight w:val="none"/>
              </w:rPr>
              <w:t>,</w:t>
            </w:r>
            <w:r>
              <w:rPr>
                <w:rFonts w:hint="eastAsia" w:ascii="宋体" w:hAnsi="宋体"/>
                <w:highlight w:val="none"/>
              </w:rPr>
              <w:t>303</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400,986</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度</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rPr>
              <w:t>1-9月</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34</w:t>
            </w:r>
            <w:r>
              <w:rPr>
                <w:rFonts w:ascii="宋体" w:hAnsi="宋体"/>
                <w:highlight w:val="none"/>
              </w:rPr>
              <w:t>,</w:t>
            </w:r>
            <w:r>
              <w:rPr>
                <w:rFonts w:hint="eastAsia" w:ascii="宋体" w:hAnsi="宋体" w:cs="宋体"/>
                <w:color w:val="000000"/>
                <w:szCs w:val="21"/>
                <w:highlight w:val="none"/>
              </w:rPr>
              <w:t>919</w:t>
            </w:r>
            <w:r>
              <w:rPr>
                <w:rFonts w:ascii="宋体" w:hAnsi="宋体"/>
                <w:highlight w:val="none"/>
              </w:rPr>
              <w:t>,</w:t>
            </w:r>
            <w:r>
              <w:rPr>
                <w:rFonts w:hint="eastAsia" w:ascii="宋体" w:hAnsi="宋体" w:cs="宋体"/>
                <w:color w:val="000000"/>
                <w:szCs w:val="21"/>
                <w:highlight w:val="none"/>
              </w:rPr>
              <w:t>853</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23,231,444</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利润总额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ind w:right="105"/>
              <w:jc w:val="right"/>
              <w:rPr>
                <w:rFonts w:ascii="宋体" w:hAnsi="宋体" w:cs="宋体"/>
                <w:color w:val="000000"/>
                <w:szCs w:val="21"/>
                <w:highlight w:val="none"/>
              </w:rPr>
            </w:pPr>
            <w:r>
              <w:rPr>
                <w:rFonts w:hint="eastAsia" w:ascii="宋体" w:hAnsi="宋体" w:cs="宋体"/>
                <w:color w:val="000000"/>
                <w:szCs w:val="21"/>
                <w:highlight w:val="none"/>
              </w:rPr>
              <w:t>30</w:t>
            </w:r>
            <w:r>
              <w:rPr>
                <w:rFonts w:ascii="宋体" w:hAnsi="宋体"/>
                <w:highlight w:val="none"/>
              </w:rPr>
              <w:t>,</w:t>
            </w:r>
            <w:r>
              <w:rPr>
                <w:rFonts w:hint="eastAsia" w:ascii="宋体" w:hAnsi="宋体"/>
                <w:highlight w:val="none"/>
              </w:rPr>
              <w:t>196</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27,621</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wordWrap w:val="0"/>
              <w:spacing w:line="500" w:lineRule="exact"/>
              <w:jc w:val="right"/>
              <w:rPr>
                <w:rFonts w:ascii="宋体" w:hAnsi="宋体"/>
                <w:highlight w:val="none"/>
              </w:rPr>
            </w:pPr>
            <w:r>
              <w:rPr>
                <w:rFonts w:hint="eastAsia" w:ascii="宋体" w:hAnsi="宋体" w:cs="宋体"/>
                <w:color w:val="000000"/>
                <w:szCs w:val="21"/>
                <w:highlight w:val="none"/>
              </w:rPr>
              <w:t>23</w:t>
            </w:r>
            <w:r>
              <w:rPr>
                <w:rFonts w:ascii="宋体" w:hAnsi="宋体"/>
                <w:highlight w:val="none"/>
              </w:rPr>
              <w:t>,</w:t>
            </w:r>
            <w:r>
              <w:rPr>
                <w:rFonts w:hint="eastAsia" w:ascii="宋体" w:hAnsi="宋体"/>
                <w:highlight w:val="none"/>
              </w:rPr>
              <w:t xml:space="preserve">147 </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21,494</w:t>
            </w:r>
          </w:p>
        </w:tc>
      </w:tr>
    </w:tbl>
    <w:p>
      <w:pPr>
        <w:adjustRightInd w:val="0"/>
        <w:snapToGrid w:val="0"/>
        <w:spacing w:line="520" w:lineRule="exact"/>
        <w:ind w:firstLine="560" w:firstLineChars="200"/>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r>
        <w:rPr>
          <w:rFonts w:hint="eastAsia" w:ascii="宋体" w:hAnsi="宋体"/>
          <w:b/>
          <w:color w:val="000000"/>
          <w:sz w:val="28"/>
          <w:szCs w:val="28"/>
          <w:highlight w:val="none"/>
        </w:rPr>
        <w:t>(二)担保协议主要内容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709"/>
        <w:gridCol w:w="992"/>
        <w:gridCol w:w="992"/>
        <w:gridCol w:w="2127"/>
        <w:gridCol w:w="1417"/>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担保方</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被担保方</w:t>
            </w:r>
          </w:p>
        </w:tc>
        <w:tc>
          <w:tcPr>
            <w:tcW w:w="709" w:type="dxa"/>
            <w:vAlign w:val="center"/>
          </w:tcPr>
          <w:p>
            <w:pPr>
              <w:adjustRightInd w:val="0"/>
              <w:snapToGrid w:val="0"/>
              <w:spacing w:line="240" w:lineRule="atLeas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债权人</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担保金额</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签署日期</w:t>
            </w:r>
          </w:p>
        </w:tc>
        <w:tc>
          <w:tcPr>
            <w:tcW w:w="212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担保范围</w:t>
            </w:r>
          </w:p>
        </w:tc>
        <w:tc>
          <w:tcPr>
            <w:tcW w:w="141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担保期间</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担保类型</w:t>
            </w:r>
          </w:p>
        </w:tc>
        <w:tc>
          <w:tcPr>
            <w:tcW w:w="730"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兖矿瑞丰</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潍坊 银行股份有限公司青岛山东路支行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1.80亿元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2024年1月26日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兖矿瑞丰</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上海浦东发展银行股份有限公司青岛分行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0.50亿元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2024年1月30日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是</w:t>
            </w:r>
          </w:p>
        </w:tc>
      </w:tr>
    </w:tbl>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三、担保的必要性和合理性</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上述担保对象均为公司子公司，不存在失信被执行情况，可有效控制和防范担保风险，不会损害公司及全体股东的利益。</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四、董事会意见</w:t>
      </w:r>
    </w:p>
    <w:p>
      <w:pPr>
        <w:adjustRightInd w:val="0"/>
        <w:snapToGrid w:val="0"/>
        <w:spacing w:line="560" w:lineRule="exact"/>
        <w:ind w:firstLine="539"/>
        <w:rPr>
          <w:rFonts w:ascii="宋体" w:hAnsi="宋体"/>
          <w:b/>
          <w:sz w:val="28"/>
          <w:szCs w:val="28"/>
          <w:highlight w:val="none"/>
        </w:rPr>
      </w:pPr>
      <w:r>
        <w:rPr>
          <w:rFonts w:hint="eastAsia" w:ascii="宋体" w:hAnsi="宋体"/>
          <w:sz w:val="28"/>
          <w:szCs w:val="28"/>
          <w:highlight w:val="none"/>
        </w:rPr>
        <w:t>公司董事会认为：公司已于20</w:t>
      </w:r>
      <w:r>
        <w:rPr>
          <w:rFonts w:ascii="宋体" w:hAnsi="宋体"/>
          <w:sz w:val="28"/>
          <w:szCs w:val="28"/>
          <w:highlight w:val="none"/>
        </w:rPr>
        <w:t>2</w:t>
      </w:r>
      <w:r>
        <w:rPr>
          <w:rFonts w:hint="eastAsia" w:ascii="宋体" w:hAnsi="宋体"/>
          <w:sz w:val="28"/>
          <w:szCs w:val="28"/>
          <w:highlight w:val="none"/>
        </w:rPr>
        <w:t>3年3月24日召开的第八届董事会第二十七次会议审议通过前述担保事项，独立董事发表了同意的独立意见，同时公司2</w:t>
      </w:r>
      <w:r>
        <w:rPr>
          <w:rFonts w:ascii="宋体" w:hAnsi="宋体"/>
          <w:sz w:val="28"/>
          <w:szCs w:val="28"/>
          <w:highlight w:val="none"/>
        </w:rPr>
        <w:t>02</w:t>
      </w:r>
      <w:r>
        <w:rPr>
          <w:rFonts w:hint="eastAsia" w:ascii="宋体" w:hAnsi="宋体"/>
          <w:sz w:val="28"/>
          <w:szCs w:val="28"/>
          <w:highlight w:val="none"/>
        </w:rPr>
        <w:t>2年度股东周年大会亦已审议通过了相关担保事项。前述担保事项及金额均在公司已履行审批程序的担保额度以内，且有利于降低公司子公司融资成本，保障其日常经营资金需要</w:t>
      </w:r>
      <w:r>
        <w:rPr>
          <w:rFonts w:ascii="宋体" w:hAnsi="宋体"/>
          <w:sz w:val="28"/>
          <w:szCs w:val="28"/>
          <w:highlight w:val="none"/>
        </w:rPr>
        <w:t>。</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五、累计对外担保数量及逾期担保的数量</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截至2</w:t>
      </w:r>
      <w:r>
        <w:rPr>
          <w:rFonts w:ascii="宋体" w:hAnsi="宋体"/>
          <w:sz w:val="28"/>
          <w:szCs w:val="28"/>
          <w:highlight w:val="none"/>
        </w:rPr>
        <w:t>02</w:t>
      </w:r>
      <w:r>
        <w:rPr>
          <w:rFonts w:hint="eastAsia" w:ascii="宋体" w:hAnsi="宋体"/>
          <w:sz w:val="28"/>
          <w:szCs w:val="28"/>
          <w:highlight w:val="none"/>
          <w:lang w:val="en-US" w:eastAsia="zh-CN"/>
        </w:rPr>
        <w:t>4</w:t>
      </w:r>
      <w:r>
        <w:rPr>
          <w:rFonts w:hint="eastAsia" w:ascii="宋体" w:hAnsi="宋体"/>
          <w:sz w:val="28"/>
          <w:szCs w:val="28"/>
          <w:highlight w:val="none"/>
        </w:rPr>
        <w:t>年1月31日，公司累计对外担保余额为人民币179.43亿元，占公司2022年按中国会计准则计算的经审计净资产人民币947.35亿元的1</w:t>
      </w:r>
      <w:r>
        <w:rPr>
          <w:rFonts w:hint="eastAsia" w:ascii="宋体" w:hAnsi="宋体"/>
          <w:sz w:val="28"/>
          <w:szCs w:val="28"/>
          <w:highlight w:val="none"/>
          <w:lang w:val="en-US" w:eastAsia="zh-CN"/>
        </w:rPr>
        <w:t>8</w:t>
      </w:r>
      <w:r>
        <w:rPr>
          <w:rFonts w:hint="eastAsia" w:ascii="宋体" w:hAnsi="宋体"/>
          <w:sz w:val="28"/>
          <w:szCs w:val="28"/>
          <w:highlight w:val="none"/>
        </w:rPr>
        <w:t>.9</w:t>
      </w:r>
      <w:r>
        <w:rPr>
          <w:rFonts w:hint="eastAsia" w:ascii="宋体" w:hAnsi="宋体"/>
          <w:sz w:val="28"/>
          <w:szCs w:val="28"/>
          <w:highlight w:val="none"/>
          <w:lang w:val="en-US" w:eastAsia="zh-CN"/>
        </w:rPr>
        <w:t>4</w:t>
      </w:r>
      <w:r>
        <w:rPr>
          <w:rFonts w:hint="eastAsia" w:ascii="宋体" w:hAnsi="宋体"/>
          <w:sz w:val="28"/>
          <w:szCs w:val="28"/>
          <w:highlight w:val="none"/>
        </w:rPr>
        <w:t>%。除上述担保外，公司不存在其他对外担保，公司及子公司不存在逾期担保的情况。</w:t>
      </w:r>
    </w:p>
    <w:p>
      <w:pPr>
        <w:adjustRightInd w:val="0"/>
        <w:snapToGrid w:val="0"/>
        <w:spacing w:line="560" w:lineRule="exact"/>
        <w:rPr>
          <w:rFonts w:ascii="宋体" w:hAnsi="宋体"/>
          <w:sz w:val="28"/>
          <w:szCs w:val="28"/>
          <w:highlight w:val="none"/>
        </w:rPr>
      </w:pPr>
    </w:p>
    <w:p>
      <w:pPr>
        <w:adjustRightInd w:val="0"/>
        <w:snapToGrid w:val="0"/>
        <w:spacing w:line="560" w:lineRule="exact"/>
        <w:rPr>
          <w:rFonts w:ascii="宋体" w:hAnsi="宋体"/>
          <w:sz w:val="28"/>
          <w:szCs w:val="28"/>
          <w:highlight w:val="none"/>
        </w:rPr>
      </w:pPr>
    </w:p>
    <w:p>
      <w:pPr>
        <w:adjustRightInd w:val="0"/>
        <w:snapToGrid w:val="0"/>
        <w:spacing w:line="560" w:lineRule="exact"/>
        <w:ind w:firstLine="4480" w:firstLineChars="1600"/>
        <w:rPr>
          <w:rFonts w:ascii="宋体" w:hAnsi="宋体"/>
          <w:sz w:val="28"/>
          <w:szCs w:val="28"/>
          <w:highlight w:val="none"/>
        </w:rPr>
      </w:pPr>
      <w:r>
        <w:rPr>
          <w:rFonts w:hint="eastAsia" w:ascii="宋体" w:hAnsi="宋体"/>
          <w:sz w:val="28"/>
          <w:szCs w:val="28"/>
          <w:highlight w:val="none"/>
        </w:rPr>
        <w:t>兖矿能源集团股份有限公司董事会</w:t>
      </w:r>
    </w:p>
    <w:p>
      <w:pPr>
        <w:adjustRightInd w:val="0"/>
        <w:snapToGrid w:val="0"/>
        <w:spacing w:line="560" w:lineRule="exact"/>
        <w:ind w:firstLine="5600" w:firstLineChars="2000"/>
        <w:rPr>
          <w:rFonts w:ascii="宋体" w:hAnsi="宋体" w:cs="宋体"/>
          <w:color w:val="000000"/>
          <w:sz w:val="28"/>
          <w:szCs w:val="28"/>
          <w:highlight w:val="none"/>
        </w:rPr>
      </w:pPr>
      <w:r>
        <w:rPr>
          <w:rFonts w:hint="eastAsia" w:ascii="宋体" w:hAnsi="宋体" w:cs="宋体"/>
          <w:color w:val="000000"/>
          <w:sz w:val="28"/>
          <w:szCs w:val="28"/>
          <w:highlight w:val="none"/>
        </w:rPr>
        <w:t>2024年</w:t>
      </w:r>
      <w:r>
        <w:rPr>
          <w:rFonts w:hint="eastAsia" w:ascii="宋体" w:hAnsi="宋体" w:cs="宋体"/>
          <w:color w:val="000000"/>
          <w:sz w:val="28"/>
          <w:szCs w:val="28"/>
          <w:highlight w:val="none"/>
          <w:lang w:val="en-US" w:eastAsia="zh-CN"/>
        </w:rPr>
        <w:t>2</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23</w:t>
      </w:r>
      <w:r>
        <w:rPr>
          <w:rFonts w:hint="eastAsia" w:ascii="宋体" w:hAnsi="宋体" w:cs="宋体"/>
          <w:color w:val="000000"/>
          <w:sz w:val="28"/>
          <w:szCs w:val="28"/>
          <w:highlight w:val="none"/>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KSO_WPS_MARK_KEY" w:val="982162dc-2511-4547-87a6-313a0041ba93"/>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1C51"/>
    <w:rsid w:val="000352B0"/>
    <w:rsid w:val="000370A7"/>
    <w:rsid w:val="00043543"/>
    <w:rsid w:val="00044496"/>
    <w:rsid w:val="0004674E"/>
    <w:rsid w:val="000476C8"/>
    <w:rsid w:val="00050B16"/>
    <w:rsid w:val="000511F3"/>
    <w:rsid w:val="000528FA"/>
    <w:rsid w:val="00052BBC"/>
    <w:rsid w:val="00056597"/>
    <w:rsid w:val="00056E40"/>
    <w:rsid w:val="0005744C"/>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5AEB"/>
    <w:rsid w:val="00156669"/>
    <w:rsid w:val="001609CE"/>
    <w:rsid w:val="001660E6"/>
    <w:rsid w:val="00167509"/>
    <w:rsid w:val="00167E07"/>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46B89"/>
    <w:rsid w:val="0025011E"/>
    <w:rsid w:val="00250B67"/>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2EC4"/>
    <w:rsid w:val="003468C1"/>
    <w:rsid w:val="003475E3"/>
    <w:rsid w:val="003504E3"/>
    <w:rsid w:val="003517CB"/>
    <w:rsid w:val="00353B50"/>
    <w:rsid w:val="00354828"/>
    <w:rsid w:val="00356C7A"/>
    <w:rsid w:val="0036105B"/>
    <w:rsid w:val="00361481"/>
    <w:rsid w:val="003626A8"/>
    <w:rsid w:val="00362AB2"/>
    <w:rsid w:val="00362B84"/>
    <w:rsid w:val="00365905"/>
    <w:rsid w:val="00367782"/>
    <w:rsid w:val="00370C02"/>
    <w:rsid w:val="0037171C"/>
    <w:rsid w:val="003727D6"/>
    <w:rsid w:val="0037389C"/>
    <w:rsid w:val="00374ECD"/>
    <w:rsid w:val="00382979"/>
    <w:rsid w:val="003832E6"/>
    <w:rsid w:val="00383CEA"/>
    <w:rsid w:val="00386052"/>
    <w:rsid w:val="003866E8"/>
    <w:rsid w:val="00390DB7"/>
    <w:rsid w:val="0039344E"/>
    <w:rsid w:val="0039366A"/>
    <w:rsid w:val="00397E1A"/>
    <w:rsid w:val="003A2833"/>
    <w:rsid w:val="003B4E49"/>
    <w:rsid w:val="003B6E18"/>
    <w:rsid w:val="003C0976"/>
    <w:rsid w:val="003C323D"/>
    <w:rsid w:val="003C5316"/>
    <w:rsid w:val="003D2F8D"/>
    <w:rsid w:val="003D41D0"/>
    <w:rsid w:val="003D4C2D"/>
    <w:rsid w:val="003D5C80"/>
    <w:rsid w:val="003D6483"/>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0958"/>
    <w:rsid w:val="00431198"/>
    <w:rsid w:val="00435781"/>
    <w:rsid w:val="0044668E"/>
    <w:rsid w:val="00450237"/>
    <w:rsid w:val="00450DA1"/>
    <w:rsid w:val="004547D2"/>
    <w:rsid w:val="00455889"/>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937BA"/>
    <w:rsid w:val="004A278C"/>
    <w:rsid w:val="004A343E"/>
    <w:rsid w:val="004A41D3"/>
    <w:rsid w:val="004A6538"/>
    <w:rsid w:val="004A6667"/>
    <w:rsid w:val="004B0546"/>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3BA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173B"/>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A7231"/>
    <w:rsid w:val="005B2665"/>
    <w:rsid w:val="005B5482"/>
    <w:rsid w:val="005B7EC3"/>
    <w:rsid w:val="005C147B"/>
    <w:rsid w:val="005C2F10"/>
    <w:rsid w:val="005C4795"/>
    <w:rsid w:val="005C5A2A"/>
    <w:rsid w:val="005C6140"/>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015A"/>
    <w:rsid w:val="006138C4"/>
    <w:rsid w:val="006151AF"/>
    <w:rsid w:val="00616A31"/>
    <w:rsid w:val="006175CB"/>
    <w:rsid w:val="00620B39"/>
    <w:rsid w:val="006232DD"/>
    <w:rsid w:val="0062459F"/>
    <w:rsid w:val="006257C3"/>
    <w:rsid w:val="00625B3C"/>
    <w:rsid w:val="006264A2"/>
    <w:rsid w:val="006308BF"/>
    <w:rsid w:val="00630CA2"/>
    <w:rsid w:val="00630DD5"/>
    <w:rsid w:val="00630DD6"/>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4522"/>
    <w:rsid w:val="00695716"/>
    <w:rsid w:val="00696B88"/>
    <w:rsid w:val="00697447"/>
    <w:rsid w:val="006A0A7C"/>
    <w:rsid w:val="006A1145"/>
    <w:rsid w:val="006A19E1"/>
    <w:rsid w:val="006A3B24"/>
    <w:rsid w:val="006B4BC2"/>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3044"/>
    <w:rsid w:val="0077592E"/>
    <w:rsid w:val="00777258"/>
    <w:rsid w:val="00777BD6"/>
    <w:rsid w:val="00777CCA"/>
    <w:rsid w:val="0078750B"/>
    <w:rsid w:val="00793A51"/>
    <w:rsid w:val="007944F2"/>
    <w:rsid w:val="00794620"/>
    <w:rsid w:val="00794C77"/>
    <w:rsid w:val="00795BF6"/>
    <w:rsid w:val="007A1165"/>
    <w:rsid w:val="007A2AC9"/>
    <w:rsid w:val="007A5ACB"/>
    <w:rsid w:val="007A5FC6"/>
    <w:rsid w:val="007A6B1B"/>
    <w:rsid w:val="007A7C8D"/>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6AA1"/>
    <w:rsid w:val="007E71B2"/>
    <w:rsid w:val="007E7438"/>
    <w:rsid w:val="007E7834"/>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654"/>
    <w:rsid w:val="00826BCA"/>
    <w:rsid w:val="00827EC9"/>
    <w:rsid w:val="0083162E"/>
    <w:rsid w:val="00831A55"/>
    <w:rsid w:val="00831D1C"/>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A771E"/>
    <w:rsid w:val="008B1914"/>
    <w:rsid w:val="008B3792"/>
    <w:rsid w:val="008B4BE6"/>
    <w:rsid w:val="008C04EB"/>
    <w:rsid w:val="008C07AE"/>
    <w:rsid w:val="008C0D2C"/>
    <w:rsid w:val="008C3203"/>
    <w:rsid w:val="008C3858"/>
    <w:rsid w:val="008C3905"/>
    <w:rsid w:val="008C3A2C"/>
    <w:rsid w:val="008C4C3D"/>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06C92"/>
    <w:rsid w:val="00913BDF"/>
    <w:rsid w:val="009204E7"/>
    <w:rsid w:val="009210CF"/>
    <w:rsid w:val="00922772"/>
    <w:rsid w:val="00923ED4"/>
    <w:rsid w:val="00927C54"/>
    <w:rsid w:val="009307E8"/>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9F"/>
    <w:rsid w:val="009801AF"/>
    <w:rsid w:val="00981373"/>
    <w:rsid w:val="00982221"/>
    <w:rsid w:val="00983538"/>
    <w:rsid w:val="00986BD3"/>
    <w:rsid w:val="0098747D"/>
    <w:rsid w:val="00990237"/>
    <w:rsid w:val="009941A1"/>
    <w:rsid w:val="00995522"/>
    <w:rsid w:val="009959E6"/>
    <w:rsid w:val="009A32DC"/>
    <w:rsid w:val="009A3588"/>
    <w:rsid w:val="009A415A"/>
    <w:rsid w:val="009A58A6"/>
    <w:rsid w:val="009A6ABA"/>
    <w:rsid w:val="009A7F37"/>
    <w:rsid w:val="009B1A16"/>
    <w:rsid w:val="009B3573"/>
    <w:rsid w:val="009B4C26"/>
    <w:rsid w:val="009B78C5"/>
    <w:rsid w:val="009C005F"/>
    <w:rsid w:val="009C0AE3"/>
    <w:rsid w:val="009C17C1"/>
    <w:rsid w:val="009C5C9F"/>
    <w:rsid w:val="009C6448"/>
    <w:rsid w:val="009C74B0"/>
    <w:rsid w:val="009D02E1"/>
    <w:rsid w:val="009D2963"/>
    <w:rsid w:val="009D2CCF"/>
    <w:rsid w:val="009D2EF6"/>
    <w:rsid w:val="009D35C0"/>
    <w:rsid w:val="009D73F1"/>
    <w:rsid w:val="009D7E9A"/>
    <w:rsid w:val="009D7EA2"/>
    <w:rsid w:val="009E19E9"/>
    <w:rsid w:val="009E42CB"/>
    <w:rsid w:val="009E4682"/>
    <w:rsid w:val="009E4D5A"/>
    <w:rsid w:val="009E5657"/>
    <w:rsid w:val="009E5693"/>
    <w:rsid w:val="009E7113"/>
    <w:rsid w:val="009E7CB4"/>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17F94"/>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87C5B"/>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B7B05"/>
    <w:rsid w:val="00AC329E"/>
    <w:rsid w:val="00AC387B"/>
    <w:rsid w:val="00AC5B04"/>
    <w:rsid w:val="00AC6ACF"/>
    <w:rsid w:val="00AC785E"/>
    <w:rsid w:val="00AD1732"/>
    <w:rsid w:val="00AD1A33"/>
    <w:rsid w:val="00AD2E1A"/>
    <w:rsid w:val="00AD463C"/>
    <w:rsid w:val="00AD47CD"/>
    <w:rsid w:val="00AD4EB9"/>
    <w:rsid w:val="00AD6C05"/>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44564"/>
    <w:rsid w:val="00B51371"/>
    <w:rsid w:val="00B60411"/>
    <w:rsid w:val="00B60906"/>
    <w:rsid w:val="00B63297"/>
    <w:rsid w:val="00B63472"/>
    <w:rsid w:val="00B7141E"/>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2CC7"/>
    <w:rsid w:val="00C05634"/>
    <w:rsid w:val="00C05DEC"/>
    <w:rsid w:val="00C07942"/>
    <w:rsid w:val="00C07CAB"/>
    <w:rsid w:val="00C1004E"/>
    <w:rsid w:val="00C10305"/>
    <w:rsid w:val="00C12439"/>
    <w:rsid w:val="00C13779"/>
    <w:rsid w:val="00C14E3C"/>
    <w:rsid w:val="00C16ECD"/>
    <w:rsid w:val="00C1713D"/>
    <w:rsid w:val="00C236B2"/>
    <w:rsid w:val="00C268EA"/>
    <w:rsid w:val="00C27170"/>
    <w:rsid w:val="00C30320"/>
    <w:rsid w:val="00C346EF"/>
    <w:rsid w:val="00C40718"/>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650"/>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1E3A"/>
    <w:rsid w:val="00CF31FF"/>
    <w:rsid w:val="00CF594C"/>
    <w:rsid w:val="00CF770E"/>
    <w:rsid w:val="00D0544D"/>
    <w:rsid w:val="00D061EF"/>
    <w:rsid w:val="00D06F19"/>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E17A1"/>
    <w:rsid w:val="00DE523A"/>
    <w:rsid w:val="00DE6B52"/>
    <w:rsid w:val="00DE79C1"/>
    <w:rsid w:val="00DF002F"/>
    <w:rsid w:val="00DF0415"/>
    <w:rsid w:val="00DF4EC6"/>
    <w:rsid w:val="00DF65CB"/>
    <w:rsid w:val="00DF70D7"/>
    <w:rsid w:val="00E0067C"/>
    <w:rsid w:val="00E00F1E"/>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3A52"/>
    <w:rsid w:val="00E375A9"/>
    <w:rsid w:val="00E41C44"/>
    <w:rsid w:val="00E45BB3"/>
    <w:rsid w:val="00E5124D"/>
    <w:rsid w:val="00E51F9A"/>
    <w:rsid w:val="00E520CE"/>
    <w:rsid w:val="00E52A71"/>
    <w:rsid w:val="00E5771C"/>
    <w:rsid w:val="00E60BA0"/>
    <w:rsid w:val="00E6217F"/>
    <w:rsid w:val="00E63007"/>
    <w:rsid w:val="00E63088"/>
    <w:rsid w:val="00E63D89"/>
    <w:rsid w:val="00E649AD"/>
    <w:rsid w:val="00E66A53"/>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15E72"/>
    <w:rsid w:val="00F21EF0"/>
    <w:rsid w:val="00F23A54"/>
    <w:rsid w:val="00F2524B"/>
    <w:rsid w:val="00F259FF"/>
    <w:rsid w:val="00F260E9"/>
    <w:rsid w:val="00F2675B"/>
    <w:rsid w:val="00F313B8"/>
    <w:rsid w:val="00F3237F"/>
    <w:rsid w:val="00F32597"/>
    <w:rsid w:val="00F3646B"/>
    <w:rsid w:val="00F42221"/>
    <w:rsid w:val="00F43DDB"/>
    <w:rsid w:val="00F44480"/>
    <w:rsid w:val="00F45436"/>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15A7"/>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14F"/>
    <w:rsid w:val="00FF79C5"/>
    <w:rsid w:val="023338D1"/>
    <w:rsid w:val="04AD5FA9"/>
    <w:rsid w:val="050B287F"/>
    <w:rsid w:val="075D5490"/>
    <w:rsid w:val="0A801C94"/>
    <w:rsid w:val="0AAB2942"/>
    <w:rsid w:val="0B3138BB"/>
    <w:rsid w:val="0C04759B"/>
    <w:rsid w:val="0DA53A1F"/>
    <w:rsid w:val="1130228A"/>
    <w:rsid w:val="117F169A"/>
    <w:rsid w:val="133F6234"/>
    <w:rsid w:val="140F1BAC"/>
    <w:rsid w:val="1522312B"/>
    <w:rsid w:val="15AC13CF"/>
    <w:rsid w:val="162F52D0"/>
    <w:rsid w:val="16C11479"/>
    <w:rsid w:val="176470DA"/>
    <w:rsid w:val="190D0B94"/>
    <w:rsid w:val="193B4921"/>
    <w:rsid w:val="1CB45C7B"/>
    <w:rsid w:val="1D1E28B9"/>
    <w:rsid w:val="1EC50CBF"/>
    <w:rsid w:val="1F672539"/>
    <w:rsid w:val="20410E61"/>
    <w:rsid w:val="20A81A74"/>
    <w:rsid w:val="22511DC1"/>
    <w:rsid w:val="227D42FB"/>
    <w:rsid w:val="234A2E0A"/>
    <w:rsid w:val="248F084E"/>
    <w:rsid w:val="27894F33"/>
    <w:rsid w:val="2868322B"/>
    <w:rsid w:val="2D106308"/>
    <w:rsid w:val="2E7A7E5B"/>
    <w:rsid w:val="2F4A3C93"/>
    <w:rsid w:val="334C64FD"/>
    <w:rsid w:val="33F71DD9"/>
    <w:rsid w:val="34963A11"/>
    <w:rsid w:val="35AB0EC5"/>
    <w:rsid w:val="3B8A1413"/>
    <w:rsid w:val="3C334E6D"/>
    <w:rsid w:val="3D0D62A8"/>
    <w:rsid w:val="3E7D6A88"/>
    <w:rsid w:val="42567D71"/>
    <w:rsid w:val="427315D3"/>
    <w:rsid w:val="481A487E"/>
    <w:rsid w:val="48947988"/>
    <w:rsid w:val="48AB1DFD"/>
    <w:rsid w:val="48EE54A6"/>
    <w:rsid w:val="4A7D6C4A"/>
    <w:rsid w:val="4B8A335B"/>
    <w:rsid w:val="4BBA3C84"/>
    <w:rsid w:val="4BC5548B"/>
    <w:rsid w:val="4C53058E"/>
    <w:rsid w:val="4C6A3176"/>
    <w:rsid w:val="4CFC4C6D"/>
    <w:rsid w:val="52AF255B"/>
    <w:rsid w:val="59373D1E"/>
    <w:rsid w:val="59867935"/>
    <w:rsid w:val="5A1018D3"/>
    <w:rsid w:val="5A3329F0"/>
    <w:rsid w:val="5CE310AD"/>
    <w:rsid w:val="5D5D3774"/>
    <w:rsid w:val="5DE007BC"/>
    <w:rsid w:val="60D567B9"/>
    <w:rsid w:val="616616D2"/>
    <w:rsid w:val="61790E2E"/>
    <w:rsid w:val="62ED2922"/>
    <w:rsid w:val="630522E1"/>
    <w:rsid w:val="641B50D0"/>
    <w:rsid w:val="64854517"/>
    <w:rsid w:val="652660A7"/>
    <w:rsid w:val="6759642A"/>
    <w:rsid w:val="67E33FF0"/>
    <w:rsid w:val="692308DC"/>
    <w:rsid w:val="6ABD66AF"/>
    <w:rsid w:val="6C1958B7"/>
    <w:rsid w:val="6D3E1F4F"/>
    <w:rsid w:val="6F154BE6"/>
    <w:rsid w:val="71081781"/>
    <w:rsid w:val="718457FA"/>
    <w:rsid w:val="73491624"/>
    <w:rsid w:val="74A072EF"/>
    <w:rsid w:val="75CD7A22"/>
    <w:rsid w:val="765E353C"/>
    <w:rsid w:val="76FF13B0"/>
    <w:rsid w:val="790E2FED"/>
    <w:rsid w:val="79220A6E"/>
    <w:rsid w:val="7A1A0ECC"/>
    <w:rsid w:val="7B2A76F2"/>
    <w:rsid w:val="7C594C70"/>
    <w:rsid w:val="7F426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Colorful 2"/>
    <w:basedOn w:val="1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字符"/>
    <w:link w:val="10"/>
    <w:qFormat/>
    <w:uiPriority w:val="0"/>
    <w:rPr>
      <w:kern w:val="2"/>
      <w:sz w:val="18"/>
      <w:szCs w:val="18"/>
    </w:rPr>
  </w:style>
  <w:style w:type="character" w:customStyle="1" w:styleId="28">
    <w:name w:val="批注文字 字符"/>
    <w:link w:val="3"/>
    <w:semiHidden/>
    <w:qFormat/>
    <w:uiPriority w:val="99"/>
    <w:rPr>
      <w:kern w:val="2"/>
      <w:sz w:val="21"/>
    </w:rPr>
  </w:style>
  <w:style w:type="character" w:customStyle="1" w:styleId="29">
    <w:name w:val="日期 字符"/>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修订2"/>
    <w:hidden/>
    <w:semiHidden/>
    <w:qFormat/>
    <w:uiPriority w:val="99"/>
    <w:rPr>
      <w:rFonts w:ascii="Times New Roman" w:hAnsi="Times New Roman" w:eastAsia="宋体" w:cs="Times New Roman"/>
      <w:kern w:val="2"/>
      <w:sz w:val="21"/>
      <w:lang w:val="en-US" w:eastAsia="zh-CN" w:bidi="ar-SA"/>
    </w:rPr>
  </w:style>
  <w:style w:type="paragraph" w:customStyle="1" w:styleId="3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5</Pages>
  <Words>1976</Words>
  <Characters>2259</Characters>
  <Lines>17</Lines>
  <Paragraphs>4</Paragraphs>
  <TotalTime>2</TotalTime>
  <ScaleCrop>false</ScaleCrop>
  <LinksUpToDate>false</LinksUpToDate>
  <CharactersWithSpaces>2291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2021-03-16T07:58:00Z</dcterms:created>
  <dc:creator>lx</dc:creator>
  <cp:lastModifiedBy>许玉崑</cp:lastModifiedBy>
  <cp:lastPrinted>2023-12-12T02:59:00Z</cp:lastPrinted>
  <dcterms:modified xsi:type="dcterms:W3CDTF">2024-02-23T03:46:36Z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</vt:lpwstr>
  </property>
  <property fmtid="{D5CDD505-2E9C-101B-9397-08002B2CF9AE}" pid="3" name="KSOProductBuildVer">
    <vt:lpwstr>2052-11.1.0.14309</vt:lpwstr>
  </property>
  <property fmtid="{D5CDD505-2E9C-101B-9397-08002B2CF9AE}" pid="4" name="ICV">
    <vt:lpwstr>38F5FB2365374FBCA86077C094121632_13</vt:lpwstr>
  </property>
</Properties>
</file>