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highlight w:val="none"/>
          <w:lang w:val="en-US"/>
        </w:rPr>
      </w:pPr>
    </w:p>
    <w:p>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w:t>
      </w:r>
      <w:r>
        <w:rPr>
          <w:rFonts w:hint="eastAsia" w:ascii="黑体" w:hAnsi="黑体" w:eastAsia="黑体"/>
          <w:color w:val="000000"/>
          <w:highlight w:val="none"/>
          <w:lang w:val="en-US" w:eastAsia="zh-CN"/>
        </w:rPr>
        <w:t>4</w:t>
      </w:r>
      <w:r>
        <w:rPr>
          <w:rFonts w:ascii="黑体" w:hAnsi="黑体" w:eastAsia="黑体"/>
          <w:color w:val="000000"/>
          <w:highlight w:val="none"/>
        </w:rPr>
        <w:t>-</w:t>
      </w:r>
      <w:r>
        <w:rPr>
          <w:rFonts w:hint="default" w:ascii="黑体" w:hAnsi="黑体" w:eastAsia="黑体"/>
          <w:color w:val="000000"/>
          <w:highlight w:val="none"/>
          <w:lang w:val="en-US"/>
        </w:rPr>
        <w:t>0</w:t>
      </w:r>
      <w:r>
        <w:rPr>
          <w:rFonts w:hint="eastAsia" w:ascii="黑体" w:hAnsi="黑体" w:eastAsia="黑体"/>
          <w:color w:val="000000"/>
          <w:highlight w:val="none"/>
          <w:lang w:val="en-US" w:eastAsia="zh-CN"/>
        </w:rPr>
        <w:t>02</w:t>
      </w:r>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auto"/>
          <w:sz w:val="28"/>
          <w:szCs w:val="28"/>
          <w:highlight w:val="none"/>
          <w:lang w:eastAsia="zh-CN"/>
        </w:rPr>
        <w:t>兖煤万福能源有限公司（“万福能源”）、</w:t>
      </w:r>
      <w:r>
        <w:rPr>
          <w:rFonts w:hint="eastAsia" w:ascii="宋体" w:hAnsi="宋体"/>
          <w:color w:val="000000"/>
          <w:sz w:val="28"/>
          <w:szCs w:val="28"/>
          <w:highlight w:val="none"/>
        </w:rPr>
        <w:t>兖煤澳大利亚有限公司（“兖煤澳洲”）及其子公司</w:t>
      </w:r>
      <w:r>
        <w:rPr>
          <w:rFonts w:hint="eastAsia" w:ascii="宋体" w:hAnsi="宋体"/>
          <w:color w:val="000000"/>
          <w:sz w:val="28"/>
          <w:szCs w:val="28"/>
          <w:highlight w:val="none"/>
          <w:lang w:val="en-US" w:eastAsia="zh-CN"/>
        </w:rPr>
        <w:t>等</w:t>
      </w:r>
      <w:r>
        <w:rPr>
          <w:rFonts w:hint="eastAsia" w:ascii="宋体" w:hAnsi="宋体"/>
          <w:color w:val="auto"/>
          <w:sz w:val="28"/>
          <w:szCs w:val="28"/>
          <w:highlight w:val="none"/>
        </w:rPr>
        <w:t>兖矿能源集团股份有限公司（“兖矿能源”“公司”）</w:t>
      </w:r>
      <w:r>
        <w:rPr>
          <w:rFonts w:hint="eastAsia" w:ascii="宋体" w:hAnsi="宋体"/>
          <w:color w:val="000000"/>
          <w:sz w:val="28"/>
          <w:szCs w:val="28"/>
          <w:highlight w:val="none"/>
        </w:rPr>
        <w:t>澳洲附属公司</w:t>
      </w:r>
      <w:r>
        <w:rPr>
          <w:rFonts w:hint="eastAsia" w:ascii="宋体" w:hAnsi="宋体"/>
          <w:color w:val="auto"/>
          <w:sz w:val="28"/>
          <w:szCs w:val="28"/>
          <w:highlight w:val="none"/>
        </w:rPr>
        <w:t>。上述被担保人均为兖矿能源</w:t>
      </w:r>
      <w:r>
        <w:rPr>
          <w:rFonts w:hint="eastAsia" w:ascii="宋体" w:hAnsi="宋体"/>
          <w:color w:val="auto"/>
          <w:sz w:val="28"/>
          <w:szCs w:val="28"/>
          <w:highlight w:val="none"/>
          <w:lang w:val="en-US" w:eastAsia="zh-CN"/>
        </w:rPr>
        <w:t>权属</w:t>
      </w:r>
      <w:r>
        <w:rPr>
          <w:rFonts w:hint="eastAsia" w:ascii="宋体" w:hAnsi="宋体"/>
          <w:color w:val="auto"/>
          <w:sz w:val="28"/>
          <w:szCs w:val="28"/>
          <w:highlight w:val="none"/>
        </w:rPr>
        <w:t>子公司，</w:t>
      </w:r>
      <w:r>
        <w:rPr>
          <w:rFonts w:hint="eastAsia" w:ascii="宋体" w:hAnsi="宋体"/>
          <w:color w:val="000000"/>
          <w:sz w:val="28"/>
          <w:szCs w:val="28"/>
          <w:highlight w:val="none"/>
        </w:rPr>
        <w:t>其中</w:t>
      </w:r>
      <w:r>
        <w:rPr>
          <w:rFonts w:hint="eastAsia" w:ascii="宋体" w:hAnsi="宋体"/>
          <w:color w:val="000000"/>
          <w:sz w:val="28"/>
          <w:szCs w:val="28"/>
          <w:highlight w:val="none"/>
          <w:lang w:val="en-US" w:eastAsia="zh-CN"/>
        </w:rPr>
        <w:t>兖矿能源通过子公司——兖煤菏泽能化有限公司间接</w:t>
      </w:r>
      <w:r>
        <w:rPr>
          <w:rFonts w:hint="eastAsia" w:ascii="宋体" w:hAnsi="宋体"/>
          <w:color w:val="000000"/>
          <w:sz w:val="28"/>
          <w:szCs w:val="28"/>
          <w:highlight w:val="none"/>
        </w:rPr>
        <w:t>持有</w:t>
      </w:r>
      <w:r>
        <w:rPr>
          <w:rFonts w:hint="eastAsia" w:ascii="宋体" w:hAnsi="宋体"/>
          <w:color w:val="000000"/>
          <w:sz w:val="28"/>
          <w:szCs w:val="28"/>
          <w:highlight w:val="none"/>
          <w:lang w:val="en-US" w:eastAsia="zh-CN"/>
        </w:rPr>
        <w:t>万福能源90</w:t>
      </w:r>
      <w:r>
        <w:rPr>
          <w:rFonts w:ascii="宋体" w:hAnsi="宋体"/>
          <w:color w:val="000000"/>
          <w:sz w:val="28"/>
          <w:szCs w:val="28"/>
          <w:highlight w:val="none"/>
        </w:rPr>
        <w:t>%股权</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直接</w:t>
      </w:r>
      <w:r>
        <w:rPr>
          <w:rFonts w:hint="eastAsia" w:ascii="宋体" w:hAnsi="宋体"/>
          <w:color w:val="000000"/>
          <w:sz w:val="28"/>
          <w:szCs w:val="28"/>
          <w:highlight w:val="none"/>
        </w:rPr>
        <w:t>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b w:val="0"/>
          <w:color w:val="000000"/>
          <w:sz w:val="28"/>
          <w:szCs w:val="28"/>
          <w:highlight w:val="none"/>
          <w:lang w:val="en-US" w:eastAsia="zh-CN"/>
        </w:rPr>
        <w:t>12</w:t>
      </w:r>
      <w:r>
        <w:rPr>
          <w:rFonts w:hint="eastAsia" w:ascii="宋体" w:hAnsi="宋体"/>
          <w:b w:val="0"/>
          <w:bCs w:val="0"/>
          <w:color w:val="000000"/>
          <w:sz w:val="28"/>
          <w:szCs w:val="28"/>
          <w:highlight w:val="none"/>
          <w:lang w:val="en-US" w:eastAsia="zh-CN"/>
        </w:rPr>
        <w:t>月份</w:t>
      </w:r>
      <w:r>
        <w:rPr>
          <w:rFonts w:hint="eastAsia" w:ascii="宋体" w:hAnsi="宋体"/>
          <w:b w:val="0"/>
          <w:bCs/>
          <w:color w:val="000000"/>
          <w:sz w:val="28"/>
          <w:szCs w:val="28"/>
          <w:highlight w:val="none"/>
          <w:lang w:val="en-US" w:eastAsia="zh-CN"/>
        </w:rPr>
        <w:t>（</w:t>
      </w:r>
      <w:r>
        <w:rPr>
          <w:rFonts w:hint="eastAsia" w:ascii="宋体" w:hAnsi="宋体"/>
          <w:color w:val="000000"/>
          <w:sz w:val="28"/>
          <w:szCs w:val="28"/>
          <w:highlight w:val="none"/>
        </w:rPr>
        <w:t>自202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12</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12</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）公司</w:t>
      </w:r>
      <w:r>
        <w:rPr>
          <w:rFonts w:hint="eastAsia" w:ascii="宋体" w:hAnsi="宋体"/>
          <w:color w:val="000000"/>
          <w:sz w:val="28"/>
          <w:szCs w:val="28"/>
          <w:highlight w:val="none"/>
        </w:rPr>
        <w:t>为</w:t>
      </w:r>
      <w:r>
        <w:rPr>
          <w:rFonts w:hint="eastAsia" w:ascii="宋体" w:hAnsi="宋体"/>
          <w:color w:val="000000"/>
          <w:sz w:val="28"/>
          <w:szCs w:val="28"/>
          <w:highlight w:val="none"/>
          <w:lang w:eastAsia="zh-CN"/>
        </w:rPr>
        <w:t>万福能源</w:t>
      </w:r>
      <w:r>
        <w:rPr>
          <w:rFonts w:hint="eastAsia" w:ascii="宋体" w:hAnsi="宋体"/>
          <w:color w:val="000000"/>
          <w:sz w:val="28"/>
          <w:szCs w:val="28"/>
          <w:highlight w:val="none"/>
        </w:rPr>
        <w:t>提供担保金额为人民币</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亿元；截至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12</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公司</w:t>
      </w:r>
      <w:r>
        <w:rPr>
          <w:rFonts w:hint="eastAsia" w:ascii="宋体" w:hAnsi="宋体"/>
          <w:color w:val="000000"/>
          <w:sz w:val="28"/>
          <w:szCs w:val="28"/>
          <w:highlight w:val="none"/>
        </w:rPr>
        <w:t>为</w:t>
      </w:r>
      <w:r>
        <w:rPr>
          <w:rFonts w:hint="eastAsia" w:ascii="宋体" w:hAnsi="宋体"/>
          <w:color w:val="000000"/>
          <w:sz w:val="28"/>
          <w:szCs w:val="28"/>
          <w:highlight w:val="none"/>
          <w:lang w:eastAsia="zh-CN"/>
        </w:rPr>
        <w:t>万福能源</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亿元；截至202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ascii="宋体" w:hAnsi="宋体"/>
          <w:color w:val="000000"/>
          <w:sz w:val="28"/>
          <w:szCs w:val="28"/>
          <w:highlight w:val="none"/>
        </w:rPr>
        <w:t>1</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日，兖煤澳洲为其子公司提供担保余额为600万澳元，兖煤澳洲下属子公司为兖矿能源澳洲附属公司提供担保余额为9.</w:t>
      </w:r>
      <w:r>
        <w:rPr>
          <w:rFonts w:hint="eastAsia" w:ascii="宋体" w:hAnsi="宋体"/>
          <w:color w:val="000000"/>
          <w:sz w:val="28"/>
          <w:szCs w:val="28"/>
          <w:highlight w:val="none"/>
          <w:lang w:val="en-US" w:eastAsia="zh-CN"/>
        </w:rPr>
        <w:t>14</w:t>
      </w:r>
      <w:r>
        <w:rPr>
          <w:rFonts w:hint="eastAsia" w:ascii="宋体" w:hAnsi="宋体"/>
          <w:color w:val="000000"/>
          <w:sz w:val="28"/>
          <w:szCs w:val="28"/>
          <w:highlight w:val="none"/>
        </w:rPr>
        <w:t>亿澳元，担保余额合计为9.</w:t>
      </w:r>
      <w:r>
        <w:rPr>
          <w:rFonts w:hint="eastAsia" w:ascii="宋体" w:hAnsi="宋体"/>
          <w:color w:val="000000"/>
          <w:sz w:val="28"/>
          <w:szCs w:val="28"/>
          <w:highlight w:val="none"/>
          <w:lang w:val="en-US" w:eastAsia="zh-CN"/>
        </w:rPr>
        <w:t>20</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 w:val="0"/>
          <w:bCs/>
          <w:color w:val="000000"/>
          <w:sz w:val="28"/>
          <w:szCs w:val="28"/>
          <w:highlight w:val="none"/>
          <w:lang w:val="en-US" w:eastAsia="zh-CN"/>
        </w:rPr>
        <w:t>是</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w:t>
      </w:r>
      <w:r>
        <w:rPr>
          <w:rFonts w:hint="eastAsia" w:ascii="宋体" w:hAnsi="宋体"/>
          <w:bCs/>
          <w:color w:val="000000"/>
          <w:sz w:val="28"/>
          <w:szCs w:val="28"/>
          <w:highlight w:val="none"/>
          <w:lang w:val="en-US" w:eastAsia="zh-CN"/>
        </w:rPr>
        <w:t>权属</w:t>
      </w:r>
      <w:r>
        <w:rPr>
          <w:rFonts w:hint="eastAsia" w:ascii="宋体" w:hAnsi="宋体"/>
          <w:bCs/>
          <w:color w:val="000000"/>
          <w:sz w:val="28"/>
          <w:szCs w:val="28"/>
          <w:highlight w:val="none"/>
        </w:rPr>
        <w:t>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自</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12</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12</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公司为万福能源</w:t>
      </w:r>
      <w:r>
        <w:rPr>
          <w:rFonts w:hint="eastAsia" w:ascii="宋体" w:hAnsi="宋体"/>
          <w:color w:val="000000"/>
          <w:sz w:val="28"/>
          <w:szCs w:val="28"/>
          <w:highlight w:val="none"/>
        </w:rPr>
        <w:t>提供人民币</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亿元融资担保；截至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12</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公司为万福能源</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亿元。</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ascii="宋体" w:hAnsi="宋体"/>
          <w:color w:val="000000"/>
          <w:sz w:val="28"/>
          <w:szCs w:val="28"/>
          <w:highlight w:val="none"/>
        </w:rPr>
        <w:t>1</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日，兖煤澳洲为其子公司提供担保余额为600万澳元，兖煤澳洲下属子公司以银行保函和保险保函形式为兖矿能源澳洲附属公司提供担保余额为9.</w:t>
      </w:r>
      <w:r>
        <w:rPr>
          <w:rFonts w:hint="eastAsia" w:ascii="宋体" w:hAnsi="宋体"/>
          <w:color w:val="000000"/>
          <w:sz w:val="28"/>
          <w:szCs w:val="28"/>
          <w:highlight w:val="none"/>
          <w:lang w:val="en-US" w:eastAsia="zh-CN"/>
        </w:rPr>
        <w:t>14</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前述担保余额合计为9.</w:t>
      </w:r>
      <w:r>
        <w:rPr>
          <w:rFonts w:hint="eastAsia" w:ascii="宋体" w:hAnsi="宋体"/>
          <w:color w:val="000000"/>
          <w:sz w:val="28"/>
          <w:szCs w:val="28"/>
          <w:highlight w:val="none"/>
          <w:lang w:val="en-US" w:eastAsia="zh-CN"/>
        </w:rPr>
        <w:t>20</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年3月</w:t>
      </w:r>
      <w:r>
        <w:rPr>
          <w:rFonts w:hint="eastAsia" w:ascii="宋体" w:hAnsi="宋体"/>
          <w:color w:val="000000"/>
          <w:sz w:val="28"/>
          <w:szCs w:val="28"/>
          <w:highlight w:val="none"/>
          <w:lang w:val="en-US" w:eastAsia="zh-CN"/>
        </w:rPr>
        <w:t>24</w:t>
      </w:r>
      <w:r>
        <w:rPr>
          <w:rFonts w:hint="eastAsia" w:ascii="宋体" w:hAnsi="宋体"/>
          <w:color w:val="000000"/>
          <w:sz w:val="28"/>
          <w:szCs w:val="28"/>
          <w:highlight w:val="none"/>
        </w:rPr>
        <w:t>日召开的第八届董事会第二十</w:t>
      </w:r>
      <w:r>
        <w:rPr>
          <w:rFonts w:hint="eastAsia" w:ascii="宋体" w:hAnsi="宋体"/>
          <w:color w:val="000000"/>
          <w:sz w:val="28"/>
          <w:szCs w:val="28"/>
          <w:highlight w:val="none"/>
          <w:lang w:val="en-US" w:eastAsia="zh-CN"/>
        </w:rPr>
        <w:t>七</w:t>
      </w:r>
      <w:r>
        <w:rPr>
          <w:rFonts w:hint="eastAsia" w:ascii="宋体" w:hAnsi="宋体"/>
          <w:color w:val="000000"/>
          <w:sz w:val="28"/>
          <w:szCs w:val="28"/>
          <w:highlight w:val="none"/>
        </w:rPr>
        <w:t>次会议、于20</w:t>
      </w:r>
      <w:r>
        <w:rPr>
          <w:rFonts w:ascii="宋体" w:hAnsi="宋体"/>
          <w:color w:val="000000"/>
          <w:sz w:val="28"/>
          <w:szCs w:val="28"/>
          <w:highlight w:val="none"/>
        </w:rPr>
        <w:t>2</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w:t>
      </w:r>
      <w:r>
        <w:rPr>
          <w:rFonts w:hint="eastAsia" w:ascii="宋体" w:hAnsi="宋体"/>
          <w:color w:val="000000"/>
          <w:sz w:val="28"/>
          <w:szCs w:val="28"/>
          <w:highlight w:val="none"/>
          <w:lang w:val="en-US" w:eastAsia="zh-CN"/>
        </w:rPr>
        <w:t>兖矿能源</w:t>
      </w:r>
      <w:r>
        <w:rPr>
          <w:rFonts w:hint="eastAsia" w:ascii="宋体" w:hAnsi="宋体"/>
          <w:color w:val="000000"/>
          <w:sz w:val="28"/>
          <w:szCs w:val="28"/>
          <w:highlight w:val="none"/>
        </w:rPr>
        <w:t>澳洲附属公司提供不超过1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Lines="50" w:afterLines="50" w:line="520" w:lineRule="exact"/>
        <w:ind w:firstLine="560" w:firstLineChars="200"/>
        <w:rPr>
          <w:rFonts w:hint="eastAsia" w:ascii="楷体" w:hAnsi="楷体" w:eastAsia="楷体"/>
          <w:sz w:val="28"/>
          <w:szCs w:val="28"/>
          <w:highlight w:val="none"/>
        </w:rPr>
      </w:pPr>
      <w:r>
        <w:rPr>
          <w:rFonts w:hint="eastAsia" w:ascii="楷体" w:hAnsi="楷体" w:eastAsia="楷体"/>
          <w:sz w:val="28"/>
          <w:szCs w:val="28"/>
          <w:highlight w:val="none"/>
        </w:rPr>
        <w:t>有关详情请见公司日期为202</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24</w:t>
      </w:r>
      <w:r>
        <w:rPr>
          <w:rFonts w:hint="eastAsia" w:ascii="楷体" w:hAnsi="楷体" w:eastAsia="楷体"/>
          <w:sz w:val="28"/>
          <w:szCs w:val="28"/>
          <w:highlight w:val="none"/>
        </w:rPr>
        <w:t>日的公司第八届董事会第二十</w:t>
      </w:r>
      <w:r>
        <w:rPr>
          <w:rFonts w:hint="eastAsia" w:ascii="楷体" w:hAnsi="楷体" w:eastAsia="楷体"/>
          <w:sz w:val="28"/>
          <w:szCs w:val="28"/>
          <w:highlight w:val="none"/>
          <w:lang w:val="en-US" w:eastAsia="zh-CN"/>
        </w:rPr>
        <w:t>七</w:t>
      </w:r>
      <w:r>
        <w:rPr>
          <w:rFonts w:hint="eastAsia" w:ascii="楷体" w:hAnsi="楷体" w:eastAsia="楷体"/>
          <w:sz w:val="28"/>
          <w:szCs w:val="28"/>
          <w:highlight w:val="none"/>
        </w:rPr>
        <w:t>次会议决议公告、关于向子公司提供融资担保和授权兖煤澳洲及其子公司向兖矿能源澳洲附属公司提供日常经营担保的公告，日期为202</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lang w:val="en-US" w:eastAsia="zh-CN"/>
        </w:rPr>
        <w:t>2</w:t>
      </w:r>
      <w:r>
        <w:rPr>
          <w:rFonts w:hint="eastAsia" w:ascii="楷体" w:hAnsi="楷体" w:eastAsia="楷体"/>
          <w:sz w:val="28"/>
          <w:szCs w:val="28"/>
          <w:highlight w:val="none"/>
        </w:rPr>
        <w:t>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w:t>
      </w:r>
      <w:r>
        <w:rPr>
          <w:rFonts w:hint="eastAsia" w:ascii="宋体" w:hAnsi="宋体"/>
          <w:b/>
          <w:color w:val="000000"/>
          <w:sz w:val="28"/>
          <w:szCs w:val="28"/>
          <w:highlight w:val="none"/>
          <w:lang w:val="en-US" w:eastAsia="zh-CN"/>
        </w:rPr>
        <w:t>基本</w:t>
      </w:r>
      <w:r>
        <w:rPr>
          <w:rFonts w:hint="eastAsia" w:ascii="宋体" w:hAnsi="宋体"/>
          <w:b/>
          <w:color w:val="000000"/>
          <w:sz w:val="28"/>
          <w:szCs w:val="28"/>
          <w:highlight w:val="none"/>
        </w:rPr>
        <w:t>情况</w:t>
      </w:r>
    </w:p>
    <w:p>
      <w:pPr>
        <w:adjustRightInd w:val="0"/>
        <w:snapToGrid w:val="0"/>
        <w:spacing w:line="520" w:lineRule="exact"/>
        <w:ind w:firstLine="539"/>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rPr>
        <w:t>（一）</w:t>
      </w:r>
      <w:r>
        <w:rPr>
          <w:rFonts w:hint="eastAsia" w:ascii="宋体" w:hAnsi="宋体"/>
          <w:b/>
          <w:color w:val="000000"/>
          <w:sz w:val="28"/>
          <w:szCs w:val="28"/>
          <w:highlight w:val="none"/>
          <w:lang w:eastAsia="zh-CN"/>
        </w:rPr>
        <w:t>万福能源</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lang w:val="en-US" w:eastAsia="zh-CN"/>
        </w:rPr>
        <w:t>万福能源于2017年12月在山东省菏泽市巨野县注册成立，统一社会信用代码91371724MA3F1GKX2M，法定代表人惠凡光，注册资本金人民币6亿元，主要经营业务为煤炭开采、洗选；煤炭及副产品销售；矿山机械设备租赁等，</w:t>
      </w:r>
      <w:r>
        <w:rPr>
          <w:rFonts w:hint="eastAsia" w:ascii="宋体" w:hAnsi="宋体"/>
          <w:color w:val="000000"/>
          <w:sz w:val="28"/>
          <w:szCs w:val="28"/>
          <w:highlight w:val="none"/>
        </w:rPr>
        <w:t>为兖矿能源控股子公司，其股权结构如下：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400" w:lineRule="exact"/>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兖煤菏泽能化有限公司</w:t>
            </w:r>
          </w:p>
        </w:tc>
        <w:tc>
          <w:tcPr>
            <w:tcW w:w="2265" w:type="dxa"/>
            <w:vAlign w:val="center"/>
          </w:tcPr>
          <w:p>
            <w:pPr>
              <w:adjustRightInd w:val="0"/>
              <w:snapToGrid w:val="0"/>
              <w:spacing w:line="560" w:lineRule="exact"/>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5.4</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巨野鲁麟矿业有限公司</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0.6</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6</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adjustRightInd w:val="0"/>
        <w:snapToGrid w:val="0"/>
        <w:spacing w:beforeLines="-2147483648" w:line="360" w:lineRule="atLeast"/>
        <w:ind w:firstLine="420" w:firstLineChars="200"/>
        <w:rPr>
          <w:rFonts w:hint="default" w:ascii="宋体" w:hAnsi="宋体"/>
          <w:color w:val="000000"/>
          <w:spacing w:val="0"/>
          <w:sz w:val="21"/>
          <w:szCs w:val="21"/>
          <w:highlight w:val="none"/>
          <w:lang w:val="en-US" w:eastAsia="zh-CN"/>
        </w:rPr>
      </w:pPr>
      <w:r>
        <w:rPr>
          <w:rFonts w:hint="eastAsia" w:ascii="宋体" w:hAnsi="宋体"/>
          <w:color w:val="000000"/>
          <w:spacing w:val="0"/>
          <w:sz w:val="21"/>
          <w:szCs w:val="21"/>
          <w:highlight w:val="none"/>
          <w:lang w:val="en-US" w:eastAsia="zh-CN"/>
        </w:rPr>
        <w:t>注：</w:t>
      </w:r>
      <w:r>
        <w:rPr>
          <w:rFonts w:hint="eastAsia" w:ascii="宋体" w:hAnsi="宋体"/>
          <w:color w:val="000000"/>
          <w:szCs w:val="21"/>
          <w:highlight w:val="none"/>
          <w:lang w:eastAsia="zh-CN"/>
        </w:rPr>
        <w:t>兖煤菏泽能化有限公司</w:t>
      </w:r>
      <w:r>
        <w:rPr>
          <w:rFonts w:hint="eastAsia" w:ascii="宋体" w:hAnsi="宋体"/>
          <w:color w:val="000000"/>
          <w:szCs w:val="21"/>
          <w:highlight w:val="none"/>
          <w:lang w:val="en-US" w:eastAsia="zh-CN"/>
        </w:rPr>
        <w:t>为兖矿能源控股子公司。</w:t>
      </w:r>
    </w:p>
    <w:p>
      <w:pPr>
        <w:spacing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lang w:eastAsia="zh-CN"/>
        </w:rPr>
        <w:t>万福能源</w:t>
      </w:r>
      <w:r>
        <w:rPr>
          <w:rFonts w:hint="eastAsia" w:ascii="宋体" w:hAnsi="宋体"/>
          <w:spacing w:val="-4"/>
          <w:sz w:val="28"/>
          <w:szCs w:val="28"/>
          <w:highlight w:val="none"/>
        </w:rPr>
        <w:t>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3004" w:type="dxa"/>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lang w:val="en-US" w:eastAsia="zh-CN"/>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9</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0</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6</w:t>
            </w:r>
            <w:r>
              <w:rPr>
                <w:rFonts w:ascii="宋体" w:hAnsi="宋体"/>
                <w:highlight w:val="none"/>
              </w:rPr>
              <w:t>,</w:t>
            </w:r>
            <w:r>
              <w:rPr>
                <w:rFonts w:hint="eastAsia" w:ascii="宋体" w:hAnsi="宋体"/>
                <w:highlight w:val="none"/>
                <w:lang w:val="en-US" w:eastAsia="zh-CN"/>
              </w:rPr>
              <w:t>957</w:t>
            </w:r>
            <w:r>
              <w:rPr>
                <w:rFonts w:ascii="宋体" w:hAnsi="宋体"/>
                <w:highlight w:val="none"/>
              </w:rPr>
              <w:t>,</w:t>
            </w:r>
            <w:r>
              <w:rPr>
                <w:rFonts w:hint="eastAsia" w:ascii="宋体" w:hAnsi="宋体"/>
                <w:highlight w:val="none"/>
                <w:lang w:val="en-US" w:eastAsia="zh-CN"/>
              </w:rPr>
              <w:t>414.56</w:t>
            </w:r>
          </w:p>
        </w:tc>
        <w:tc>
          <w:tcPr>
            <w:tcW w:w="3004" w:type="dxa"/>
            <w:tcBorders>
              <w:top w:val="single" w:color="auto" w:sz="4" w:space="0"/>
              <w:left w:val="nil"/>
              <w:bottom w:val="single" w:color="auto" w:sz="4" w:space="0"/>
              <w:right w:val="single" w:color="auto" w:sz="4" w:space="0"/>
            </w:tcBorders>
            <w:shd w:val="clear" w:color="auto" w:fill="auto"/>
            <w:vAlign w:val="top"/>
          </w:tcPr>
          <w:p>
            <w:pPr>
              <w:spacing w:line="500" w:lineRule="exact"/>
              <w:jc w:val="right"/>
              <w:rPr>
                <w:rFonts w:ascii="宋体" w:hAnsi="宋体" w:cs="宋体"/>
                <w:color w:val="000000"/>
                <w:szCs w:val="21"/>
                <w:highlight w:val="none"/>
              </w:rPr>
            </w:pPr>
            <w:r>
              <w:rPr>
                <w:rFonts w:hint="eastAsia" w:ascii="宋体" w:hAnsi="宋体"/>
                <w:highlight w:val="none"/>
                <w:lang w:val="en-US" w:eastAsia="zh-CN"/>
              </w:rPr>
              <w:t>7,528,287.29</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6</w:t>
            </w:r>
            <w:r>
              <w:rPr>
                <w:rFonts w:ascii="宋体" w:hAnsi="宋体"/>
                <w:highlight w:val="none"/>
              </w:rPr>
              <w:t>,</w:t>
            </w:r>
            <w:r>
              <w:rPr>
                <w:rFonts w:hint="eastAsia" w:ascii="宋体" w:hAnsi="宋体"/>
                <w:highlight w:val="none"/>
                <w:lang w:val="en-US" w:eastAsia="zh-CN"/>
              </w:rPr>
              <w:t>730</w:t>
            </w:r>
            <w:r>
              <w:rPr>
                <w:rFonts w:ascii="宋体" w:hAnsi="宋体"/>
                <w:highlight w:val="none"/>
              </w:rPr>
              <w:t>,</w:t>
            </w:r>
            <w:r>
              <w:rPr>
                <w:rFonts w:hint="eastAsia" w:ascii="宋体" w:hAnsi="宋体"/>
                <w:highlight w:val="none"/>
                <w:lang w:val="en-US" w:eastAsia="zh-CN"/>
              </w:rPr>
              <w:t>309.65</w:t>
            </w:r>
          </w:p>
        </w:tc>
        <w:tc>
          <w:tcPr>
            <w:tcW w:w="3004" w:type="dxa"/>
            <w:tcBorders>
              <w:top w:val="single" w:color="auto" w:sz="4" w:space="0"/>
              <w:left w:val="nil"/>
              <w:bottom w:val="single" w:color="auto" w:sz="4" w:space="0"/>
              <w:right w:val="single" w:color="auto" w:sz="4" w:space="0"/>
            </w:tcBorders>
            <w:shd w:val="clear" w:color="auto" w:fill="auto"/>
            <w:vAlign w:val="top"/>
          </w:tcPr>
          <w:p>
            <w:pPr>
              <w:spacing w:line="500" w:lineRule="exact"/>
              <w:jc w:val="right"/>
              <w:rPr>
                <w:rFonts w:ascii="宋体" w:hAnsi="宋体" w:cs="宋体"/>
                <w:color w:val="000000"/>
                <w:szCs w:val="21"/>
                <w:highlight w:val="none"/>
              </w:rPr>
            </w:pPr>
            <w:r>
              <w:rPr>
                <w:rFonts w:hint="eastAsia" w:ascii="宋体" w:hAnsi="宋体"/>
                <w:highlight w:val="none"/>
                <w:lang w:val="en-US" w:eastAsia="zh-CN"/>
              </w:rPr>
              <w:t>7,264,459.77</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227</w:t>
            </w:r>
            <w:r>
              <w:rPr>
                <w:rFonts w:ascii="宋体" w:hAnsi="宋体"/>
                <w:highlight w:val="none"/>
              </w:rPr>
              <w:t>,</w:t>
            </w:r>
            <w:r>
              <w:rPr>
                <w:rFonts w:hint="eastAsia" w:ascii="宋体" w:hAnsi="宋体"/>
                <w:highlight w:val="none"/>
                <w:lang w:val="en-US" w:eastAsia="zh-CN"/>
              </w:rPr>
              <w:t>104.91</w:t>
            </w:r>
          </w:p>
        </w:tc>
        <w:tc>
          <w:tcPr>
            <w:tcW w:w="3004" w:type="dxa"/>
            <w:tcBorders>
              <w:top w:val="single" w:color="auto" w:sz="4" w:space="0"/>
              <w:left w:val="nil"/>
              <w:bottom w:val="single" w:color="auto" w:sz="4" w:space="0"/>
              <w:right w:val="single" w:color="auto" w:sz="4" w:space="0"/>
            </w:tcBorders>
            <w:shd w:val="clear" w:color="auto" w:fill="auto"/>
            <w:vAlign w:val="top"/>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263,827.53</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lang w:val="en-US" w:eastAsia="zh-CN"/>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1-9月</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212.37</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85,700.82</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-73</w:t>
            </w:r>
            <w:r>
              <w:rPr>
                <w:rFonts w:ascii="宋体" w:hAnsi="宋体"/>
                <w:highlight w:val="none"/>
              </w:rPr>
              <w:t>,</w:t>
            </w:r>
            <w:r>
              <w:rPr>
                <w:rFonts w:hint="eastAsia" w:ascii="宋体" w:hAnsi="宋体"/>
                <w:highlight w:val="none"/>
                <w:lang w:val="en-US" w:eastAsia="zh-CN"/>
              </w:rPr>
              <w:t>547.63</w:t>
            </w:r>
          </w:p>
        </w:tc>
        <w:tc>
          <w:tcPr>
            <w:tcW w:w="3004" w:type="dxa"/>
            <w:tcBorders>
              <w:top w:val="single" w:color="auto" w:sz="4" w:space="0"/>
              <w:left w:val="nil"/>
              <w:bottom w:val="single" w:color="auto" w:sz="4" w:space="0"/>
              <w:right w:val="single" w:color="auto" w:sz="4" w:space="0"/>
            </w:tcBorders>
            <w:shd w:val="clear" w:color="auto" w:fill="auto"/>
            <w:vAlign w:val="top"/>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38,063.79</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highlight w:val="none"/>
                <w:lang w:val="en-US" w:eastAsia="zh-CN"/>
              </w:rPr>
              <w:t>-73</w:t>
            </w:r>
            <w:r>
              <w:rPr>
                <w:rFonts w:ascii="宋体" w:hAnsi="宋体"/>
                <w:highlight w:val="none"/>
              </w:rPr>
              <w:t>,</w:t>
            </w:r>
            <w:r>
              <w:rPr>
                <w:rFonts w:hint="eastAsia" w:ascii="宋体" w:hAnsi="宋体"/>
                <w:highlight w:val="none"/>
                <w:lang w:val="en-US" w:eastAsia="zh-CN"/>
              </w:rPr>
              <w:t>547.63</w:t>
            </w:r>
            <w:r>
              <w:rPr>
                <w:rFonts w:hint="eastAsia" w:ascii="宋体" w:hAnsi="宋体"/>
                <w:highlight w:val="none"/>
              </w:rPr>
              <w:t xml:space="preserve"> </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38,063.79</w:t>
            </w:r>
          </w:p>
        </w:tc>
      </w:tr>
    </w:tbl>
    <w:p>
      <w:pPr>
        <w:adjustRightInd w:val="0"/>
        <w:snapToGrid w:val="0"/>
        <w:spacing w:line="520" w:lineRule="exact"/>
        <w:rPr>
          <w:rFonts w:hint="eastAsia" w:ascii="宋体" w:hAnsi="宋体"/>
          <w:b/>
          <w:color w:val="000000"/>
          <w:sz w:val="28"/>
          <w:szCs w:val="28"/>
          <w:highlight w:val="none"/>
        </w:rPr>
      </w:pPr>
      <w:bookmarkStart w:id="1" w:name="_GoBack"/>
      <w:bookmarkEnd w:id="1"/>
    </w:p>
    <w:p>
      <w:pPr>
        <w:adjustRightInd w:val="0"/>
        <w:snapToGrid w:val="0"/>
        <w:spacing w:line="520" w:lineRule="exact"/>
        <w:ind w:firstLine="560" w:firstLineChars="200"/>
        <w:rPr>
          <w:rFonts w:hint="eastAsia" w:ascii="宋体" w:hAnsi="宋体"/>
          <w:b/>
          <w:color w:val="000000"/>
          <w:sz w:val="28"/>
          <w:szCs w:val="28"/>
          <w:highlight w:val="none"/>
        </w:rPr>
      </w:pPr>
      <w:r>
        <w:rPr>
          <w:rFonts w:hint="eastAsia" w:ascii="宋体" w:hAnsi="宋体"/>
          <w:b/>
          <w:color w:val="000000"/>
          <w:sz w:val="28"/>
          <w:szCs w:val="28"/>
          <w:highlight w:val="none"/>
        </w:rPr>
        <w:t>(</w:t>
      </w:r>
      <w:r>
        <w:rPr>
          <w:rFonts w:hint="eastAsia" w:ascii="宋体" w:hAnsi="宋体"/>
          <w:b/>
          <w:color w:val="000000"/>
          <w:sz w:val="28"/>
          <w:szCs w:val="28"/>
          <w:highlight w:val="none"/>
          <w:lang w:val="en-US" w:eastAsia="zh-CN"/>
        </w:rPr>
        <w:t>二</w:t>
      </w:r>
      <w:r>
        <w:rPr>
          <w:rFonts w:hint="eastAsia" w:ascii="宋体" w:hAnsi="宋体"/>
          <w:b/>
          <w:color w:val="000000"/>
          <w:sz w:val="28"/>
          <w:szCs w:val="28"/>
          <w:highlight w:val="none"/>
        </w:rPr>
        <w:t>)担保协议主要内容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兖矿能源</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万福能源</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中国进出口银行山东省分行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10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2023年</w:t>
            </w:r>
            <w:r>
              <w:rPr>
                <w:rFonts w:hint="eastAsia" w:asciiTheme="minorEastAsia" w:hAnsiTheme="minorEastAsia" w:eastAsiaTheme="minorEastAsia"/>
                <w:bCs/>
                <w:color w:val="000000"/>
                <w:szCs w:val="21"/>
                <w:highlight w:val="none"/>
                <w:lang w:val="en-US" w:eastAsia="zh-CN"/>
              </w:rPr>
              <w:t>12</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19</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是</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公司董事会认为：公司已于20</w:t>
      </w:r>
      <w:r>
        <w:rPr>
          <w:rFonts w:ascii="宋体" w:hAnsi="宋体"/>
          <w:sz w:val="28"/>
          <w:szCs w:val="28"/>
          <w:highlight w:val="none"/>
        </w:rPr>
        <w:t>2</w:t>
      </w:r>
      <w:r>
        <w:rPr>
          <w:rFonts w:hint="eastAsia" w:ascii="宋体" w:hAnsi="宋体"/>
          <w:sz w:val="28"/>
          <w:szCs w:val="28"/>
          <w:highlight w:val="none"/>
          <w:lang w:val="en-US" w:eastAsia="zh-CN"/>
        </w:rPr>
        <w:t>3</w:t>
      </w:r>
      <w:r>
        <w:rPr>
          <w:rFonts w:hint="eastAsia" w:ascii="宋体" w:hAnsi="宋体"/>
          <w:sz w:val="28"/>
          <w:szCs w:val="28"/>
          <w:highlight w:val="none"/>
        </w:rPr>
        <w:t>年3月</w:t>
      </w:r>
      <w:r>
        <w:rPr>
          <w:rFonts w:hint="eastAsia" w:ascii="宋体" w:hAnsi="宋体"/>
          <w:sz w:val="28"/>
          <w:szCs w:val="28"/>
          <w:highlight w:val="none"/>
          <w:lang w:val="en-US" w:eastAsia="zh-CN"/>
        </w:rPr>
        <w:t>24</w:t>
      </w:r>
      <w:r>
        <w:rPr>
          <w:rFonts w:hint="eastAsia" w:ascii="宋体" w:hAnsi="宋体"/>
          <w:sz w:val="28"/>
          <w:szCs w:val="28"/>
          <w:highlight w:val="none"/>
        </w:rPr>
        <w:t>日召开的第八届董事会第二十</w:t>
      </w:r>
      <w:r>
        <w:rPr>
          <w:rFonts w:hint="eastAsia" w:ascii="宋体" w:hAnsi="宋体"/>
          <w:sz w:val="28"/>
          <w:szCs w:val="28"/>
          <w:highlight w:val="none"/>
          <w:lang w:val="en-US" w:eastAsia="zh-CN"/>
        </w:rPr>
        <w:t>七</w:t>
      </w:r>
      <w:r>
        <w:rPr>
          <w:rFonts w:hint="eastAsia" w:ascii="宋体" w:hAnsi="宋体"/>
          <w:sz w:val="28"/>
          <w:szCs w:val="28"/>
          <w:highlight w:val="none"/>
        </w:rPr>
        <w:t>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lang w:val="en-US" w:eastAsia="zh-CN"/>
        </w:rPr>
        <w:t>2</w:t>
      </w:r>
      <w:r>
        <w:rPr>
          <w:rFonts w:hint="eastAsia" w:ascii="宋体" w:hAnsi="宋体"/>
          <w:sz w:val="28"/>
          <w:szCs w:val="28"/>
          <w:highlight w:val="none"/>
        </w:rPr>
        <w:t>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023</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月3</w:t>
      </w:r>
      <w:r>
        <w:rPr>
          <w:rFonts w:hint="eastAsia" w:ascii="宋体" w:hAnsi="宋体"/>
          <w:sz w:val="28"/>
          <w:szCs w:val="28"/>
          <w:highlight w:val="none"/>
          <w:lang w:val="en-US" w:eastAsia="zh-CN"/>
        </w:rPr>
        <w:t>1</w:t>
      </w:r>
      <w:r>
        <w:rPr>
          <w:rFonts w:hint="eastAsia" w:ascii="宋体" w:hAnsi="宋体"/>
          <w:sz w:val="28"/>
          <w:szCs w:val="28"/>
          <w:highlight w:val="none"/>
        </w:rPr>
        <w:t>日，公司累计对外担保余额为人民币</w:t>
      </w:r>
      <w:r>
        <w:rPr>
          <w:rFonts w:hint="eastAsia" w:ascii="宋体" w:hAnsi="宋体"/>
          <w:color w:val="auto"/>
          <w:sz w:val="28"/>
          <w:szCs w:val="28"/>
          <w:highlight w:val="none"/>
          <w:lang w:val="en-US" w:eastAsia="zh-CN"/>
        </w:rPr>
        <w:t>188.39</w:t>
      </w:r>
      <w:r>
        <w:rPr>
          <w:rFonts w:hint="eastAsia" w:ascii="宋体" w:hAnsi="宋体"/>
          <w:sz w:val="28"/>
          <w:szCs w:val="28"/>
          <w:highlight w:val="none"/>
        </w:rPr>
        <w:t>亿元，占公司2022年按中国会计准则计算的经审计净资产人民币947.35亿元的</w:t>
      </w:r>
      <w:r>
        <w:rPr>
          <w:rFonts w:hint="eastAsia" w:ascii="宋体" w:hAnsi="宋体"/>
          <w:sz w:val="28"/>
          <w:szCs w:val="28"/>
          <w:highlight w:val="none"/>
          <w:lang w:val="en-US" w:eastAsia="zh-CN"/>
        </w:rPr>
        <w:t>19.89</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hint="eastAsia" w:ascii="宋体" w:hAnsi="宋体" w:cs="宋体"/>
          <w:color w:val="000000"/>
          <w:sz w:val="28"/>
          <w:szCs w:val="28"/>
          <w:highlight w:val="none"/>
        </w:rPr>
      </w:pPr>
      <w:r>
        <w:rPr>
          <w:rFonts w:hint="eastAsia" w:ascii="宋体" w:hAnsi="宋体" w:cs="宋体"/>
          <w:color w:val="000000"/>
          <w:sz w:val="28"/>
          <w:szCs w:val="28"/>
          <w:highlight w:val="none"/>
        </w:rPr>
        <w:t>202</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18</w:t>
      </w:r>
      <w:r>
        <w:rPr>
          <w:rFonts w:hint="eastAsia" w:ascii="宋体" w:hAnsi="宋体" w:cs="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982162dc-2511-4547-87a6-313a0041ba93"/>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3338D1"/>
    <w:rsid w:val="04AD5FA9"/>
    <w:rsid w:val="050B287F"/>
    <w:rsid w:val="075D5490"/>
    <w:rsid w:val="0A801C94"/>
    <w:rsid w:val="0C04759B"/>
    <w:rsid w:val="0DA53A1F"/>
    <w:rsid w:val="1130228A"/>
    <w:rsid w:val="117F169A"/>
    <w:rsid w:val="133F6234"/>
    <w:rsid w:val="140F1BAC"/>
    <w:rsid w:val="1522312B"/>
    <w:rsid w:val="16C11479"/>
    <w:rsid w:val="176470DA"/>
    <w:rsid w:val="190D0B94"/>
    <w:rsid w:val="193B4921"/>
    <w:rsid w:val="1D1E28B9"/>
    <w:rsid w:val="1F672539"/>
    <w:rsid w:val="20410E61"/>
    <w:rsid w:val="20A81A74"/>
    <w:rsid w:val="22511DC1"/>
    <w:rsid w:val="227D42FB"/>
    <w:rsid w:val="234A2E0A"/>
    <w:rsid w:val="248F084E"/>
    <w:rsid w:val="2868322B"/>
    <w:rsid w:val="2E7A7E5B"/>
    <w:rsid w:val="2F4A3C93"/>
    <w:rsid w:val="33F71DD9"/>
    <w:rsid w:val="34963A11"/>
    <w:rsid w:val="35AB0EC5"/>
    <w:rsid w:val="3B8A1413"/>
    <w:rsid w:val="3C334E6D"/>
    <w:rsid w:val="42567D71"/>
    <w:rsid w:val="481A487E"/>
    <w:rsid w:val="48947988"/>
    <w:rsid w:val="48AB1DFD"/>
    <w:rsid w:val="48EE54A6"/>
    <w:rsid w:val="4A7D6C4A"/>
    <w:rsid w:val="4B8A335B"/>
    <w:rsid w:val="4BBA3C84"/>
    <w:rsid w:val="4BC5548B"/>
    <w:rsid w:val="4C53058E"/>
    <w:rsid w:val="4CFC4C6D"/>
    <w:rsid w:val="52AF255B"/>
    <w:rsid w:val="59373D1E"/>
    <w:rsid w:val="5A1018D3"/>
    <w:rsid w:val="5A3329F0"/>
    <w:rsid w:val="5CE310AD"/>
    <w:rsid w:val="5D5D3774"/>
    <w:rsid w:val="5DE007BC"/>
    <w:rsid w:val="60D567B9"/>
    <w:rsid w:val="616616D2"/>
    <w:rsid w:val="61790E2E"/>
    <w:rsid w:val="62ED2922"/>
    <w:rsid w:val="630522E1"/>
    <w:rsid w:val="641B50D0"/>
    <w:rsid w:val="64854517"/>
    <w:rsid w:val="652660A7"/>
    <w:rsid w:val="6759642A"/>
    <w:rsid w:val="692308DC"/>
    <w:rsid w:val="6ABD66AF"/>
    <w:rsid w:val="6C1958B7"/>
    <w:rsid w:val="6F154BE6"/>
    <w:rsid w:val="71081781"/>
    <w:rsid w:val="718457FA"/>
    <w:rsid w:val="73491624"/>
    <w:rsid w:val="74A072EF"/>
    <w:rsid w:val="75CD7A22"/>
    <w:rsid w:val="765E353C"/>
    <w:rsid w:val="76FF13B0"/>
    <w:rsid w:val="790E2FED"/>
    <w:rsid w:val="79220A6E"/>
    <w:rsid w:val="7A1A0ECC"/>
    <w:rsid w:val="7B2A76F2"/>
    <w:rsid w:val="7C594C70"/>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Colorful 2"/>
    <w:basedOn w:val="14"/>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Char"/>
    <w:link w:val="10"/>
    <w:qFormat/>
    <w:uiPriority w:val="0"/>
    <w:rPr>
      <w:kern w:val="2"/>
      <w:sz w:val="18"/>
      <w:szCs w:val="18"/>
    </w:rPr>
  </w:style>
  <w:style w:type="character" w:customStyle="1" w:styleId="28">
    <w:name w:val="批注文字 Char"/>
    <w:link w:val="3"/>
    <w:semiHidden/>
    <w:qFormat/>
    <w:uiPriority w:val="99"/>
    <w:rPr>
      <w:kern w:val="2"/>
      <w:sz w:val="21"/>
    </w:rPr>
  </w:style>
  <w:style w:type="character" w:customStyle="1" w:styleId="29">
    <w:name w:val="日期 Char"/>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1908</Words>
  <Characters>2207</Characters>
  <Lines>26</Lines>
  <Paragraphs>7</Paragraphs>
  <TotalTime>2</TotalTime>
  <ScaleCrop>false</ScaleCrop>
  <LinksUpToDate>false</LinksUpToDate>
  <CharactersWithSpaces>2238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2023-12-12T02:59:00Z</cp:lastPrinted>
  <dcterms:modified xsi:type="dcterms:W3CDTF">2024-01-18T06:40:28Z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</vt:lpwstr>
  </property>
  <property fmtid="{D5CDD505-2E9C-101B-9397-08002B2CF9AE}" pid="3" name="KSOProductBuildVer">
    <vt:lpwstr>2052-11.1.0.14309</vt:lpwstr>
  </property>
  <property fmtid="{D5CDD505-2E9C-101B-9397-08002B2CF9AE}" pid="4" name="ICV">
    <vt:lpwstr>155F0AE5B92C46A6ADD91672339F4968_13</vt:lpwstr>
  </property>
</Properties>
</file>