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default" w:ascii="黑体" w:hAnsi="黑体" w:eastAsia="黑体"/>
          <w:color w:val="000000"/>
          <w:highlight w:val="none"/>
          <w:lang w:val="en-US"/>
        </w:rPr>
      </w:pPr>
    </w:p>
    <w:p>
      <w:pPr>
        <w:spacing w:line="360" w:lineRule="auto"/>
        <w:jc w:val="center"/>
        <w:rPr>
          <w:rFonts w:hint="default" w:ascii="黑体" w:hAnsi="黑体" w:eastAsia="黑体"/>
          <w:color w:val="000000"/>
          <w:highlight w:val="none"/>
          <w:lang w:val="en-US"/>
        </w:rPr>
      </w:pPr>
      <w:r>
        <w:rPr>
          <w:rFonts w:ascii="黑体" w:hAnsi="黑体" w:eastAsia="黑体"/>
          <w:color w:val="000000"/>
          <w:highlight w:val="none"/>
        </w:rPr>
        <w:t>股票代码：600188             股票简称：</w:t>
      </w:r>
      <w:r>
        <w:rPr>
          <w:rFonts w:hint="eastAsia" w:ascii="黑体" w:hAnsi="黑体" w:eastAsia="黑体"/>
          <w:color w:val="000000"/>
          <w:highlight w:val="none"/>
        </w:rPr>
        <w:t>兖矿能源</w:t>
      </w:r>
      <w:r>
        <w:rPr>
          <w:rFonts w:ascii="黑体" w:hAnsi="黑体" w:eastAsia="黑体"/>
          <w:color w:val="000000"/>
          <w:highlight w:val="none"/>
        </w:rPr>
        <w:t xml:space="preserve">             编号：临2023-</w:t>
      </w:r>
      <w:r>
        <w:rPr>
          <w:rFonts w:hint="default" w:ascii="黑体" w:hAnsi="黑体" w:eastAsia="黑体"/>
          <w:color w:val="000000"/>
          <w:highlight w:val="none"/>
          <w:lang w:val="en-US"/>
        </w:rPr>
        <w:t>075</w:t>
      </w:r>
    </w:p>
    <w:p>
      <w:pPr>
        <w:spacing w:line="500" w:lineRule="exact"/>
        <w:jc w:val="center"/>
        <w:rPr>
          <w:rFonts w:eastAsia="黑体"/>
          <w:color w:val="000000"/>
          <w:highlight w:val="none"/>
        </w:rPr>
      </w:pPr>
    </w:p>
    <w:p>
      <w:pPr>
        <w:spacing w:line="500" w:lineRule="exact"/>
        <w:jc w:val="center"/>
        <w:rPr>
          <w:rFonts w:ascii="黑体" w:eastAsia="黑体"/>
          <w:b/>
          <w:bCs/>
          <w:color w:val="FF0000"/>
          <w:sz w:val="36"/>
          <w:szCs w:val="36"/>
          <w:highlight w:val="none"/>
        </w:rPr>
      </w:pPr>
      <w:r>
        <w:rPr>
          <w:rFonts w:hint="eastAsia" w:ascii="黑体" w:eastAsia="黑体"/>
          <w:b/>
          <w:bCs/>
          <w:color w:val="FF0000"/>
          <w:sz w:val="36"/>
          <w:szCs w:val="36"/>
          <w:highlight w:val="none"/>
        </w:rPr>
        <w:t>兖矿能源集团</w:t>
      </w:r>
      <w:r>
        <w:rPr>
          <w:rFonts w:ascii="黑体" w:eastAsia="黑体"/>
          <w:b/>
          <w:bCs/>
          <w:color w:val="FF0000"/>
          <w:sz w:val="36"/>
          <w:szCs w:val="36"/>
          <w:highlight w:val="none"/>
        </w:rPr>
        <w:t>股份有限公司</w:t>
      </w:r>
    </w:p>
    <w:p>
      <w:pPr>
        <w:spacing w:line="500" w:lineRule="exact"/>
        <w:jc w:val="center"/>
        <w:rPr>
          <w:b/>
          <w:bCs/>
          <w:color w:val="000000"/>
          <w:sz w:val="32"/>
          <w:highlight w:val="none"/>
        </w:rPr>
      </w:pPr>
      <w:r>
        <w:rPr>
          <w:rFonts w:hint="eastAsia" w:ascii="黑体" w:eastAsia="黑体"/>
          <w:b/>
          <w:bCs/>
          <w:color w:val="FF0000"/>
          <w:sz w:val="36"/>
          <w:szCs w:val="36"/>
          <w:highlight w:val="none"/>
        </w:rPr>
        <w:t>关于年度预计担保的进展公告</w:t>
      </w:r>
    </w:p>
    <w:p>
      <w:pPr>
        <w:spacing w:line="560" w:lineRule="exact"/>
        <w:jc w:val="center"/>
        <w:rPr>
          <w:b/>
          <w:bCs/>
          <w:color w:val="000000"/>
          <w:sz w:val="28"/>
          <w:highlight w:val="none"/>
        </w:rPr>
      </w:pPr>
      <w:r>
        <w:rPr>
          <w:b/>
          <w:bCs/>
          <w:color w:val="000000"/>
          <w:sz w:val="28"/>
          <w:highlight w:val="non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330200</wp:posOffset>
                </wp:positionV>
                <wp:extent cx="5372100" cy="980440"/>
                <wp:effectExtent l="4445" t="4445" r="14605" b="5715"/>
                <wp:wrapNone/>
                <wp:docPr id="1" name="文本框 2"/>
                <wp:cNvGraphicFramePr/>
                <a:graphic xmlns:a="http://schemas.openxmlformats.org/drawingml/2006/main">
                  <a:graphicData uri="http://schemas.microsoft.com/office/word/2010/wordprocessingShape">
                    <wps:wsp>
                      <wps:cNvSpPr txBox="1"/>
                      <wps:spPr>
                        <a:xfrm>
                          <a:off x="0" y="0"/>
                          <a:ext cx="5372100" cy="9804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adjustRightInd w:val="0"/>
                              <w:snapToGrid w:val="0"/>
                              <w:spacing w:line="480" w:lineRule="exact"/>
                              <w:ind w:firstLine="560" w:firstLineChars="200"/>
                              <w:rPr>
                                <w:sz w:val="28"/>
                              </w:rPr>
                            </w:pPr>
                            <w:r>
                              <w:rPr>
                                <w:rFonts w:hint="eastAsia"/>
                                <w:sz w:val="28"/>
                              </w:rPr>
                              <w:t>本公司董事会及全体董事保证本公告内容不存在任何虚假记载、误导性陈述或者重大遗漏，并对其内容的真实性、准确性和完整性承担法律责任。</w:t>
                            </w:r>
                          </w:p>
                        </w:txbxContent>
                      </wps:txbx>
                      <wps:bodyPr upright="1"/>
                    </wps:wsp>
                  </a:graphicData>
                </a:graphic>
              </wp:anchor>
            </w:drawing>
          </mc:Choice>
          <mc:Fallback>
            <w:pict>
              <v:shape id="文本框 2" o:spid="_x0000_s1026" o:spt="202" type="#_x0000_t202" style="position:absolute;left:0pt;margin-left:9pt;margin-top:26pt;height:77.2pt;width:423pt;z-index:251659264;mso-width-relative:page;mso-height-relative:page;" fillcolor="#FFFFFF" filled="t" stroked="t" coordsize="21600,21600" o:gfxdata="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C0gRU9cAAAAJAQAADwAAAAAAAAABACAAAAAi&#10;AAAAZHJzL2Rvd25yZXYueG1sUEsBAhQAFAAAAAgAh07iQLNaixwLAgAANgQAAA4AAAAAAAAAAQAg&#10;AAAAJgEAAGRycy9lMm9Eb2MueG1sUEsFBgAAAAAGAAYAWQEAAKMFAAAAAA==&#10;">
                <v:fill on="t" focussize="0,0"/>
                <v:stroke color="#000000" joinstyle="miter"/>
                <v:imagedata o:title=""/>
                <o:lock v:ext="edit" aspectratio="f"/>
                <v:textbox>
                  <w:txbxContent>
                    <w:p>
                      <w:pPr>
                        <w:adjustRightInd w:val="0"/>
                        <w:snapToGrid w:val="0"/>
                        <w:spacing w:line="480" w:lineRule="exact"/>
                        <w:ind w:firstLine="560" w:firstLineChars="200"/>
                        <w:rPr>
                          <w:sz w:val="28"/>
                        </w:rPr>
                      </w:pPr>
                      <w:r>
                        <w:rPr>
                          <w:rFonts w:hint="eastAsia"/>
                          <w:sz w:val="28"/>
                        </w:rPr>
                        <w:t>本公司董事会及全体董事保证本公告内容不存在任何虚假记载、误导性陈述或者重大遗漏，并对其内容的真实性、准确性和完整性承担法律责任。</w:t>
                      </w:r>
                    </w:p>
                  </w:txbxContent>
                </v:textbox>
              </v:shape>
            </w:pict>
          </mc:Fallback>
        </mc:AlternateContent>
      </w:r>
    </w:p>
    <w:p>
      <w:pPr>
        <w:adjustRightInd w:val="0"/>
        <w:snapToGrid w:val="0"/>
        <w:spacing w:line="500" w:lineRule="exact"/>
        <w:ind w:firstLine="560" w:firstLineChars="200"/>
        <w:outlineLvl w:val="0"/>
        <w:rPr>
          <w:b/>
          <w:bCs/>
          <w:color w:val="000000"/>
          <w:sz w:val="28"/>
          <w:highlight w:val="none"/>
        </w:rPr>
      </w:pPr>
    </w:p>
    <w:p>
      <w:pPr>
        <w:adjustRightInd w:val="0"/>
        <w:snapToGrid w:val="0"/>
        <w:spacing w:line="500" w:lineRule="exact"/>
        <w:ind w:firstLine="560" w:firstLineChars="200"/>
        <w:outlineLvl w:val="0"/>
        <w:rPr>
          <w:b/>
          <w:bCs/>
          <w:color w:val="000000"/>
          <w:sz w:val="28"/>
          <w:highlight w:val="none"/>
        </w:rPr>
      </w:pPr>
    </w:p>
    <w:p>
      <w:pPr>
        <w:adjustRightInd w:val="0"/>
        <w:snapToGrid w:val="0"/>
        <w:spacing w:line="500" w:lineRule="exact"/>
        <w:ind w:firstLine="560" w:firstLineChars="200"/>
        <w:outlineLvl w:val="0"/>
        <w:rPr>
          <w:b/>
          <w:bCs/>
          <w:color w:val="000000"/>
          <w:sz w:val="28"/>
          <w:highlight w:val="none"/>
        </w:rPr>
      </w:pPr>
    </w:p>
    <w:p>
      <w:pPr>
        <w:adjustRightInd w:val="0"/>
        <w:snapToGrid w:val="0"/>
        <w:spacing w:line="480" w:lineRule="exact"/>
        <w:ind w:firstLine="540"/>
        <w:rPr>
          <w:rFonts w:ascii="宋体" w:hAnsi="宋体"/>
          <w:b/>
          <w:color w:val="000000"/>
          <w:sz w:val="28"/>
          <w:highlight w:val="none"/>
        </w:rPr>
      </w:pPr>
    </w:p>
    <w:p>
      <w:pPr>
        <w:adjustRightInd w:val="0"/>
        <w:snapToGrid w:val="0"/>
        <w:spacing w:line="520" w:lineRule="exact"/>
        <w:ind w:firstLine="540"/>
        <w:rPr>
          <w:rFonts w:ascii="宋体" w:hAnsi="宋体"/>
          <w:b/>
          <w:color w:val="000000"/>
          <w:sz w:val="28"/>
          <w:szCs w:val="28"/>
          <w:highlight w:val="none"/>
        </w:rPr>
      </w:pPr>
      <w:r>
        <w:rPr>
          <w:rFonts w:hint="eastAsia" w:ascii="宋体" w:hAnsi="宋体"/>
          <w:b/>
          <w:color w:val="000000"/>
          <w:sz w:val="28"/>
          <w:szCs w:val="28"/>
          <w:highlight w:val="none"/>
        </w:rPr>
        <w:t>重要内容提示：</w:t>
      </w:r>
    </w:p>
    <w:p>
      <w:pPr>
        <w:numPr>
          <w:ilvl w:val="0"/>
          <w:numId w:val="1"/>
        </w:numPr>
        <w:adjustRightInd w:val="0"/>
        <w:snapToGrid w:val="0"/>
        <w:spacing w:line="520" w:lineRule="exact"/>
        <w:rPr>
          <w:rFonts w:ascii="宋体" w:hAnsi="宋体"/>
          <w:color w:val="000000"/>
          <w:sz w:val="28"/>
          <w:szCs w:val="28"/>
          <w:highlight w:val="none"/>
        </w:rPr>
      </w:pPr>
      <w:r>
        <w:rPr>
          <w:rFonts w:hint="eastAsia" w:ascii="宋体" w:hAnsi="宋体"/>
          <w:b/>
          <w:color w:val="000000"/>
          <w:sz w:val="28"/>
          <w:szCs w:val="28"/>
          <w:highlight w:val="none"/>
        </w:rPr>
        <w:t>被担保人名称：</w:t>
      </w:r>
      <w:r>
        <w:rPr>
          <w:rFonts w:hint="eastAsia" w:ascii="宋体" w:hAnsi="宋体"/>
          <w:color w:val="auto"/>
          <w:sz w:val="28"/>
          <w:szCs w:val="28"/>
          <w:highlight w:val="none"/>
          <w:lang w:eastAsia="zh-CN"/>
        </w:rPr>
        <w:t>伊犁新矿煤业有限责任公司（伊新煤业）、</w:t>
      </w:r>
      <w:r>
        <w:rPr>
          <w:rFonts w:hint="eastAsia" w:ascii="宋体" w:hAnsi="宋体"/>
          <w:color w:val="000000"/>
          <w:sz w:val="28"/>
          <w:szCs w:val="28"/>
          <w:highlight w:val="none"/>
        </w:rPr>
        <w:t>兖煤澳大利亚有限公司（“兖煤澳洲”）及其子公司、兖矿能源澳洲附属公司</w:t>
      </w:r>
      <w:r>
        <w:rPr>
          <w:rFonts w:hint="eastAsia" w:ascii="宋体" w:hAnsi="宋体"/>
          <w:color w:val="auto"/>
          <w:sz w:val="28"/>
          <w:szCs w:val="28"/>
          <w:highlight w:val="none"/>
        </w:rPr>
        <w:t>。上述被担保人均为兖矿能源集团股份</w:t>
      </w:r>
      <w:bookmarkStart w:id="1" w:name="_GoBack"/>
      <w:bookmarkEnd w:id="1"/>
      <w:r>
        <w:rPr>
          <w:rFonts w:hint="eastAsia" w:ascii="宋体" w:hAnsi="宋体"/>
          <w:color w:val="auto"/>
          <w:sz w:val="28"/>
          <w:szCs w:val="28"/>
          <w:highlight w:val="none"/>
        </w:rPr>
        <w:t>有限公司（“兖矿能源”“公司”）</w:t>
      </w:r>
      <w:r>
        <w:rPr>
          <w:rFonts w:hint="eastAsia" w:ascii="宋体" w:hAnsi="宋体"/>
          <w:color w:val="auto"/>
          <w:sz w:val="28"/>
          <w:szCs w:val="28"/>
          <w:highlight w:val="none"/>
          <w:lang w:val="en-US" w:eastAsia="zh-CN"/>
        </w:rPr>
        <w:t>权属</w:t>
      </w:r>
      <w:r>
        <w:rPr>
          <w:rFonts w:hint="eastAsia" w:ascii="宋体" w:hAnsi="宋体"/>
          <w:color w:val="auto"/>
          <w:sz w:val="28"/>
          <w:szCs w:val="28"/>
          <w:highlight w:val="none"/>
        </w:rPr>
        <w:t>子公司，</w:t>
      </w:r>
      <w:r>
        <w:rPr>
          <w:rFonts w:hint="eastAsia" w:ascii="宋体" w:hAnsi="宋体"/>
          <w:color w:val="000000"/>
          <w:sz w:val="28"/>
          <w:szCs w:val="28"/>
          <w:highlight w:val="none"/>
        </w:rPr>
        <w:t>其中</w:t>
      </w:r>
      <w:r>
        <w:rPr>
          <w:rFonts w:hint="eastAsia" w:ascii="宋体" w:hAnsi="宋体"/>
          <w:color w:val="000000"/>
          <w:sz w:val="28"/>
          <w:szCs w:val="28"/>
          <w:highlight w:val="none"/>
          <w:lang w:val="en-US" w:eastAsia="zh-CN"/>
        </w:rPr>
        <w:t>兖矿能源通过子公司——</w:t>
      </w:r>
      <w:r>
        <w:rPr>
          <w:rFonts w:hint="eastAsia" w:ascii="宋体" w:hAnsi="宋体"/>
          <w:color w:val="000000"/>
          <w:sz w:val="28"/>
          <w:szCs w:val="28"/>
          <w:highlight w:val="none"/>
          <w:lang w:eastAsia="zh-CN"/>
        </w:rPr>
        <w:t>兖矿新疆能化有限公司（“新疆能化”）</w:t>
      </w:r>
      <w:r>
        <w:rPr>
          <w:rFonts w:hint="eastAsia" w:ascii="宋体" w:hAnsi="宋体"/>
          <w:color w:val="000000"/>
          <w:sz w:val="28"/>
          <w:szCs w:val="28"/>
          <w:highlight w:val="none"/>
          <w:lang w:val="en-US" w:eastAsia="zh-CN"/>
        </w:rPr>
        <w:t>间接</w:t>
      </w:r>
      <w:r>
        <w:rPr>
          <w:rFonts w:hint="eastAsia" w:ascii="宋体" w:hAnsi="宋体"/>
          <w:color w:val="000000"/>
          <w:sz w:val="28"/>
          <w:szCs w:val="28"/>
          <w:highlight w:val="none"/>
        </w:rPr>
        <w:t>持有</w:t>
      </w:r>
      <w:r>
        <w:rPr>
          <w:rFonts w:hint="eastAsia" w:ascii="宋体" w:hAnsi="宋体"/>
          <w:color w:val="000000"/>
          <w:sz w:val="28"/>
          <w:szCs w:val="28"/>
          <w:highlight w:val="none"/>
          <w:lang w:val="en-US" w:eastAsia="zh-CN"/>
        </w:rPr>
        <w:t>伊新煤业</w:t>
      </w:r>
      <w:r>
        <w:rPr>
          <w:rFonts w:ascii="宋体" w:hAnsi="宋体"/>
          <w:color w:val="000000"/>
          <w:sz w:val="28"/>
          <w:szCs w:val="28"/>
          <w:highlight w:val="none"/>
        </w:rPr>
        <w:t>5</w:t>
      </w:r>
      <w:r>
        <w:rPr>
          <w:rFonts w:hint="eastAsia" w:ascii="宋体" w:hAnsi="宋体"/>
          <w:color w:val="000000"/>
          <w:sz w:val="28"/>
          <w:szCs w:val="28"/>
          <w:highlight w:val="none"/>
          <w:lang w:val="en-US" w:eastAsia="zh-CN"/>
        </w:rPr>
        <w:t>5</w:t>
      </w:r>
      <w:r>
        <w:rPr>
          <w:rFonts w:ascii="宋体" w:hAnsi="宋体"/>
          <w:color w:val="000000"/>
          <w:sz w:val="28"/>
          <w:szCs w:val="28"/>
          <w:highlight w:val="none"/>
        </w:rPr>
        <w:t>%股权</w:t>
      </w:r>
      <w:r>
        <w:rPr>
          <w:rFonts w:hint="eastAsia" w:ascii="宋体" w:hAnsi="宋体"/>
          <w:color w:val="000000"/>
          <w:sz w:val="28"/>
          <w:szCs w:val="28"/>
          <w:highlight w:val="none"/>
          <w:lang w:eastAsia="zh-CN"/>
        </w:rPr>
        <w:t>，</w:t>
      </w:r>
      <w:r>
        <w:rPr>
          <w:rFonts w:hint="eastAsia" w:ascii="宋体" w:hAnsi="宋体"/>
          <w:color w:val="000000"/>
          <w:sz w:val="28"/>
          <w:szCs w:val="28"/>
          <w:highlight w:val="none"/>
        </w:rPr>
        <w:t>持有兖煤澳洲约6</w:t>
      </w:r>
      <w:r>
        <w:rPr>
          <w:rFonts w:ascii="宋体" w:hAnsi="宋体"/>
          <w:color w:val="000000"/>
          <w:sz w:val="28"/>
          <w:szCs w:val="28"/>
          <w:highlight w:val="none"/>
        </w:rPr>
        <w:t>2</w:t>
      </w:r>
      <w:r>
        <w:rPr>
          <w:rFonts w:hint="eastAsia" w:ascii="宋体" w:hAnsi="宋体"/>
          <w:color w:val="000000"/>
          <w:sz w:val="28"/>
          <w:szCs w:val="28"/>
          <w:highlight w:val="none"/>
        </w:rPr>
        <w:t>.</w:t>
      </w:r>
      <w:r>
        <w:rPr>
          <w:rFonts w:ascii="宋体" w:hAnsi="宋体"/>
          <w:color w:val="000000"/>
          <w:sz w:val="28"/>
          <w:szCs w:val="28"/>
          <w:highlight w:val="none"/>
        </w:rPr>
        <w:t>26</w:t>
      </w:r>
      <w:r>
        <w:rPr>
          <w:rFonts w:hint="eastAsia" w:ascii="宋体" w:hAnsi="宋体"/>
          <w:color w:val="000000"/>
          <w:sz w:val="28"/>
          <w:szCs w:val="28"/>
          <w:highlight w:val="none"/>
        </w:rPr>
        <w:t>%股权。</w:t>
      </w:r>
    </w:p>
    <w:p>
      <w:pPr>
        <w:numPr>
          <w:ilvl w:val="0"/>
          <w:numId w:val="1"/>
        </w:numPr>
        <w:adjustRightInd w:val="0"/>
        <w:snapToGrid w:val="0"/>
        <w:spacing w:line="520" w:lineRule="exact"/>
        <w:rPr>
          <w:rFonts w:ascii="宋体" w:hAnsi="宋体"/>
          <w:color w:val="000000"/>
          <w:sz w:val="28"/>
          <w:szCs w:val="28"/>
          <w:highlight w:val="none"/>
        </w:rPr>
      </w:pPr>
      <w:r>
        <w:rPr>
          <w:rFonts w:hint="eastAsia" w:ascii="宋体" w:hAnsi="宋体"/>
          <w:b/>
          <w:color w:val="000000"/>
          <w:sz w:val="28"/>
          <w:szCs w:val="28"/>
          <w:highlight w:val="none"/>
        </w:rPr>
        <w:t>是否为上市公司关联人：</w:t>
      </w:r>
      <w:r>
        <w:rPr>
          <w:rFonts w:hint="eastAsia" w:ascii="宋体" w:hAnsi="宋体"/>
          <w:color w:val="000000"/>
          <w:sz w:val="28"/>
          <w:szCs w:val="28"/>
          <w:highlight w:val="none"/>
        </w:rPr>
        <w:t>否</w:t>
      </w:r>
    </w:p>
    <w:p>
      <w:pPr>
        <w:numPr>
          <w:ilvl w:val="0"/>
          <w:numId w:val="1"/>
        </w:numPr>
        <w:adjustRightInd w:val="0"/>
        <w:snapToGrid w:val="0"/>
        <w:spacing w:line="520" w:lineRule="exact"/>
        <w:rPr>
          <w:rFonts w:ascii="宋体" w:hAnsi="宋体"/>
          <w:b/>
          <w:color w:val="000000"/>
          <w:sz w:val="28"/>
          <w:szCs w:val="28"/>
          <w:highlight w:val="none"/>
        </w:rPr>
      </w:pPr>
      <w:r>
        <w:rPr>
          <w:rFonts w:hint="eastAsia" w:ascii="宋体" w:hAnsi="宋体"/>
          <w:b/>
          <w:color w:val="000000"/>
          <w:sz w:val="28"/>
          <w:szCs w:val="28"/>
          <w:highlight w:val="none"/>
        </w:rPr>
        <w:t>担保金额及担保余额：</w:t>
      </w:r>
      <w:r>
        <w:rPr>
          <w:rFonts w:hint="eastAsia" w:ascii="宋体" w:hAnsi="宋体"/>
          <w:b w:val="0"/>
          <w:color w:val="000000"/>
          <w:sz w:val="28"/>
          <w:szCs w:val="28"/>
          <w:highlight w:val="none"/>
          <w:lang w:val="en-US" w:eastAsia="zh-CN"/>
        </w:rPr>
        <w:t>11</w:t>
      </w:r>
      <w:r>
        <w:rPr>
          <w:rFonts w:hint="eastAsia" w:ascii="宋体" w:hAnsi="宋体"/>
          <w:b w:val="0"/>
          <w:bCs w:val="0"/>
          <w:color w:val="000000"/>
          <w:sz w:val="28"/>
          <w:szCs w:val="28"/>
          <w:highlight w:val="none"/>
          <w:lang w:val="en-US" w:eastAsia="zh-CN"/>
        </w:rPr>
        <w:t>月份</w:t>
      </w:r>
      <w:r>
        <w:rPr>
          <w:rFonts w:hint="eastAsia" w:ascii="宋体" w:hAnsi="宋体"/>
          <w:b w:val="0"/>
          <w:bCs/>
          <w:color w:val="000000"/>
          <w:sz w:val="28"/>
          <w:szCs w:val="28"/>
          <w:highlight w:val="none"/>
          <w:lang w:val="en-US" w:eastAsia="zh-CN"/>
        </w:rPr>
        <w:t>（</w:t>
      </w:r>
      <w:r>
        <w:rPr>
          <w:rFonts w:hint="eastAsia" w:ascii="宋体" w:hAnsi="宋体"/>
          <w:color w:val="000000"/>
          <w:sz w:val="28"/>
          <w:szCs w:val="28"/>
          <w:highlight w:val="none"/>
        </w:rPr>
        <w:t>自202</w:t>
      </w:r>
      <w:r>
        <w:rPr>
          <w:rFonts w:ascii="宋体" w:hAnsi="宋体"/>
          <w:color w:val="000000"/>
          <w:sz w:val="28"/>
          <w:szCs w:val="28"/>
          <w:highlight w:val="none"/>
        </w:rPr>
        <w:t>3</w:t>
      </w:r>
      <w:r>
        <w:rPr>
          <w:rFonts w:hint="eastAsia" w:ascii="宋体" w:hAnsi="宋体"/>
          <w:color w:val="000000"/>
          <w:sz w:val="28"/>
          <w:szCs w:val="28"/>
          <w:highlight w:val="none"/>
        </w:rPr>
        <w:t>年</w:t>
      </w:r>
      <w:r>
        <w:rPr>
          <w:rFonts w:hint="eastAsia" w:ascii="宋体" w:hAnsi="宋体"/>
          <w:color w:val="000000"/>
          <w:sz w:val="28"/>
          <w:szCs w:val="28"/>
          <w:highlight w:val="none"/>
          <w:lang w:val="en-US" w:eastAsia="zh-CN"/>
        </w:rPr>
        <w:t>11</w:t>
      </w:r>
      <w:r>
        <w:rPr>
          <w:rFonts w:hint="eastAsia" w:ascii="宋体" w:hAnsi="宋体"/>
          <w:color w:val="000000"/>
          <w:sz w:val="28"/>
          <w:szCs w:val="28"/>
          <w:highlight w:val="none"/>
        </w:rPr>
        <w:t>月</w:t>
      </w:r>
      <w:r>
        <w:rPr>
          <w:rFonts w:ascii="宋体" w:hAnsi="宋体"/>
          <w:color w:val="000000"/>
          <w:sz w:val="28"/>
          <w:szCs w:val="28"/>
          <w:highlight w:val="none"/>
        </w:rPr>
        <w:t>1</w:t>
      </w:r>
      <w:r>
        <w:rPr>
          <w:rFonts w:hint="eastAsia" w:ascii="宋体" w:hAnsi="宋体"/>
          <w:color w:val="000000"/>
          <w:sz w:val="28"/>
          <w:szCs w:val="28"/>
          <w:highlight w:val="none"/>
        </w:rPr>
        <w:t>日至202</w:t>
      </w:r>
      <w:r>
        <w:rPr>
          <w:rFonts w:ascii="宋体" w:hAnsi="宋体"/>
          <w:color w:val="000000"/>
          <w:sz w:val="28"/>
          <w:szCs w:val="28"/>
          <w:highlight w:val="none"/>
        </w:rPr>
        <w:t>3</w:t>
      </w:r>
      <w:r>
        <w:rPr>
          <w:rFonts w:hint="eastAsia" w:ascii="宋体" w:hAnsi="宋体"/>
          <w:color w:val="000000"/>
          <w:sz w:val="28"/>
          <w:szCs w:val="28"/>
          <w:highlight w:val="none"/>
        </w:rPr>
        <w:t>年</w:t>
      </w:r>
      <w:r>
        <w:rPr>
          <w:rFonts w:hint="eastAsia" w:ascii="宋体" w:hAnsi="宋体"/>
          <w:color w:val="000000"/>
          <w:sz w:val="28"/>
          <w:szCs w:val="28"/>
          <w:highlight w:val="none"/>
          <w:lang w:val="en-US" w:eastAsia="zh-CN"/>
        </w:rPr>
        <w:t>11</w:t>
      </w:r>
      <w:r>
        <w:rPr>
          <w:rFonts w:hint="eastAsia" w:ascii="宋体" w:hAnsi="宋体"/>
          <w:color w:val="000000"/>
          <w:sz w:val="28"/>
          <w:szCs w:val="28"/>
          <w:highlight w:val="none"/>
        </w:rPr>
        <w:t>月3</w:t>
      </w:r>
      <w:r>
        <w:rPr>
          <w:rFonts w:hint="eastAsia" w:ascii="宋体" w:hAnsi="宋体"/>
          <w:color w:val="000000"/>
          <w:sz w:val="28"/>
          <w:szCs w:val="28"/>
          <w:highlight w:val="none"/>
          <w:lang w:val="en-US" w:eastAsia="zh-CN"/>
        </w:rPr>
        <w:t>0</w:t>
      </w:r>
      <w:r>
        <w:rPr>
          <w:rFonts w:hint="eastAsia" w:ascii="宋体" w:hAnsi="宋体"/>
          <w:color w:val="000000"/>
          <w:sz w:val="28"/>
          <w:szCs w:val="28"/>
          <w:highlight w:val="none"/>
        </w:rPr>
        <w:t>日</w:t>
      </w:r>
      <w:r>
        <w:rPr>
          <w:rFonts w:hint="eastAsia" w:ascii="宋体" w:hAnsi="宋体"/>
          <w:color w:val="000000"/>
          <w:sz w:val="28"/>
          <w:szCs w:val="28"/>
          <w:highlight w:val="none"/>
          <w:lang w:eastAsia="zh-CN"/>
        </w:rPr>
        <w:t>）新疆能化</w:t>
      </w:r>
      <w:r>
        <w:rPr>
          <w:rFonts w:hint="eastAsia" w:ascii="宋体" w:hAnsi="宋体"/>
          <w:color w:val="000000"/>
          <w:sz w:val="28"/>
          <w:szCs w:val="28"/>
          <w:highlight w:val="none"/>
        </w:rPr>
        <w:t>为</w:t>
      </w:r>
      <w:r>
        <w:rPr>
          <w:rFonts w:hint="eastAsia" w:ascii="宋体" w:hAnsi="宋体"/>
          <w:color w:val="000000"/>
          <w:sz w:val="28"/>
          <w:szCs w:val="28"/>
          <w:highlight w:val="none"/>
          <w:lang w:eastAsia="zh-CN"/>
        </w:rPr>
        <w:t>伊新煤业</w:t>
      </w:r>
      <w:r>
        <w:rPr>
          <w:rFonts w:hint="eastAsia" w:ascii="宋体" w:hAnsi="宋体"/>
          <w:color w:val="000000"/>
          <w:sz w:val="28"/>
          <w:szCs w:val="28"/>
          <w:highlight w:val="none"/>
        </w:rPr>
        <w:t>提供担保金额为人民币</w:t>
      </w:r>
      <w:r>
        <w:rPr>
          <w:rFonts w:hint="eastAsia" w:ascii="宋体" w:hAnsi="宋体"/>
          <w:color w:val="000000"/>
          <w:sz w:val="28"/>
          <w:szCs w:val="28"/>
          <w:highlight w:val="none"/>
          <w:lang w:val="en-US" w:eastAsia="zh-CN"/>
        </w:rPr>
        <w:t>1.65</w:t>
      </w:r>
      <w:r>
        <w:rPr>
          <w:rFonts w:hint="eastAsia" w:ascii="宋体" w:hAnsi="宋体"/>
          <w:color w:val="000000"/>
          <w:sz w:val="28"/>
          <w:szCs w:val="28"/>
          <w:highlight w:val="none"/>
        </w:rPr>
        <w:t>亿元；截至</w:t>
      </w:r>
      <w:r>
        <w:rPr>
          <w:rFonts w:ascii="宋体" w:hAnsi="宋体"/>
          <w:color w:val="000000"/>
          <w:sz w:val="28"/>
          <w:szCs w:val="28"/>
          <w:highlight w:val="none"/>
        </w:rPr>
        <w:t>2023</w:t>
      </w:r>
      <w:r>
        <w:rPr>
          <w:rFonts w:hint="eastAsia" w:ascii="宋体" w:hAnsi="宋体"/>
          <w:color w:val="000000"/>
          <w:sz w:val="28"/>
          <w:szCs w:val="28"/>
          <w:highlight w:val="none"/>
        </w:rPr>
        <w:t>年</w:t>
      </w:r>
      <w:r>
        <w:rPr>
          <w:rFonts w:hint="eastAsia" w:ascii="宋体" w:hAnsi="宋体"/>
          <w:color w:val="000000"/>
          <w:sz w:val="28"/>
          <w:szCs w:val="28"/>
          <w:highlight w:val="none"/>
          <w:lang w:val="en-US" w:eastAsia="zh-CN"/>
        </w:rPr>
        <w:t>11</w:t>
      </w:r>
      <w:r>
        <w:rPr>
          <w:rFonts w:hint="eastAsia" w:ascii="宋体" w:hAnsi="宋体"/>
          <w:color w:val="000000"/>
          <w:sz w:val="28"/>
          <w:szCs w:val="28"/>
          <w:highlight w:val="none"/>
        </w:rPr>
        <w:t>月3</w:t>
      </w:r>
      <w:r>
        <w:rPr>
          <w:rFonts w:hint="eastAsia" w:ascii="宋体" w:hAnsi="宋体"/>
          <w:color w:val="000000"/>
          <w:sz w:val="28"/>
          <w:szCs w:val="28"/>
          <w:highlight w:val="none"/>
          <w:lang w:val="en-US" w:eastAsia="zh-CN"/>
        </w:rPr>
        <w:t>0</w:t>
      </w:r>
      <w:r>
        <w:rPr>
          <w:rFonts w:hint="eastAsia" w:ascii="宋体" w:hAnsi="宋体"/>
          <w:color w:val="000000"/>
          <w:sz w:val="28"/>
          <w:szCs w:val="28"/>
          <w:highlight w:val="none"/>
        </w:rPr>
        <w:t>日，</w:t>
      </w:r>
      <w:r>
        <w:rPr>
          <w:rFonts w:hint="eastAsia" w:ascii="宋体" w:hAnsi="宋体"/>
          <w:color w:val="000000"/>
          <w:sz w:val="28"/>
          <w:szCs w:val="28"/>
          <w:highlight w:val="none"/>
          <w:lang w:eastAsia="zh-CN"/>
        </w:rPr>
        <w:t>新疆能化为伊新煤业</w:t>
      </w:r>
      <w:r>
        <w:rPr>
          <w:rFonts w:hint="eastAsia" w:ascii="宋体" w:hAnsi="宋体"/>
          <w:color w:val="000000"/>
          <w:sz w:val="28"/>
          <w:szCs w:val="28"/>
          <w:highlight w:val="none"/>
        </w:rPr>
        <w:t>提供的担保余额为人民币</w:t>
      </w:r>
      <w:r>
        <w:rPr>
          <w:rFonts w:hint="eastAsia" w:ascii="宋体" w:hAnsi="宋体"/>
          <w:color w:val="000000"/>
          <w:sz w:val="28"/>
          <w:szCs w:val="28"/>
          <w:highlight w:val="none"/>
          <w:lang w:val="en-US" w:eastAsia="zh-CN"/>
        </w:rPr>
        <w:t>1.65</w:t>
      </w:r>
      <w:r>
        <w:rPr>
          <w:rFonts w:hint="eastAsia" w:ascii="宋体" w:hAnsi="宋体"/>
          <w:color w:val="000000"/>
          <w:sz w:val="28"/>
          <w:szCs w:val="28"/>
          <w:highlight w:val="none"/>
        </w:rPr>
        <w:t>亿元；截至202</w:t>
      </w:r>
      <w:r>
        <w:rPr>
          <w:rFonts w:ascii="宋体" w:hAnsi="宋体"/>
          <w:color w:val="000000"/>
          <w:sz w:val="28"/>
          <w:szCs w:val="28"/>
          <w:highlight w:val="none"/>
        </w:rPr>
        <w:t>3</w:t>
      </w:r>
      <w:r>
        <w:rPr>
          <w:rFonts w:hint="eastAsia" w:ascii="宋体" w:hAnsi="宋体"/>
          <w:color w:val="000000"/>
          <w:sz w:val="28"/>
          <w:szCs w:val="28"/>
          <w:highlight w:val="none"/>
        </w:rPr>
        <w:t>年</w:t>
      </w:r>
      <w:r>
        <w:rPr>
          <w:rFonts w:ascii="宋体" w:hAnsi="宋体"/>
          <w:color w:val="000000"/>
          <w:sz w:val="28"/>
          <w:szCs w:val="28"/>
          <w:highlight w:val="none"/>
        </w:rPr>
        <w:t>11</w:t>
      </w:r>
      <w:r>
        <w:rPr>
          <w:rFonts w:hint="eastAsia" w:ascii="宋体" w:hAnsi="宋体"/>
          <w:color w:val="000000"/>
          <w:sz w:val="28"/>
          <w:szCs w:val="28"/>
          <w:highlight w:val="none"/>
        </w:rPr>
        <w:t>月30日，兖煤澳洲为其子公司提供担保余额为600万澳元，兖煤澳洲下属子公司为兖煤澳洲、兖煤澳洲下属子公司、兖矿能源澳洲附属公司提供担保余额为9.5</w:t>
      </w:r>
      <w:r>
        <w:rPr>
          <w:rFonts w:ascii="宋体" w:hAnsi="宋体"/>
          <w:color w:val="000000"/>
          <w:sz w:val="28"/>
          <w:szCs w:val="28"/>
          <w:highlight w:val="none"/>
        </w:rPr>
        <w:t>6</w:t>
      </w:r>
      <w:r>
        <w:rPr>
          <w:rFonts w:hint="eastAsia" w:ascii="宋体" w:hAnsi="宋体"/>
          <w:color w:val="000000"/>
          <w:sz w:val="28"/>
          <w:szCs w:val="28"/>
          <w:highlight w:val="none"/>
        </w:rPr>
        <w:t>亿澳元，担保余额合计为9.6</w:t>
      </w:r>
      <w:r>
        <w:rPr>
          <w:rFonts w:ascii="宋体" w:hAnsi="宋体"/>
          <w:color w:val="000000"/>
          <w:sz w:val="28"/>
          <w:szCs w:val="28"/>
          <w:highlight w:val="none"/>
        </w:rPr>
        <w:t>2</w:t>
      </w:r>
      <w:r>
        <w:rPr>
          <w:rFonts w:hint="eastAsia" w:ascii="宋体" w:hAnsi="宋体"/>
          <w:color w:val="000000"/>
          <w:sz w:val="28"/>
          <w:szCs w:val="28"/>
          <w:highlight w:val="none"/>
        </w:rPr>
        <w:t>亿澳元。</w:t>
      </w:r>
    </w:p>
    <w:p>
      <w:pPr>
        <w:numPr>
          <w:ilvl w:val="0"/>
          <w:numId w:val="1"/>
        </w:numPr>
        <w:adjustRightInd w:val="0"/>
        <w:snapToGrid w:val="0"/>
        <w:spacing w:line="520" w:lineRule="exact"/>
        <w:ind w:left="567" w:firstLine="0"/>
        <w:rPr>
          <w:rFonts w:ascii="宋体" w:hAnsi="宋体"/>
          <w:b/>
          <w:color w:val="000000"/>
          <w:sz w:val="28"/>
          <w:szCs w:val="28"/>
          <w:highlight w:val="none"/>
        </w:rPr>
      </w:pPr>
      <w:r>
        <w:rPr>
          <w:rFonts w:hint="eastAsia" w:ascii="宋体" w:hAnsi="宋体"/>
          <w:b/>
          <w:color w:val="000000"/>
          <w:sz w:val="28"/>
          <w:szCs w:val="28"/>
          <w:highlight w:val="none"/>
        </w:rPr>
        <w:t>本次担保是否有反担保：</w:t>
      </w:r>
      <w:r>
        <w:rPr>
          <w:rFonts w:hint="eastAsia" w:ascii="宋体" w:hAnsi="宋体"/>
          <w:b w:val="0"/>
          <w:bCs/>
          <w:color w:val="000000"/>
          <w:sz w:val="28"/>
          <w:szCs w:val="28"/>
          <w:highlight w:val="none"/>
          <w:lang w:val="en-US" w:eastAsia="zh-CN"/>
        </w:rPr>
        <w:t>是</w:t>
      </w:r>
    </w:p>
    <w:p>
      <w:pPr>
        <w:numPr>
          <w:ilvl w:val="0"/>
          <w:numId w:val="1"/>
        </w:numPr>
        <w:adjustRightInd w:val="0"/>
        <w:snapToGrid w:val="0"/>
        <w:spacing w:line="520" w:lineRule="exact"/>
        <w:ind w:left="567" w:firstLine="0"/>
        <w:rPr>
          <w:rFonts w:ascii="宋体" w:hAnsi="宋体"/>
          <w:b/>
          <w:color w:val="000000"/>
          <w:sz w:val="28"/>
          <w:szCs w:val="28"/>
          <w:highlight w:val="none"/>
        </w:rPr>
      </w:pPr>
      <w:r>
        <w:rPr>
          <w:rFonts w:hint="eastAsia" w:ascii="宋体" w:hAnsi="宋体"/>
          <w:b/>
          <w:color w:val="000000"/>
          <w:sz w:val="28"/>
          <w:szCs w:val="28"/>
          <w:highlight w:val="none"/>
        </w:rPr>
        <w:t>公司无逾期对外担保</w:t>
      </w:r>
    </w:p>
    <w:p>
      <w:pPr>
        <w:pStyle w:val="31"/>
        <w:numPr>
          <w:ilvl w:val="0"/>
          <w:numId w:val="1"/>
        </w:numPr>
        <w:spacing w:line="520" w:lineRule="exact"/>
        <w:ind w:firstLineChars="0"/>
        <w:rPr>
          <w:rFonts w:ascii="宋体" w:hAnsi="宋体"/>
          <w:bCs/>
          <w:color w:val="000000"/>
          <w:sz w:val="28"/>
          <w:szCs w:val="28"/>
          <w:highlight w:val="none"/>
        </w:rPr>
      </w:pPr>
      <w:r>
        <w:rPr>
          <w:rFonts w:hint="eastAsia" w:ascii="宋体" w:hAnsi="宋体"/>
          <w:b/>
          <w:color w:val="000000"/>
          <w:sz w:val="28"/>
          <w:szCs w:val="28"/>
          <w:highlight w:val="none"/>
        </w:rPr>
        <w:t>特别风险提示：</w:t>
      </w:r>
      <w:r>
        <w:rPr>
          <w:rFonts w:hint="eastAsia" w:ascii="宋体" w:hAnsi="宋体"/>
          <w:bCs/>
          <w:color w:val="000000"/>
          <w:sz w:val="28"/>
          <w:szCs w:val="28"/>
          <w:highlight w:val="none"/>
        </w:rPr>
        <w:t>部分被担保对象资产负债率超过70%，敬请广大投资者注意相关风险。担保对象均为公司</w:t>
      </w:r>
      <w:r>
        <w:rPr>
          <w:rFonts w:hint="eastAsia" w:ascii="宋体" w:hAnsi="宋体"/>
          <w:bCs/>
          <w:color w:val="000000"/>
          <w:sz w:val="28"/>
          <w:szCs w:val="28"/>
          <w:highlight w:val="none"/>
          <w:lang w:val="en-US" w:eastAsia="zh-CN"/>
        </w:rPr>
        <w:t>权属</w:t>
      </w:r>
      <w:r>
        <w:rPr>
          <w:rFonts w:hint="eastAsia" w:ascii="宋体" w:hAnsi="宋体"/>
          <w:bCs/>
          <w:color w:val="000000"/>
          <w:sz w:val="28"/>
          <w:szCs w:val="28"/>
          <w:highlight w:val="none"/>
        </w:rPr>
        <w:t>子公司，担保风险可控。</w:t>
      </w:r>
    </w:p>
    <w:p>
      <w:pPr>
        <w:adjustRightInd w:val="0"/>
        <w:snapToGrid w:val="0"/>
        <w:spacing w:line="520" w:lineRule="exact"/>
        <w:ind w:firstLine="539"/>
        <w:rPr>
          <w:rFonts w:ascii="宋体" w:hAnsi="宋体"/>
          <w:color w:val="000000"/>
          <w:sz w:val="28"/>
          <w:szCs w:val="28"/>
          <w:highlight w:val="none"/>
        </w:rPr>
      </w:pPr>
    </w:p>
    <w:p>
      <w:pPr>
        <w:adjustRightInd w:val="0"/>
        <w:snapToGrid w:val="0"/>
        <w:spacing w:line="520" w:lineRule="exact"/>
        <w:ind w:firstLine="539"/>
        <w:rPr>
          <w:rFonts w:ascii="宋体" w:hAnsi="宋体"/>
          <w:b/>
          <w:color w:val="000000"/>
          <w:sz w:val="28"/>
          <w:szCs w:val="28"/>
          <w:highlight w:val="none"/>
        </w:rPr>
      </w:pPr>
      <w:r>
        <w:rPr>
          <w:rFonts w:hint="eastAsia" w:ascii="宋体" w:hAnsi="宋体"/>
          <w:b/>
          <w:color w:val="000000"/>
          <w:sz w:val="28"/>
          <w:szCs w:val="28"/>
          <w:highlight w:val="none"/>
        </w:rPr>
        <w:t>一、本次担保情况概述</w:t>
      </w:r>
    </w:p>
    <w:p>
      <w:pPr>
        <w:adjustRightInd w:val="0"/>
        <w:snapToGrid w:val="0"/>
        <w:spacing w:line="520" w:lineRule="exact"/>
        <w:ind w:firstLine="539"/>
        <w:rPr>
          <w:rFonts w:ascii="宋体" w:hAnsi="宋体"/>
          <w:b/>
          <w:color w:val="000000"/>
          <w:sz w:val="28"/>
          <w:szCs w:val="28"/>
          <w:highlight w:val="none"/>
        </w:rPr>
      </w:pPr>
      <w:r>
        <w:rPr>
          <w:rFonts w:hint="eastAsia" w:ascii="宋体" w:hAnsi="宋体"/>
          <w:b/>
          <w:color w:val="000000"/>
          <w:sz w:val="28"/>
          <w:szCs w:val="28"/>
          <w:highlight w:val="none"/>
        </w:rPr>
        <w:t>（一）本次担保的基本情况</w:t>
      </w:r>
    </w:p>
    <w:p>
      <w:pPr>
        <w:adjustRightInd w:val="0"/>
        <w:snapToGrid w:val="0"/>
        <w:spacing w:line="520" w:lineRule="exact"/>
        <w:ind w:firstLine="539"/>
        <w:rPr>
          <w:rFonts w:hint="eastAsia" w:ascii="宋体" w:hAnsi="宋体"/>
          <w:color w:val="000000"/>
          <w:sz w:val="28"/>
          <w:szCs w:val="28"/>
          <w:highlight w:val="none"/>
        </w:rPr>
      </w:pPr>
      <w:r>
        <w:rPr>
          <w:rFonts w:hint="eastAsia" w:ascii="宋体" w:hAnsi="宋体"/>
          <w:color w:val="000000"/>
          <w:sz w:val="28"/>
          <w:szCs w:val="28"/>
          <w:highlight w:val="none"/>
        </w:rPr>
        <w:t>自</w:t>
      </w:r>
      <w:r>
        <w:rPr>
          <w:rFonts w:ascii="宋体" w:hAnsi="宋体"/>
          <w:color w:val="000000"/>
          <w:sz w:val="28"/>
          <w:szCs w:val="28"/>
          <w:highlight w:val="none"/>
        </w:rPr>
        <w:t>2023</w:t>
      </w:r>
      <w:r>
        <w:rPr>
          <w:rFonts w:hint="eastAsia" w:ascii="宋体" w:hAnsi="宋体"/>
          <w:color w:val="000000"/>
          <w:sz w:val="28"/>
          <w:szCs w:val="28"/>
          <w:highlight w:val="none"/>
        </w:rPr>
        <w:t>年</w:t>
      </w:r>
      <w:r>
        <w:rPr>
          <w:rFonts w:hint="eastAsia" w:ascii="宋体" w:hAnsi="宋体"/>
          <w:color w:val="000000"/>
          <w:sz w:val="28"/>
          <w:szCs w:val="28"/>
          <w:highlight w:val="none"/>
          <w:lang w:val="en-US" w:eastAsia="zh-CN"/>
        </w:rPr>
        <w:t>11</w:t>
      </w:r>
      <w:r>
        <w:rPr>
          <w:rFonts w:hint="eastAsia" w:ascii="宋体" w:hAnsi="宋体"/>
          <w:color w:val="000000"/>
          <w:sz w:val="28"/>
          <w:szCs w:val="28"/>
          <w:highlight w:val="none"/>
        </w:rPr>
        <w:t>月</w:t>
      </w:r>
      <w:r>
        <w:rPr>
          <w:rFonts w:ascii="宋体" w:hAnsi="宋体"/>
          <w:color w:val="000000"/>
          <w:sz w:val="28"/>
          <w:szCs w:val="28"/>
          <w:highlight w:val="none"/>
        </w:rPr>
        <w:t>1</w:t>
      </w:r>
      <w:r>
        <w:rPr>
          <w:rFonts w:hint="eastAsia" w:ascii="宋体" w:hAnsi="宋体"/>
          <w:color w:val="000000"/>
          <w:sz w:val="28"/>
          <w:szCs w:val="28"/>
          <w:highlight w:val="none"/>
        </w:rPr>
        <w:t>日至</w:t>
      </w:r>
      <w:r>
        <w:rPr>
          <w:rFonts w:ascii="宋体" w:hAnsi="宋体"/>
          <w:color w:val="000000"/>
          <w:sz w:val="28"/>
          <w:szCs w:val="28"/>
          <w:highlight w:val="none"/>
        </w:rPr>
        <w:t>2023</w:t>
      </w:r>
      <w:r>
        <w:rPr>
          <w:rFonts w:hint="eastAsia" w:ascii="宋体" w:hAnsi="宋体"/>
          <w:color w:val="000000"/>
          <w:sz w:val="28"/>
          <w:szCs w:val="28"/>
          <w:highlight w:val="none"/>
        </w:rPr>
        <w:t>年</w:t>
      </w:r>
      <w:r>
        <w:rPr>
          <w:rFonts w:hint="eastAsia" w:ascii="宋体" w:hAnsi="宋体"/>
          <w:color w:val="000000"/>
          <w:sz w:val="28"/>
          <w:szCs w:val="28"/>
          <w:highlight w:val="none"/>
          <w:lang w:val="en-US" w:eastAsia="zh-CN"/>
        </w:rPr>
        <w:t>11</w:t>
      </w:r>
      <w:r>
        <w:rPr>
          <w:rFonts w:hint="eastAsia" w:ascii="宋体" w:hAnsi="宋体"/>
          <w:color w:val="000000"/>
          <w:sz w:val="28"/>
          <w:szCs w:val="28"/>
          <w:highlight w:val="none"/>
        </w:rPr>
        <w:t>月3</w:t>
      </w:r>
      <w:r>
        <w:rPr>
          <w:rFonts w:hint="eastAsia" w:ascii="宋体" w:hAnsi="宋体"/>
          <w:color w:val="000000"/>
          <w:sz w:val="28"/>
          <w:szCs w:val="28"/>
          <w:highlight w:val="none"/>
          <w:lang w:val="en-US" w:eastAsia="zh-CN"/>
        </w:rPr>
        <w:t>0</w:t>
      </w:r>
      <w:r>
        <w:rPr>
          <w:rFonts w:hint="eastAsia" w:ascii="宋体" w:hAnsi="宋体"/>
          <w:color w:val="000000"/>
          <w:sz w:val="28"/>
          <w:szCs w:val="28"/>
          <w:highlight w:val="none"/>
        </w:rPr>
        <w:t>日，</w:t>
      </w:r>
      <w:r>
        <w:rPr>
          <w:rFonts w:hint="eastAsia" w:ascii="宋体" w:hAnsi="宋体"/>
          <w:color w:val="000000"/>
          <w:sz w:val="28"/>
          <w:szCs w:val="28"/>
          <w:highlight w:val="none"/>
          <w:lang w:eastAsia="zh-CN"/>
        </w:rPr>
        <w:t>新疆能化为伊新煤业</w:t>
      </w:r>
      <w:r>
        <w:rPr>
          <w:rFonts w:hint="eastAsia" w:ascii="宋体" w:hAnsi="宋体"/>
          <w:color w:val="000000"/>
          <w:sz w:val="28"/>
          <w:szCs w:val="28"/>
          <w:highlight w:val="none"/>
        </w:rPr>
        <w:t>提供人民币</w:t>
      </w:r>
      <w:r>
        <w:rPr>
          <w:rFonts w:hint="eastAsia" w:ascii="宋体" w:hAnsi="宋体"/>
          <w:color w:val="000000"/>
          <w:sz w:val="28"/>
          <w:szCs w:val="28"/>
          <w:highlight w:val="none"/>
          <w:lang w:val="en-US" w:eastAsia="zh-CN"/>
        </w:rPr>
        <w:t>1.65</w:t>
      </w:r>
      <w:r>
        <w:rPr>
          <w:rFonts w:hint="eastAsia" w:ascii="宋体" w:hAnsi="宋体"/>
          <w:color w:val="000000"/>
          <w:sz w:val="28"/>
          <w:szCs w:val="28"/>
          <w:highlight w:val="none"/>
        </w:rPr>
        <w:t>亿元融资担保；截至</w:t>
      </w:r>
      <w:r>
        <w:rPr>
          <w:rFonts w:ascii="宋体" w:hAnsi="宋体"/>
          <w:color w:val="000000"/>
          <w:sz w:val="28"/>
          <w:szCs w:val="28"/>
          <w:highlight w:val="none"/>
        </w:rPr>
        <w:t>2023</w:t>
      </w:r>
      <w:r>
        <w:rPr>
          <w:rFonts w:hint="eastAsia" w:ascii="宋体" w:hAnsi="宋体"/>
          <w:color w:val="000000"/>
          <w:sz w:val="28"/>
          <w:szCs w:val="28"/>
          <w:highlight w:val="none"/>
        </w:rPr>
        <w:t>年</w:t>
      </w:r>
      <w:r>
        <w:rPr>
          <w:rFonts w:hint="eastAsia" w:ascii="宋体" w:hAnsi="宋体"/>
          <w:color w:val="000000"/>
          <w:sz w:val="28"/>
          <w:szCs w:val="28"/>
          <w:highlight w:val="none"/>
          <w:lang w:val="en-US" w:eastAsia="zh-CN"/>
        </w:rPr>
        <w:t>11</w:t>
      </w:r>
      <w:r>
        <w:rPr>
          <w:rFonts w:hint="eastAsia" w:ascii="宋体" w:hAnsi="宋体"/>
          <w:color w:val="000000"/>
          <w:sz w:val="28"/>
          <w:szCs w:val="28"/>
          <w:highlight w:val="none"/>
        </w:rPr>
        <w:t>月3</w:t>
      </w:r>
      <w:r>
        <w:rPr>
          <w:rFonts w:hint="eastAsia" w:ascii="宋体" w:hAnsi="宋体"/>
          <w:color w:val="000000"/>
          <w:sz w:val="28"/>
          <w:szCs w:val="28"/>
          <w:highlight w:val="none"/>
          <w:lang w:val="en-US" w:eastAsia="zh-CN"/>
        </w:rPr>
        <w:t>0</w:t>
      </w:r>
      <w:r>
        <w:rPr>
          <w:rFonts w:hint="eastAsia" w:ascii="宋体" w:hAnsi="宋体"/>
          <w:color w:val="000000"/>
          <w:sz w:val="28"/>
          <w:szCs w:val="28"/>
          <w:highlight w:val="none"/>
        </w:rPr>
        <w:t>日，</w:t>
      </w:r>
      <w:r>
        <w:rPr>
          <w:rFonts w:hint="eastAsia" w:ascii="宋体" w:hAnsi="宋体"/>
          <w:color w:val="000000"/>
          <w:sz w:val="28"/>
          <w:szCs w:val="28"/>
          <w:highlight w:val="none"/>
          <w:lang w:eastAsia="zh-CN"/>
        </w:rPr>
        <w:t>新疆能化</w:t>
      </w:r>
      <w:r>
        <w:rPr>
          <w:rFonts w:hint="eastAsia" w:ascii="宋体" w:hAnsi="宋体"/>
          <w:color w:val="000000"/>
          <w:sz w:val="28"/>
          <w:szCs w:val="28"/>
          <w:highlight w:val="none"/>
        </w:rPr>
        <w:t>为</w:t>
      </w:r>
      <w:r>
        <w:rPr>
          <w:rFonts w:hint="eastAsia" w:ascii="宋体" w:hAnsi="宋体"/>
          <w:color w:val="000000"/>
          <w:sz w:val="28"/>
          <w:szCs w:val="28"/>
          <w:highlight w:val="none"/>
          <w:lang w:val="en-US" w:eastAsia="zh-CN"/>
        </w:rPr>
        <w:t>伊新煤业</w:t>
      </w:r>
      <w:r>
        <w:rPr>
          <w:rFonts w:hint="eastAsia" w:ascii="宋体" w:hAnsi="宋体"/>
          <w:color w:val="000000"/>
          <w:sz w:val="28"/>
          <w:szCs w:val="28"/>
          <w:highlight w:val="none"/>
        </w:rPr>
        <w:t>提供的担保余额为人民币</w:t>
      </w:r>
      <w:r>
        <w:rPr>
          <w:rFonts w:hint="eastAsia" w:ascii="宋体" w:hAnsi="宋体"/>
          <w:color w:val="000000"/>
          <w:sz w:val="28"/>
          <w:szCs w:val="28"/>
          <w:highlight w:val="none"/>
          <w:lang w:val="en-US" w:eastAsia="zh-CN"/>
        </w:rPr>
        <w:t>1.65</w:t>
      </w:r>
      <w:r>
        <w:rPr>
          <w:rFonts w:hint="eastAsia" w:ascii="宋体" w:hAnsi="宋体"/>
          <w:color w:val="000000"/>
          <w:sz w:val="28"/>
          <w:szCs w:val="28"/>
          <w:highlight w:val="none"/>
        </w:rPr>
        <w:t>亿元。</w:t>
      </w:r>
    </w:p>
    <w:p>
      <w:pPr>
        <w:adjustRightInd w:val="0"/>
        <w:snapToGrid w:val="0"/>
        <w:spacing w:line="520" w:lineRule="exact"/>
        <w:ind w:firstLine="539"/>
        <w:rPr>
          <w:rFonts w:hint="eastAsia" w:ascii="宋体" w:hAnsi="宋体"/>
          <w:color w:val="000000"/>
          <w:sz w:val="28"/>
          <w:szCs w:val="28"/>
          <w:highlight w:val="none"/>
        </w:rPr>
      </w:pPr>
      <w:r>
        <w:rPr>
          <w:rFonts w:hint="eastAsia" w:ascii="宋体" w:hAnsi="宋体"/>
          <w:color w:val="000000"/>
          <w:sz w:val="28"/>
          <w:szCs w:val="28"/>
          <w:highlight w:val="none"/>
        </w:rPr>
        <w:t>截至202</w:t>
      </w:r>
      <w:r>
        <w:rPr>
          <w:rFonts w:ascii="宋体" w:hAnsi="宋体"/>
          <w:color w:val="000000"/>
          <w:sz w:val="28"/>
          <w:szCs w:val="28"/>
          <w:highlight w:val="none"/>
        </w:rPr>
        <w:t>3</w:t>
      </w:r>
      <w:r>
        <w:rPr>
          <w:rFonts w:hint="eastAsia" w:ascii="宋体" w:hAnsi="宋体"/>
          <w:color w:val="000000"/>
          <w:sz w:val="28"/>
          <w:szCs w:val="28"/>
          <w:highlight w:val="none"/>
        </w:rPr>
        <w:t>年</w:t>
      </w:r>
      <w:r>
        <w:rPr>
          <w:rFonts w:ascii="宋体" w:hAnsi="宋体"/>
          <w:color w:val="000000"/>
          <w:sz w:val="28"/>
          <w:szCs w:val="28"/>
          <w:highlight w:val="none"/>
        </w:rPr>
        <w:t>11</w:t>
      </w:r>
      <w:r>
        <w:rPr>
          <w:rFonts w:hint="eastAsia" w:ascii="宋体" w:hAnsi="宋体"/>
          <w:color w:val="000000"/>
          <w:sz w:val="28"/>
          <w:szCs w:val="28"/>
          <w:highlight w:val="none"/>
        </w:rPr>
        <w:t>月30日，兖煤澳洲为其子公司提供担保余额为600万澳元，兖煤澳洲下属子公司以银行保函和保险保函形式为兖煤澳洲、兖煤澳洲下属子公司、兖矿能源澳洲附属公司提供担保余额为9.5</w:t>
      </w:r>
      <w:r>
        <w:rPr>
          <w:rFonts w:ascii="宋体" w:hAnsi="宋体"/>
          <w:color w:val="000000"/>
          <w:sz w:val="28"/>
          <w:szCs w:val="28"/>
          <w:highlight w:val="none"/>
        </w:rPr>
        <w:t>6</w:t>
      </w:r>
      <w:r>
        <w:rPr>
          <w:rFonts w:hint="eastAsia" w:ascii="宋体" w:hAnsi="宋体"/>
          <w:color w:val="000000"/>
          <w:sz w:val="28"/>
          <w:szCs w:val="28"/>
          <w:highlight w:val="none"/>
        </w:rPr>
        <w:t>亿澳元，</w:t>
      </w:r>
      <w:bookmarkStart w:id="0" w:name="_Hlk127454364"/>
      <w:r>
        <w:rPr>
          <w:rFonts w:hint="eastAsia" w:ascii="宋体" w:hAnsi="宋体"/>
          <w:color w:val="000000"/>
          <w:sz w:val="28"/>
          <w:szCs w:val="28"/>
          <w:highlight w:val="none"/>
        </w:rPr>
        <w:t>前述担保余额合计为9.6</w:t>
      </w:r>
      <w:r>
        <w:rPr>
          <w:rFonts w:ascii="宋体" w:hAnsi="宋体"/>
          <w:color w:val="000000"/>
          <w:sz w:val="28"/>
          <w:szCs w:val="28"/>
          <w:highlight w:val="none"/>
        </w:rPr>
        <w:t>2</w:t>
      </w:r>
      <w:r>
        <w:rPr>
          <w:rFonts w:hint="eastAsia" w:ascii="宋体" w:hAnsi="宋体"/>
          <w:color w:val="000000"/>
          <w:sz w:val="28"/>
          <w:szCs w:val="28"/>
          <w:highlight w:val="none"/>
        </w:rPr>
        <w:t>亿澳元</w:t>
      </w:r>
      <w:bookmarkEnd w:id="0"/>
      <w:r>
        <w:rPr>
          <w:rFonts w:hint="eastAsia" w:ascii="宋体" w:hAnsi="宋体"/>
          <w:color w:val="000000"/>
          <w:sz w:val="28"/>
          <w:szCs w:val="28"/>
          <w:highlight w:val="none"/>
        </w:rPr>
        <w:t>。</w:t>
      </w:r>
    </w:p>
    <w:p>
      <w:pPr>
        <w:adjustRightInd w:val="0"/>
        <w:snapToGrid w:val="0"/>
        <w:spacing w:line="520" w:lineRule="exact"/>
        <w:ind w:firstLine="539"/>
        <w:rPr>
          <w:rFonts w:ascii="宋体" w:hAnsi="宋体"/>
          <w:b/>
          <w:color w:val="000000"/>
          <w:sz w:val="28"/>
          <w:szCs w:val="28"/>
          <w:highlight w:val="none"/>
        </w:rPr>
      </w:pPr>
      <w:r>
        <w:rPr>
          <w:rFonts w:hint="eastAsia" w:ascii="宋体" w:hAnsi="宋体"/>
          <w:b/>
          <w:color w:val="000000"/>
          <w:sz w:val="28"/>
          <w:szCs w:val="28"/>
          <w:highlight w:val="none"/>
        </w:rPr>
        <w:t>（二）担保事项履行的内部决策程序</w:t>
      </w:r>
    </w:p>
    <w:p>
      <w:pPr>
        <w:adjustRightInd w:val="0"/>
        <w:snapToGrid w:val="0"/>
        <w:spacing w:line="520" w:lineRule="exact"/>
        <w:ind w:firstLine="539"/>
        <w:rPr>
          <w:rFonts w:ascii="宋体" w:hAnsi="宋体"/>
          <w:color w:val="000000"/>
          <w:sz w:val="28"/>
          <w:szCs w:val="28"/>
          <w:highlight w:val="none"/>
        </w:rPr>
      </w:pPr>
      <w:r>
        <w:rPr>
          <w:rFonts w:hint="eastAsia" w:ascii="宋体" w:hAnsi="宋体"/>
          <w:color w:val="000000"/>
          <w:sz w:val="28"/>
          <w:szCs w:val="28"/>
          <w:highlight w:val="none"/>
        </w:rPr>
        <w:t>公司于20</w:t>
      </w:r>
      <w:r>
        <w:rPr>
          <w:rFonts w:ascii="宋体" w:hAnsi="宋体"/>
          <w:color w:val="000000"/>
          <w:sz w:val="28"/>
          <w:szCs w:val="28"/>
          <w:highlight w:val="none"/>
        </w:rPr>
        <w:t>2</w:t>
      </w:r>
      <w:r>
        <w:rPr>
          <w:rFonts w:hint="eastAsia" w:ascii="宋体" w:hAnsi="宋体"/>
          <w:color w:val="000000"/>
          <w:sz w:val="28"/>
          <w:szCs w:val="28"/>
          <w:highlight w:val="none"/>
          <w:lang w:val="en-US" w:eastAsia="zh-CN"/>
        </w:rPr>
        <w:t>3</w:t>
      </w:r>
      <w:r>
        <w:rPr>
          <w:rFonts w:hint="eastAsia" w:ascii="宋体" w:hAnsi="宋体"/>
          <w:color w:val="000000"/>
          <w:sz w:val="28"/>
          <w:szCs w:val="28"/>
          <w:highlight w:val="none"/>
        </w:rPr>
        <w:t>年3月</w:t>
      </w:r>
      <w:r>
        <w:rPr>
          <w:rFonts w:hint="eastAsia" w:ascii="宋体" w:hAnsi="宋体"/>
          <w:color w:val="000000"/>
          <w:sz w:val="28"/>
          <w:szCs w:val="28"/>
          <w:highlight w:val="none"/>
          <w:lang w:val="en-US" w:eastAsia="zh-CN"/>
        </w:rPr>
        <w:t>24</w:t>
      </w:r>
      <w:r>
        <w:rPr>
          <w:rFonts w:hint="eastAsia" w:ascii="宋体" w:hAnsi="宋体"/>
          <w:color w:val="000000"/>
          <w:sz w:val="28"/>
          <w:szCs w:val="28"/>
          <w:highlight w:val="none"/>
        </w:rPr>
        <w:t>日召开的第八届董事会第二十</w:t>
      </w:r>
      <w:r>
        <w:rPr>
          <w:rFonts w:hint="eastAsia" w:ascii="宋体" w:hAnsi="宋体"/>
          <w:color w:val="000000"/>
          <w:sz w:val="28"/>
          <w:szCs w:val="28"/>
          <w:highlight w:val="none"/>
          <w:lang w:val="en-US" w:eastAsia="zh-CN"/>
        </w:rPr>
        <w:t>七</w:t>
      </w:r>
      <w:r>
        <w:rPr>
          <w:rFonts w:hint="eastAsia" w:ascii="宋体" w:hAnsi="宋体"/>
          <w:color w:val="000000"/>
          <w:sz w:val="28"/>
          <w:szCs w:val="28"/>
          <w:highlight w:val="none"/>
        </w:rPr>
        <w:t>次会议、于20</w:t>
      </w:r>
      <w:r>
        <w:rPr>
          <w:rFonts w:ascii="宋体" w:hAnsi="宋体"/>
          <w:color w:val="000000"/>
          <w:sz w:val="28"/>
          <w:szCs w:val="28"/>
          <w:highlight w:val="none"/>
        </w:rPr>
        <w:t>2</w:t>
      </w:r>
      <w:r>
        <w:rPr>
          <w:rFonts w:hint="eastAsia" w:ascii="宋体" w:hAnsi="宋体"/>
          <w:color w:val="000000"/>
          <w:sz w:val="28"/>
          <w:szCs w:val="28"/>
          <w:highlight w:val="none"/>
          <w:lang w:val="en-US" w:eastAsia="zh-CN"/>
        </w:rPr>
        <w:t>3</w:t>
      </w:r>
      <w:r>
        <w:rPr>
          <w:rFonts w:hint="eastAsia" w:ascii="宋体" w:hAnsi="宋体"/>
          <w:color w:val="000000"/>
          <w:sz w:val="28"/>
          <w:szCs w:val="28"/>
          <w:highlight w:val="none"/>
        </w:rPr>
        <w:t>年</w:t>
      </w:r>
      <w:r>
        <w:rPr>
          <w:rFonts w:ascii="宋体" w:hAnsi="宋体"/>
          <w:color w:val="000000"/>
          <w:sz w:val="28"/>
          <w:szCs w:val="28"/>
          <w:highlight w:val="none"/>
        </w:rPr>
        <w:t>6</w:t>
      </w:r>
      <w:r>
        <w:rPr>
          <w:rFonts w:hint="eastAsia" w:ascii="宋体" w:hAnsi="宋体"/>
          <w:color w:val="000000"/>
          <w:sz w:val="28"/>
          <w:szCs w:val="28"/>
          <w:highlight w:val="none"/>
        </w:rPr>
        <w:t>月30日召开的2</w:t>
      </w:r>
      <w:r>
        <w:rPr>
          <w:rFonts w:ascii="宋体" w:hAnsi="宋体"/>
          <w:color w:val="000000"/>
          <w:sz w:val="28"/>
          <w:szCs w:val="28"/>
          <w:highlight w:val="none"/>
        </w:rPr>
        <w:t>02</w:t>
      </w:r>
      <w:r>
        <w:rPr>
          <w:rFonts w:hint="eastAsia" w:ascii="宋体" w:hAnsi="宋体"/>
          <w:color w:val="000000"/>
          <w:sz w:val="28"/>
          <w:szCs w:val="28"/>
          <w:highlight w:val="none"/>
          <w:lang w:val="en-US" w:eastAsia="zh-CN"/>
        </w:rPr>
        <w:t>2</w:t>
      </w:r>
      <w:r>
        <w:rPr>
          <w:rFonts w:hint="eastAsia" w:ascii="宋体" w:hAnsi="宋体"/>
          <w:color w:val="000000"/>
          <w:sz w:val="28"/>
          <w:szCs w:val="28"/>
          <w:highlight w:val="none"/>
        </w:rPr>
        <w:t>年度股东周年大会审议通过了《关于向子公司提供融资担保和授权兖煤澳洲及其子公司向兖矿能源澳洲附属公司提供日常经营担保的议案》，批准公司及控股公司向控股公司及参股公司提供不超过等值</w:t>
      </w:r>
      <w:r>
        <w:rPr>
          <w:rFonts w:ascii="宋体" w:hAnsi="宋体"/>
          <w:color w:val="000000"/>
          <w:sz w:val="28"/>
          <w:szCs w:val="28"/>
          <w:highlight w:val="none"/>
        </w:rPr>
        <w:t>5</w:t>
      </w:r>
      <w:r>
        <w:rPr>
          <w:rFonts w:hint="eastAsia" w:ascii="宋体" w:hAnsi="宋体"/>
          <w:color w:val="000000"/>
          <w:sz w:val="28"/>
          <w:szCs w:val="28"/>
          <w:highlight w:val="none"/>
        </w:rPr>
        <w:t>0亿美元的融资担保；批准兖煤澳洲及其子公司向公司澳洲附属公司提供不超过1</w:t>
      </w:r>
      <w:r>
        <w:rPr>
          <w:rFonts w:hint="eastAsia" w:ascii="宋体" w:hAnsi="宋体"/>
          <w:color w:val="000000"/>
          <w:sz w:val="28"/>
          <w:szCs w:val="28"/>
          <w:highlight w:val="none"/>
          <w:lang w:val="en-US" w:eastAsia="zh-CN"/>
        </w:rPr>
        <w:t>5</w:t>
      </w:r>
      <w:r>
        <w:rPr>
          <w:rFonts w:hint="eastAsia" w:ascii="宋体" w:hAnsi="宋体"/>
          <w:color w:val="000000"/>
          <w:sz w:val="28"/>
          <w:szCs w:val="28"/>
          <w:highlight w:val="none"/>
        </w:rPr>
        <w:t>亿澳元的日常经营担保。</w:t>
      </w:r>
    </w:p>
    <w:p>
      <w:pPr>
        <w:adjustRightInd w:val="0"/>
        <w:snapToGrid w:val="0"/>
        <w:spacing w:line="520" w:lineRule="exact"/>
        <w:ind w:firstLine="539"/>
        <w:rPr>
          <w:rFonts w:ascii="宋体" w:hAnsi="宋体"/>
          <w:color w:val="000000"/>
          <w:sz w:val="28"/>
          <w:szCs w:val="28"/>
          <w:highlight w:val="none"/>
        </w:rPr>
      </w:pPr>
      <w:r>
        <w:rPr>
          <w:rFonts w:hint="eastAsia" w:ascii="宋体" w:hAnsi="宋体"/>
          <w:color w:val="000000"/>
          <w:sz w:val="28"/>
          <w:szCs w:val="28"/>
          <w:highlight w:val="none"/>
        </w:rPr>
        <w:t>本次担保事项及金额均在公司已履行审批程序的担保额度以内，无需履行其他审批程序。</w:t>
      </w:r>
    </w:p>
    <w:p>
      <w:pPr>
        <w:spacing w:beforeLines="50" w:afterLines="50" w:line="520" w:lineRule="exact"/>
        <w:ind w:firstLine="560" w:firstLineChars="200"/>
        <w:rPr>
          <w:rFonts w:hint="eastAsia" w:ascii="楷体" w:hAnsi="楷体" w:eastAsia="楷体"/>
          <w:sz w:val="28"/>
          <w:szCs w:val="28"/>
          <w:highlight w:val="none"/>
        </w:rPr>
      </w:pPr>
      <w:r>
        <w:rPr>
          <w:rFonts w:hint="eastAsia" w:ascii="楷体" w:hAnsi="楷体" w:eastAsia="楷体"/>
          <w:sz w:val="28"/>
          <w:szCs w:val="28"/>
          <w:highlight w:val="none"/>
        </w:rPr>
        <w:t>有关详情请见公司日期为202</w:t>
      </w:r>
      <w:r>
        <w:rPr>
          <w:rFonts w:hint="eastAsia" w:ascii="楷体" w:hAnsi="楷体" w:eastAsia="楷体"/>
          <w:sz w:val="28"/>
          <w:szCs w:val="28"/>
          <w:highlight w:val="none"/>
          <w:lang w:val="en-US" w:eastAsia="zh-CN"/>
        </w:rPr>
        <w:t>3</w:t>
      </w:r>
      <w:r>
        <w:rPr>
          <w:rFonts w:hint="eastAsia" w:ascii="楷体" w:hAnsi="楷体" w:eastAsia="楷体"/>
          <w:sz w:val="28"/>
          <w:szCs w:val="28"/>
          <w:highlight w:val="none"/>
        </w:rPr>
        <w:t>年</w:t>
      </w:r>
      <w:r>
        <w:rPr>
          <w:rFonts w:hint="eastAsia" w:ascii="楷体" w:hAnsi="楷体" w:eastAsia="楷体"/>
          <w:sz w:val="28"/>
          <w:szCs w:val="28"/>
          <w:highlight w:val="none"/>
          <w:lang w:val="en-US" w:eastAsia="zh-CN"/>
        </w:rPr>
        <w:t>3</w:t>
      </w:r>
      <w:r>
        <w:rPr>
          <w:rFonts w:hint="eastAsia" w:ascii="楷体" w:hAnsi="楷体" w:eastAsia="楷体"/>
          <w:sz w:val="28"/>
          <w:szCs w:val="28"/>
          <w:highlight w:val="none"/>
        </w:rPr>
        <w:t>月</w:t>
      </w:r>
      <w:r>
        <w:rPr>
          <w:rFonts w:hint="eastAsia" w:ascii="楷体" w:hAnsi="楷体" w:eastAsia="楷体"/>
          <w:sz w:val="28"/>
          <w:szCs w:val="28"/>
          <w:highlight w:val="none"/>
          <w:lang w:val="en-US" w:eastAsia="zh-CN"/>
        </w:rPr>
        <w:t>24</w:t>
      </w:r>
      <w:r>
        <w:rPr>
          <w:rFonts w:hint="eastAsia" w:ascii="楷体" w:hAnsi="楷体" w:eastAsia="楷体"/>
          <w:sz w:val="28"/>
          <w:szCs w:val="28"/>
          <w:highlight w:val="none"/>
        </w:rPr>
        <w:t>日的公司第八届董事会第二十</w:t>
      </w:r>
      <w:r>
        <w:rPr>
          <w:rFonts w:hint="eastAsia" w:ascii="楷体" w:hAnsi="楷体" w:eastAsia="楷体"/>
          <w:sz w:val="28"/>
          <w:szCs w:val="28"/>
          <w:highlight w:val="none"/>
          <w:lang w:val="en-US" w:eastAsia="zh-CN"/>
        </w:rPr>
        <w:t>七</w:t>
      </w:r>
      <w:r>
        <w:rPr>
          <w:rFonts w:hint="eastAsia" w:ascii="楷体" w:hAnsi="楷体" w:eastAsia="楷体"/>
          <w:sz w:val="28"/>
          <w:szCs w:val="28"/>
          <w:highlight w:val="none"/>
        </w:rPr>
        <w:t>次会议决议公告、关于向子公司提供融资担保和授权兖煤澳洲及其子公司向兖矿能源澳洲附属公司提供日常经营担保的公告，日期为202</w:t>
      </w:r>
      <w:r>
        <w:rPr>
          <w:rFonts w:hint="eastAsia" w:ascii="楷体" w:hAnsi="楷体" w:eastAsia="楷体"/>
          <w:sz w:val="28"/>
          <w:szCs w:val="28"/>
          <w:highlight w:val="none"/>
          <w:lang w:val="en-US" w:eastAsia="zh-CN"/>
        </w:rPr>
        <w:t>3</w:t>
      </w:r>
      <w:r>
        <w:rPr>
          <w:rFonts w:hint="eastAsia" w:ascii="楷体" w:hAnsi="楷体" w:eastAsia="楷体"/>
          <w:sz w:val="28"/>
          <w:szCs w:val="28"/>
          <w:highlight w:val="none"/>
        </w:rPr>
        <w:t>年</w:t>
      </w:r>
      <w:r>
        <w:rPr>
          <w:rFonts w:ascii="楷体" w:hAnsi="楷体" w:eastAsia="楷体"/>
          <w:sz w:val="28"/>
          <w:szCs w:val="28"/>
          <w:highlight w:val="none"/>
        </w:rPr>
        <w:t>6</w:t>
      </w:r>
      <w:r>
        <w:rPr>
          <w:rFonts w:hint="eastAsia" w:ascii="楷体" w:hAnsi="楷体" w:eastAsia="楷体"/>
          <w:sz w:val="28"/>
          <w:szCs w:val="28"/>
          <w:highlight w:val="none"/>
        </w:rPr>
        <w:t>月</w:t>
      </w:r>
      <w:r>
        <w:rPr>
          <w:rFonts w:ascii="楷体" w:hAnsi="楷体" w:eastAsia="楷体"/>
          <w:sz w:val="28"/>
          <w:szCs w:val="28"/>
          <w:highlight w:val="none"/>
        </w:rPr>
        <w:t>30</w:t>
      </w:r>
      <w:r>
        <w:rPr>
          <w:rFonts w:hint="eastAsia" w:ascii="楷体" w:hAnsi="楷体" w:eastAsia="楷体"/>
          <w:sz w:val="28"/>
          <w:szCs w:val="28"/>
          <w:highlight w:val="none"/>
        </w:rPr>
        <w:t>日的公司2</w:t>
      </w:r>
      <w:r>
        <w:rPr>
          <w:rFonts w:ascii="楷体" w:hAnsi="楷体" w:eastAsia="楷体"/>
          <w:sz w:val="28"/>
          <w:szCs w:val="28"/>
          <w:highlight w:val="none"/>
        </w:rPr>
        <w:t>02</w:t>
      </w:r>
      <w:r>
        <w:rPr>
          <w:rFonts w:hint="eastAsia" w:ascii="楷体" w:hAnsi="楷体" w:eastAsia="楷体"/>
          <w:sz w:val="28"/>
          <w:szCs w:val="28"/>
          <w:highlight w:val="none"/>
          <w:lang w:val="en-US" w:eastAsia="zh-CN"/>
        </w:rPr>
        <w:t>2</w:t>
      </w:r>
      <w:r>
        <w:rPr>
          <w:rFonts w:hint="eastAsia" w:ascii="楷体" w:hAnsi="楷体" w:eastAsia="楷体"/>
          <w:sz w:val="28"/>
          <w:szCs w:val="28"/>
          <w:highlight w:val="none"/>
        </w:rPr>
        <w:t>年度股东周年大会决议公告。该等资料刊载于上海证券交易所网站、香港联合交易所有限公司网站、公司网站及/或中国境内《中国证券报》《上海证券报》《证券时报》《证券日报》。</w:t>
      </w:r>
    </w:p>
    <w:p>
      <w:pPr>
        <w:adjustRightInd w:val="0"/>
        <w:snapToGrid w:val="0"/>
        <w:spacing w:line="520" w:lineRule="exact"/>
        <w:ind w:firstLine="539"/>
        <w:rPr>
          <w:rFonts w:ascii="宋体" w:hAnsi="宋体"/>
          <w:b/>
          <w:color w:val="000000"/>
          <w:sz w:val="28"/>
          <w:szCs w:val="28"/>
          <w:highlight w:val="none"/>
        </w:rPr>
      </w:pPr>
      <w:r>
        <w:rPr>
          <w:rFonts w:hint="eastAsia" w:ascii="宋体" w:hAnsi="宋体"/>
          <w:b/>
          <w:color w:val="000000"/>
          <w:sz w:val="28"/>
          <w:szCs w:val="28"/>
          <w:highlight w:val="none"/>
        </w:rPr>
        <w:t>二、被担保人担保情况</w:t>
      </w:r>
    </w:p>
    <w:p>
      <w:pPr>
        <w:adjustRightInd w:val="0"/>
        <w:snapToGrid w:val="0"/>
        <w:spacing w:line="520" w:lineRule="exact"/>
        <w:ind w:firstLine="539"/>
        <w:rPr>
          <w:rFonts w:hint="eastAsia" w:ascii="宋体" w:hAnsi="宋体" w:eastAsia="宋体"/>
          <w:b/>
          <w:color w:val="000000"/>
          <w:sz w:val="28"/>
          <w:szCs w:val="28"/>
          <w:highlight w:val="none"/>
          <w:lang w:val="en-US" w:eastAsia="zh-CN"/>
        </w:rPr>
      </w:pPr>
      <w:r>
        <w:rPr>
          <w:rFonts w:hint="eastAsia" w:ascii="宋体" w:hAnsi="宋体"/>
          <w:b/>
          <w:color w:val="000000"/>
          <w:sz w:val="28"/>
          <w:szCs w:val="28"/>
          <w:highlight w:val="none"/>
        </w:rPr>
        <w:t>（一）</w:t>
      </w:r>
      <w:r>
        <w:rPr>
          <w:rFonts w:hint="eastAsia" w:ascii="宋体" w:hAnsi="宋体"/>
          <w:b/>
          <w:color w:val="000000"/>
          <w:sz w:val="28"/>
          <w:szCs w:val="28"/>
          <w:highlight w:val="none"/>
          <w:lang w:eastAsia="zh-CN"/>
        </w:rPr>
        <w:t>伊新煤业</w:t>
      </w:r>
    </w:p>
    <w:p>
      <w:pPr>
        <w:adjustRightInd w:val="0"/>
        <w:snapToGrid w:val="0"/>
        <w:spacing w:afterLines="50" w:line="520" w:lineRule="exact"/>
        <w:ind w:firstLine="539"/>
        <w:rPr>
          <w:rFonts w:ascii="宋体" w:hAnsi="宋体"/>
          <w:color w:val="000000"/>
          <w:sz w:val="28"/>
          <w:szCs w:val="28"/>
          <w:highlight w:val="none"/>
        </w:rPr>
      </w:pPr>
      <w:r>
        <w:rPr>
          <w:rFonts w:hint="eastAsia" w:ascii="宋体" w:hAnsi="宋体"/>
          <w:color w:val="000000"/>
          <w:sz w:val="28"/>
          <w:szCs w:val="28"/>
          <w:highlight w:val="none"/>
          <w:lang w:val="en-US" w:eastAsia="zh-CN"/>
        </w:rPr>
        <w:t>伊新煤业</w:t>
      </w:r>
      <w:r>
        <w:rPr>
          <w:rFonts w:hint="eastAsia" w:ascii="宋体" w:hAnsi="宋体"/>
          <w:color w:val="000000"/>
          <w:sz w:val="28"/>
          <w:szCs w:val="28"/>
          <w:highlight w:val="none"/>
        </w:rPr>
        <w:t>于</w:t>
      </w:r>
      <w:r>
        <w:rPr>
          <w:rFonts w:hint="eastAsia" w:ascii="宋体" w:hAnsi="宋体"/>
          <w:color w:val="000000"/>
          <w:sz w:val="28"/>
          <w:szCs w:val="28"/>
          <w:highlight w:val="none"/>
          <w:lang w:val="en-US" w:eastAsia="zh-CN"/>
        </w:rPr>
        <w:t>2010</w:t>
      </w:r>
      <w:r>
        <w:rPr>
          <w:rFonts w:hint="eastAsia" w:ascii="宋体" w:hAnsi="宋体"/>
          <w:color w:val="000000"/>
          <w:sz w:val="28"/>
          <w:szCs w:val="28"/>
          <w:highlight w:val="none"/>
        </w:rPr>
        <w:t>年</w:t>
      </w:r>
      <w:r>
        <w:rPr>
          <w:rFonts w:hint="eastAsia" w:ascii="宋体" w:hAnsi="宋体"/>
          <w:color w:val="000000"/>
          <w:sz w:val="28"/>
          <w:szCs w:val="28"/>
          <w:highlight w:val="none"/>
          <w:lang w:val="en-US" w:eastAsia="zh-CN"/>
        </w:rPr>
        <w:t>3</w:t>
      </w:r>
      <w:r>
        <w:rPr>
          <w:rFonts w:hint="eastAsia" w:ascii="宋体" w:hAnsi="宋体"/>
          <w:color w:val="000000"/>
          <w:sz w:val="28"/>
          <w:szCs w:val="28"/>
          <w:highlight w:val="none"/>
        </w:rPr>
        <w:t>月在</w:t>
      </w:r>
      <w:r>
        <w:rPr>
          <w:rFonts w:hint="eastAsia" w:ascii="宋体" w:hAnsi="宋体"/>
          <w:color w:val="000000"/>
          <w:sz w:val="28"/>
          <w:szCs w:val="28"/>
          <w:highlight w:val="none"/>
          <w:lang w:val="en-US" w:eastAsia="zh-CN"/>
        </w:rPr>
        <w:t>新疆伊犁哈萨克自治州霍城县注册</w:t>
      </w:r>
      <w:r>
        <w:rPr>
          <w:rFonts w:hint="eastAsia" w:ascii="宋体" w:hAnsi="宋体"/>
          <w:color w:val="000000"/>
          <w:sz w:val="28"/>
          <w:szCs w:val="28"/>
          <w:highlight w:val="none"/>
        </w:rPr>
        <w:t>成立，统一社会信用代码</w:t>
      </w:r>
      <w:r>
        <w:rPr>
          <w:rFonts w:hint="eastAsia" w:ascii="宋体" w:hAnsi="宋体"/>
          <w:color w:val="000000"/>
          <w:sz w:val="28"/>
          <w:szCs w:val="28"/>
          <w:highlight w:val="none"/>
          <w:lang w:val="en-US" w:eastAsia="zh-CN"/>
        </w:rPr>
        <w:t>91654023697847198C</w:t>
      </w:r>
      <w:r>
        <w:rPr>
          <w:rFonts w:hint="eastAsia" w:ascii="宋体" w:hAnsi="宋体"/>
          <w:color w:val="000000"/>
          <w:sz w:val="28"/>
          <w:szCs w:val="28"/>
          <w:highlight w:val="none"/>
        </w:rPr>
        <w:t>，法定代表人</w:t>
      </w:r>
      <w:r>
        <w:rPr>
          <w:rFonts w:hint="eastAsia" w:ascii="宋体" w:hAnsi="宋体"/>
          <w:color w:val="000000"/>
          <w:sz w:val="28"/>
          <w:szCs w:val="28"/>
          <w:highlight w:val="none"/>
          <w:lang w:val="en-US" w:eastAsia="zh-CN"/>
        </w:rPr>
        <w:t>吕文坡</w:t>
      </w:r>
      <w:r>
        <w:rPr>
          <w:rFonts w:hint="eastAsia" w:ascii="宋体" w:hAnsi="宋体"/>
          <w:color w:val="000000"/>
          <w:sz w:val="28"/>
          <w:szCs w:val="28"/>
          <w:highlight w:val="none"/>
        </w:rPr>
        <w:t>，注册资本金人民币</w:t>
      </w:r>
      <w:r>
        <w:rPr>
          <w:rFonts w:hint="eastAsia" w:ascii="宋体" w:hAnsi="宋体"/>
          <w:color w:val="000000"/>
          <w:sz w:val="28"/>
          <w:szCs w:val="28"/>
          <w:highlight w:val="none"/>
          <w:lang w:val="en-US" w:eastAsia="zh-CN"/>
        </w:rPr>
        <w:t>13.86</w:t>
      </w:r>
      <w:r>
        <w:rPr>
          <w:rFonts w:hint="eastAsia" w:ascii="宋体" w:hAnsi="宋体"/>
          <w:color w:val="000000"/>
          <w:sz w:val="28"/>
          <w:szCs w:val="28"/>
          <w:highlight w:val="none"/>
        </w:rPr>
        <w:t>亿元，主要经营业务</w:t>
      </w:r>
      <w:r>
        <w:rPr>
          <w:rFonts w:hint="eastAsia" w:ascii="宋体" w:hAnsi="宋体"/>
          <w:color w:val="000000"/>
          <w:sz w:val="28"/>
          <w:szCs w:val="28"/>
          <w:highlight w:val="none"/>
          <w:lang w:val="en-US" w:eastAsia="zh-CN"/>
        </w:rPr>
        <w:t>为煤炭开采、加工、销售，煤炭开采技术的研究与咨询、服务等</w:t>
      </w:r>
      <w:r>
        <w:rPr>
          <w:rFonts w:hint="eastAsia" w:ascii="宋体" w:hAnsi="宋体"/>
          <w:color w:val="auto"/>
          <w:sz w:val="28"/>
          <w:szCs w:val="28"/>
          <w:highlight w:val="none"/>
        </w:rPr>
        <w:t>，为兖矿能源控股子公司</w:t>
      </w:r>
      <w:r>
        <w:rPr>
          <w:rFonts w:hint="eastAsia" w:ascii="宋体" w:hAnsi="宋体"/>
          <w:color w:val="000000"/>
          <w:sz w:val="28"/>
          <w:szCs w:val="28"/>
          <w:highlight w:val="none"/>
        </w:rPr>
        <w:t>，其股权结构如下：</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2"/>
        <w:gridCol w:w="3288"/>
        <w:gridCol w:w="2265"/>
        <w:gridCol w:w="2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adjustRightInd w:val="0"/>
              <w:snapToGrid w:val="0"/>
              <w:spacing w:line="560" w:lineRule="exact"/>
              <w:jc w:val="center"/>
              <w:rPr>
                <w:rFonts w:ascii="宋体" w:hAnsi="宋体"/>
                <w:b/>
                <w:bCs/>
                <w:color w:val="000000"/>
                <w:szCs w:val="21"/>
                <w:highlight w:val="none"/>
              </w:rPr>
            </w:pPr>
            <w:r>
              <w:rPr>
                <w:rFonts w:hint="eastAsia" w:ascii="宋体" w:hAnsi="宋体"/>
                <w:b/>
                <w:bCs/>
                <w:color w:val="000000"/>
                <w:szCs w:val="21"/>
                <w:highlight w:val="none"/>
              </w:rPr>
              <w:t>序号</w:t>
            </w:r>
          </w:p>
        </w:tc>
        <w:tc>
          <w:tcPr>
            <w:tcW w:w="3288" w:type="dxa"/>
            <w:vAlign w:val="center"/>
          </w:tcPr>
          <w:p>
            <w:pPr>
              <w:adjustRightInd w:val="0"/>
              <w:snapToGrid w:val="0"/>
              <w:spacing w:line="560" w:lineRule="exact"/>
              <w:jc w:val="center"/>
              <w:rPr>
                <w:rFonts w:ascii="宋体" w:hAnsi="宋体"/>
                <w:b/>
                <w:bCs/>
                <w:color w:val="000000"/>
                <w:szCs w:val="21"/>
                <w:highlight w:val="none"/>
              </w:rPr>
            </w:pPr>
            <w:r>
              <w:rPr>
                <w:rFonts w:hint="eastAsia" w:ascii="宋体" w:hAnsi="宋体"/>
                <w:b/>
                <w:bCs/>
                <w:color w:val="000000"/>
                <w:szCs w:val="21"/>
                <w:highlight w:val="none"/>
              </w:rPr>
              <w:t>名称</w:t>
            </w:r>
          </w:p>
        </w:tc>
        <w:tc>
          <w:tcPr>
            <w:tcW w:w="2265" w:type="dxa"/>
            <w:vAlign w:val="center"/>
          </w:tcPr>
          <w:p>
            <w:pPr>
              <w:adjustRightInd w:val="0"/>
              <w:snapToGrid w:val="0"/>
              <w:spacing w:line="560" w:lineRule="exact"/>
              <w:jc w:val="center"/>
              <w:rPr>
                <w:rFonts w:ascii="宋体" w:hAnsi="宋体"/>
                <w:b/>
                <w:bCs/>
                <w:color w:val="000000"/>
                <w:szCs w:val="21"/>
                <w:highlight w:val="none"/>
              </w:rPr>
            </w:pPr>
            <w:r>
              <w:rPr>
                <w:rFonts w:hint="eastAsia" w:ascii="宋体" w:hAnsi="宋体"/>
                <w:b/>
                <w:bCs/>
                <w:color w:val="000000"/>
                <w:szCs w:val="21"/>
                <w:highlight w:val="none"/>
              </w:rPr>
              <w:t>出资额（亿元）</w:t>
            </w:r>
          </w:p>
        </w:tc>
        <w:tc>
          <w:tcPr>
            <w:tcW w:w="2265" w:type="dxa"/>
            <w:vAlign w:val="center"/>
          </w:tcPr>
          <w:p>
            <w:pPr>
              <w:adjustRightInd w:val="0"/>
              <w:snapToGrid w:val="0"/>
              <w:spacing w:line="560" w:lineRule="exact"/>
              <w:jc w:val="center"/>
              <w:rPr>
                <w:rFonts w:ascii="宋体" w:hAnsi="宋体"/>
                <w:b/>
                <w:bCs/>
                <w:color w:val="000000"/>
                <w:szCs w:val="21"/>
                <w:highlight w:val="none"/>
              </w:rPr>
            </w:pPr>
            <w:r>
              <w:rPr>
                <w:rFonts w:hint="eastAsia" w:ascii="宋体" w:hAnsi="宋体"/>
                <w:b/>
                <w:bCs/>
                <w:color w:val="000000"/>
                <w:szCs w:val="21"/>
                <w:highlight w:val="none"/>
              </w:rPr>
              <w:t>持股比例（</w:t>
            </w:r>
            <w:r>
              <w:rPr>
                <w:rFonts w:ascii="宋体" w:hAnsi="宋体"/>
                <w:b/>
                <w:bCs/>
                <w:color w:val="000000"/>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adjustRightInd w:val="0"/>
              <w:snapToGrid w:val="0"/>
              <w:spacing w:line="560" w:lineRule="exact"/>
              <w:jc w:val="center"/>
              <w:rPr>
                <w:rFonts w:ascii="宋体" w:hAnsi="宋体"/>
                <w:color w:val="000000"/>
                <w:szCs w:val="21"/>
                <w:highlight w:val="none"/>
              </w:rPr>
            </w:pPr>
            <w:r>
              <w:rPr>
                <w:rFonts w:ascii="宋体" w:hAnsi="宋体"/>
                <w:color w:val="000000"/>
                <w:szCs w:val="21"/>
                <w:highlight w:val="none"/>
              </w:rPr>
              <w:t>1</w:t>
            </w:r>
          </w:p>
        </w:tc>
        <w:tc>
          <w:tcPr>
            <w:tcW w:w="3288" w:type="dxa"/>
            <w:vAlign w:val="center"/>
          </w:tcPr>
          <w:p>
            <w:pPr>
              <w:adjustRightInd w:val="0"/>
              <w:snapToGrid w:val="0"/>
              <w:spacing w:line="400" w:lineRule="exact"/>
              <w:jc w:val="center"/>
              <w:rPr>
                <w:rFonts w:hint="eastAsia" w:ascii="宋体" w:hAnsi="宋体" w:eastAsia="宋体"/>
                <w:color w:val="000000"/>
                <w:szCs w:val="21"/>
                <w:highlight w:val="none"/>
                <w:lang w:eastAsia="zh-CN"/>
              </w:rPr>
            </w:pPr>
            <w:r>
              <w:rPr>
                <w:rFonts w:hint="eastAsia" w:ascii="宋体" w:hAnsi="宋体"/>
                <w:color w:val="000000"/>
                <w:szCs w:val="21"/>
                <w:highlight w:val="none"/>
                <w:lang w:eastAsia="zh-CN"/>
              </w:rPr>
              <w:t>新汶矿业集团（伊犁）能源开发有限责任公司</w:t>
            </w:r>
          </w:p>
        </w:tc>
        <w:tc>
          <w:tcPr>
            <w:tcW w:w="2265" w:type="dxa"/>
            <w:vAlign w:val="center"/>
          </w:tcPr>
          <w:p>
            <w:pPr>
              <w:adjustRightInd w:val="0"/>
              <w:snapToGrid w:val="0"/>
              <w:spacing w:line="560" w:lineRule="exact"/>
              <w:jc w:val="center"/>
              <w:rPr>
                <w:rFonts w:hint="default" w:ascii="宋体" w:hAnsi="宋体" w:eastAsia="宋体"/>
                <w:color w:val="000000"/>
                <w:szCs w:val="21"/>
                <w:highlight w:val="none"/>
                <w:lang w:val="en-US" w:eastAsia="zh-CN"/>
              </w:rPr>
            </w:pPr>
            <w:r>
              <w:rPr>
                <w:rFonts w:hint="eastAsia" w:ascii="宋体" w:hAnsi="宋体"/>
                <w:color w:val="000000"/>
                <w:szCs w:val="21"/>
                <w:highlight w:val="none"/>
                <w:lang w:val="en-US" w:eastAsia="zh-CN"/>
              </w:rPr>
              <w:t>7.623</w:t>
            </w:r>
          </w:p>
        </w:tc>
        <w:tc>
          <w:tcPr>
            <w:tcW w:w="2265" w:type="dxa"/>
            <w:vAlign w:val="center"/>
          </w:tcPr>
          <w:p>
            <w:pPr>
              <w:adjustRightInd w:val="0"/>
              <w:snapToGrid w:val="0"/>
              <w:spacing w:line="560" w:lineRule="exact"/>
              <w:jc w:val="center"/>
              <w:rPr>
                <w:rFonts w:hint="eastAsia" w:ascii="宋体" w:hAnsi="宋体" w:eastAsia="宋体"/>
                <w:color w:val="000000"/>
                <w:szCs w:val="21"/>
                <w:highlight w:val="none"/>
                <w:lang w:val="en-US" w:eastAsia="zh-CN"/>
              </w:rPr>
            </w:pPr>
            <w:r>
              <w:rPr>
                <w:rFonts w:ascii="宋体" w:hAnsi="宋体"/>
                <w:color w:val="000000"/>
                <w:szCs w:val="21"/>
                <w:highlight w:val="none"/>
              </w:rPr>
              <w:t>5</w:t>
            </w:r>
            <w:r>
              <w:rPr>
                <w:rFonts w:hint="eastAsia" w:ascii="宋体" w:hAnsi="宋体"/>
                <w:color w:val="000000"/>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adjustRightInd w:val="0"/>
              <w:snapToGrid w:val="0"/>
              <w:spacing w:line="560" w:lineRule="exact"/>
              <w:jc w:val="center"/>
              <w:rPr>
                <w:rFonts w:ascii="宋体" w:hAnsi="宋体"/>
                <w:color w:val="000000"/>
                <w:szCs w:val="21"/>
                <w:highlight w:val="none"/>
              </w:rPr>
            </w:pPr>
            <w:r>
              <w:rPr>
                <w:rFonts w:ascii="宋体" w:hAnsi="宋体"/>
                <w:color w:val="000000"/>
                <w:szCs w:val="21"/>
                <w:highlight w:val="none"/>
              </w:rPr>
              <w:t>2</w:t>
            </w:r>
          </w:p>
        </w:tc>
        <w:tc>
          <w:tcPr>
            <w:tcW w:w="3288" w:type="dxa"/>
            <w:vAlign w:val="center"/>
          </w:tcPr>
          <w:p>
            <w:pPr>
              <w:adjustRightInd w:val="0"/>
              <w:snapToGrid w:val="0"/>
              <w:spacing w:line="360" w:lineRule="atLeast"/>
              <w:jc w:val="center"/>
              <w:rPr>
                <w:rFonts w:hint="eastAsia" w:ascii="宋体" w:hAnsi="宋体" w:eastAsia="宋体"/>
                <w:color w:val="000000"/>
                <w:szCs w:val="21"/>
                <w:highlight w:val="none"/>
                <w:lang w:eastAsia="zh-CN"/>
              </w:rPr>
            </w:pPr>
            <w:r>
              <w:rPr>
                <w:rFonts w:hint="eastAsia" w:ascii="宋体" w:hAnsi="宋体"/>
                <w:color w:val="000000"/>
                <w:szCs w:val="21"/>
                <w:highlight w:val="none"/>
                <w:lang w:eastAsia="zh-CN"/>
              </w:rPr>
              <w:t>浙江省能源集团有限公司</w:t>
            </w:r>
          </w:p>
        </w:tc>
        <w:tc>
          <w:tcPr>
            <w:tcW w:w="2265" w:type="dxa"/>
            <w:vAlign w:val="center"/>
          </w:tcPr>
          <w:p>
            <w:pPr>
              <w:adjustRightInd w:val="0"/>
              <w:snapToGrid w:val="0"/>
              <w:spacing w:line="560" w:lineRule="exact"/>
              <w:jc w:val="center"/>
              <w:rPr>
                <w:rFonts w:hint="default" w:ascii="宋体" w:hAnsi="宋体" w:eastAsia="宋体"/>
                <w:color w:val="000000"/>
                <w:szCs w:val="21"/>
                <w:highlight w:val="none"/>
                <w:lang w:val="en-US" w:eastAsia="zh-CN"/>
              </w:rPr>
            </w:pPr>
            <w:r>
              <w:rPr>
                <w:rFonts w:hint="eastAsia" w:ascii="宋体" w:hAnsi="宋体"/>
                <w:color w:val="000000"/>
                <w:szCs w:val="21"/>
                <w:highlight w:val="none"/>
                <w:lang w:val="en-US" w:eastAsia="zh-CN"/>
              </w:rPr>
              <w:t>6.237</w:t>
            </w:r>
          </w:p>
        </w:tc>
        <w:tc>
          <w:tcPr>
            <w:tcW w:w="2265" w:type="dxa"/>
            <w:vAlign w:val="center"/>
          </w:tcPr>
          <w:p>
            <w:pPr>
              <w:adjustRightInd w:val="0"/>
              <w:snapToGrid w:val="0"/>
              <w:spacing w:line="560" w:lineRule="exact"/>
              <w:jc w:val="center"/>
              <w:rPr>
                <w:rFonts w:hint="eastAsia" w:ascii="宋体" w:hAnsi="宋体" w:eastAsia="宋体"/>
                <w:color w:val="000000"/>
                <w:szCs w:val="21"/>
                <w:highlight w:val="none"/>
                <w:lang w:val="en-US" w:eastAsia="zh-CN"/>
              </w:rPr>
            </w:pPr>
            <w:r>
              <w:rPr>
                <w:rFonts w:ascii="宋体" w:hAnsi="宋体"/>
                <w:color w:val="000000"/>
                <w:szCs w:val="21"/>
                <w:highlight w:val="none"/>
              </w:rPr>
              <w:t>4</w:t>
            </w:r>
            <w:r>
              <w:rPr>
                <w:rFonts w:hint="eastAsia" w:ascii="宋体" w:hAnsi="宋体"/>
                <w:color w:val="000000"/>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vAlign w:val="center"/>
          </w:tcPr>
          <w:p>
            <w:pPr>
              <w:adjustRightInd w:val="0"/>
              <w:snapToGrid w:val="0"/>
              <w:spacing w:line="560" w:lineRule="exact"/>
              <w:jc w:val="center"/>
              <w:rPr>
                <w:rFonts w:ascii="宋体" w:hAnsi="宋体"/>
                <w:color w:val="000000"/>
                <w:szCs w:val="21"/>
                <w:highlight w:val="none"/>
              </w:rPr>
            </w:pPr>
            <w:r>
              <w:rPr>
                <w:rFonts w:hint="eastAsia" w:ascii="宋体" w:hAnsi="宋体"/>
                <w:color w:val="000000"/>
                <w:szCs w:val="21"/>
                <w:highlight w:val="none"/>
              </w:rPr>
              <w:t>合计</w:t>
            </w:r>
          </w:p>
        </w:tc>
        <w:tc>
          <w:tcPr>
            <w:tcW w:w="3288" w:type="dxa"/>
            <w:vAlign w:val="center"/>
          </w:tcPr>
          <w:p>
            <w:pPr>
              <w:adjustRightInd w:val="0"/>
              <w:snapToGrid w:val="0"/>
              <w:spacing w:line="560" w:lineRule="exact"/>
              <w:jc w:val="center"/>
              <w:rPr>
                <w:rFonts w:ascii="宋体" w:hAnsi="宋体"/>
                <w:color w:val="000000"/>
                <w:szCs w:val="21"/>
                <w:highlight w:val="none"/>
              </w:rPr>
            </w:pPr>
            <w:r>
              <w:rPr>
                <w:rFonts w:hint="eastAsia" w:ascii="宋体" w:hAnsi="宋体"/>
                <w:color w:val="000000"/>
                <w:szCs w:val="21"/>
                <w:highlight w:val="none"/>
              </w:rPr>
              <w:t>—</w:t>
            </w:r>
          </w:p>
        </w:tc>
        <w:tc>
          <w:tcPr>
            <w:tcW w:w="2265" w:type="dxa"/>
            <w:vAlign w:val="center"/>
          </w:tcPr>
          <w:p>
            <w:pPr>
              <w:adjustRightInd w:val="0"/>
              <w:snapToGrid w:val="0"/>
              <w:spacing w:line="560" w:lineRule="exact"/>
              <w:jc w:val="center"/>
              <w:rPr>
                <w:rFonts w:hint="default" w:ascii="宋体" w:hAnsi="宋体" w:eastAsia="宋体"/>
                <w:color w:val="000000"/>
                <w:szCs w:val="21"/>
                <w:highlight w:val="none"/>
                <w:lang w:val="en-US" w:eastAsia="zh-CN"/>
              </w:rPr>
            </w:pPr>
            <w:r>
              <w:rPr>
                <w:rFonts w:hint="eastAsia" w:ascii="宋体" w:hAnsi="宋体"/>
                <w:color w:val="000000"/>
                <w:szCs w:val="21"/>
                <w:highlight w:val="none"/>
                <w:lang w:val="en-US" w:eastAsia="zh-CN"/>
              </w:rPr>
              <w:t>13.86</w:t>
            </w:r>
          </w:p>
        </w:tc>
        <w:tc>
          <w:tcPr>
            <w:tcW w:w="2265" w:type="dxa"/>
            <w:vAlign w:val="center"/>
          </w:tcPr>
          <w:p>
            <w:pPr>
              <w:adjustRightInd w:val="0"/>
              <w:snapToGrid w:val="0"/>
              <w:spacing w:line="560" w:lineRule="exact"/>
              <w:jc w:val="center"/>
              <w:rPr>
                <w:rFonts w:ascii="宋体" w:hAnsi="宋体"/>
                <w:color w:val="000000"/>
                <w:szCs w:val="21"/>
                <w:highlight w:val="none"/>
              </w:rPr>
            </w:pPr>
            <w:r>
              <w:rPr>
                <w:rFonts w:ascii="宋体" w:hAnsi="宋体"/>
                <w:color w:val="000000"/>
                <w:szCs w:val="21"/>
                <w:highlight w:val="none"/>
              </w:rPr>
              <w:t>100</w:t>
            </w:r>
          </w:p>
        </w:tc>
      </w:tr>
    </w:tbl>
    <w:p>
      <w:pPr>
        <w:adjustRightInd w:val="0"/>
        <w:snapToGrid w:val="0"/>
        <w:spacing w:beforeLines="-2147483648" w:line="360" w:lineRule="atLeast"/>
        <w:ind w:firstLine="420" w:firstLineChars="200"/>
        <w:rPr>
          <w:rFonts w:hint="default" w:ascii="宋体" w:hAnsi="宋体"/>
          <w:color w:val="000000"/>
          <w:spacing w:val="0"/>
          <w:sz w:val="21"/>
          <w:szCs w:val="21"/>
          <w:highlight w:val="none"/>
          <w:lang w:val="en-US" w:eastAsia="zh-CN"/>
        </w:rPr>
      </w:pPr>
      <w:r>
        <w:rPr>
          <w:rFonts w:hint="eastAsia" w:ascii="宋体" w:hAnsi="宋体"/>
          <w:color w:val="000000"/>
          <w:spacing w:val="0"/>
          <w:sz w:val="21"/>
          <w:szCs w:val="21"/>
          <w:highlight w:val="none"/>
          <w:lang w:val="en-US" w:eastAsia="zh-CN"/>
        </w:rPr>
        <w:t>注：</w:t>
      </w:r>
      <w:r>
        <w:rPr>
          <w:rFonts w:hint="eastAsia" w:ascii="宋体" w:hAnsi="宋体"/>
          <w:color w:val="000000"/>
          <w:szCs w:val="21"/>
          <w:highlight w:val="none"/>
          <w:lang w:eastAsia="zh-CN"/>
        </w:rPr>
        <w:t>新汶矿业集团（伊犁）能源开发有限责任公司</w:t>
      </w:r>
      <w:r>
        <w:rPr>
          <w:rFonts w:hint="eastAsia" w:ascii="宋体" w:hAnsi="宋体"/>
          <w:color w:val="000000"/>
          <w:szCs w:val="21"/>
          <w:highlight w:val="none"/>
          <w:lang w:val="en-US" w:eastAsia="zh-CN"/>
        </w:rPr>
        <w:t>为新疆能化全资子公司。</w:t>
      </w:r>
    </w:p>
    <w:p>
      <w:pPr>
        <w:spacing w:beforeLines="50" w:line="520" w:lineRule="exact"/>
        <w:ind w:firstLine="612"/>
        <w:rPr>
          <w:rFonts w:ascii="宋体" w:hAnsi="宋体"/>
          <w:spacing w:val="-4"/>
          <w:sz w:val="28"/>
          <w:szCs w:val="28"/>
          <w:highlight w:val="none"/>
        </w:rPr>
      </w:pPr>
      <w:r>
        <w:rPr>
          <w:rFonts w:hint="eastAsia" w:ascii="宋体" w:hAnsi="宋体"/>
          <w:spacing w:val="-4"/>
          <w:sz w:val="28"/>
          <w:szCs w:val="28"/>
          <w:highlight w:val="none"/>
          <w:lang w:eastAsia="zh-CN"/>
        </w:rPr>
        <w:t>伊新煤业</w:t>
      </w:r>
      <w:r>
        <w:rPr>
          <w:rFonts w:hint="eastAsia" w:ascii="宋体" w:hAnsi="宋体"/>
          <w:spacing w:val="-4"/>
          <w:sz w:val="28"/>
          <w:szCs w:val="28"/>
          <w:highlight w:val="none"/>
        </w:rPr>
        <w:t>主要财务指标如下（按中国会计准则编制）：</w:t>
      </w:r>
    </w:p>
    <w:p>
      <w:pPr>
        <w:spacing w:before="156" w:line="500" w:lineRule="exact"/>
        <w:ind w:firstLine="5983" w:firstLineChars="2962"/>
        <w:rPr>
          <w:rFonts w:ascii="宋体" w:hAnsi="宋体"/>
          <w:spacing w:val="-4"/>
          <w:szCs w:val="21"/>
          <w:highlight w:val="none"/>
        </w:rPr>
      </w:pPr>
      <w:r>
        <w:rPr>
          <w:rFonts w:hint="eastAsia" w:ascii="宋体" w:hAnsi="宋体"/>
          <w:spacing w:val="-4"/>
          <w:szCs w:val="21"/>
          <w:highlight w:val="none"/>
        </w:rPr>
        <w:t>币种</w:t>
      </w:r>
      <w:r>
        <w:rPr>
          <w:rFonts w:ascii="宋体" w:hAnsi="宋体"/>
          <w:spacing w:val="-4"/>
          <w:szCs w:val="21"/>
          <w:highlight w:val="none"/>
        </w:rPr>
        <w:t xml:space="preserve">:人民币  </w:t>
      </w:r>
      <w:r>
        <w:rPr>
          <w:rFonts w:hint="eastAsia" w:ascii="宋体" w:hAnsi="宋体"/>
          <w:spacing w:val="-4"/>
          <w:szCs w:val="21"/>
          <w:highlight w:val="none"/>
        </w:rPr>
        <w:t>单位：千元</w:t>
      </w:r>
    </w:p>
    <w:tbl>
      <w:tblPr>
        <w:tblStyle w:val="14"/>
        <w:tblW w:w="4988" w:type="pct"/>
        <w:jc w:val="center"/>
        <w:tblLayout w:type="autofit"/>
        <w:tblCellMar>
          <w:top w:w="0" w:type="dxa"/>
          <w:left w:w="108" w:type="dxa"/>
          <w:bottom w:w="0" w:type="dxa"/>
          <w:right w:w="108" w:type="dxa"/>
        </w:tblCellMar>
      </w:tblPr>
      <w:tblGrid>
        <w:gridCol w:w="2970"/>
        <w:gridCol w:w="3149"/>
        <w:gridCol w:w="3004"/>
      </w:tblGrid>
      <w:tr>
        <w:tblPrEx>
          <w:tblCellMar>
            <w:top w:w="0" w:type="dxa"/>
            <w:left w:w="108" w:type="dxa"/>
            <w:bottom w:w="0" w:type="dxa"/>
            <w:right w:w="108" w:type="dxa"/>
          </w:tblCellMar>
        </w:tblPrEx>
        <w:trPr>
          <w:trHeight w:val="562" w:hRule="atLeast"/>
          <w:jc w:val="center"/>
        </w:trPr>
        <w:tc>
          <w:tcPr>
            <w:tcW w:w="162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项目</w:t>
            </w:r>
          </w:p>
        </w:tc>
        <w:tc>
          <w:tcPr>
            <w:tcW w:w="1726" w:type="pct"/>
            <w:tcBorders>
              <w:top w:val="single" w:color="auto" w:sz="4" w:space="0"/>
              <w:left w:val="nil"/>
              <w:bottom w:val="single" w:color="auto" w:sz="4" w:space="0"/>
              <w:right w:val="single" w:color="auto" w:sz="4" w:space="0"/>
            </w:tcBorders>
            <w:shd w:val="clear" w:color="auto" w:fill="auto"/>
            <w:vAlign w:val="center"/>
          </w:tcPr>
          <w:p>
            <w:pPr>
              <w:spacing w:line="500" w:lineRule="exact"/>
              <w:jc w:val="center"/>
              <w:rPr>
                <w:rFonts w:cs="宋体" w:asciiTheme="minorEastAsia" w:hAnsiTheme="minorEastAsia" w:eastAsiaTheme="minorEastAsia"/>
                <w:szCs w:val="21"/>
                <w:highlight w:val="none"/>
              </w:rPr>
            </w:pPr>
            <w:r>
              <w:rPr>
                <w:rFonts w:cs="宋体" w:asciiTheme="minorEastAsia" w:hAnsiTheme="minorEastAsia" w:eastAsiaTheme="minorEastAsia"/>
                <w:szCs w:val="21"/>
                <w:highlight w:val="none"/>
              </w:rPr>
              <w:t>2022年</w:t>
            </w:r>
            <w:r>
              <w:rPr>
                <w:rFonts w:hint="eastAsia" w:cs="宋体" w:asciiTheme="minorEastAsia" w:hAnsiTheme="minorEastAsia" w:eastAsiaTheme="minorEastAsia"/>
                <w:szCs w:val="21"/>
                <w:highlight w:val="none"/>
              </w:rPr>
              <w:t>12月</w:t>
            </w:r>
            <w:r>
              <w:rPr>
                <w:rFonts w:cs="宋体" w:asciiTheme="minorEastAsia" w:hAnsiTheme="minorEastAsia" w:eastAsiaTheme="minorEastAsia"/>
                <w:szCs w:val="21"/>
                <w:highlight w:val="none"/>
              </w:rPr>
              <w:t>3</w:t>
            </w:r>
            <w:r>
              <w:rPr>
                <w:rFonts w:hint="eastAsia" w:cs="宋体" w:asciiTheme="minorEastAsia" w:hAnsiTheme="minorEastAsia" w:eastAsiaTheme="minorEastAsia"/>
                <w:szCs w:val="21"/>
                <w:highlight w:val="none"/>
              </w:rPr>
              <w:t>1日</w:t>
            </w:r>
          </w:p>
        </w:tc>
        <w:tc>
          <w:tcPr>
            <w:tcW w:w="1646" w:type="pct"/>
            <w:tcBorders>
              <w:top w:val="single" w:color="auto" w:sz="4" w:space="0"/>
              <w:left w:val="nil"/>
              <w:bottom w:val="single" w:color="auto" w:sz="4" w:space="0"/>
              <w:right w:val="single" w:color="auto" w:sz="4" w:space="0"/>
            </w:tcBorders>
            <w:shd w:val="clear" w:color="auto" w:fill="auto"/>
            <w:vAlign w:val="center"/>
          </w:tcPr>
          <w:p>
            <w:pPr>
              <w:spacing w:line="500" w:lineRule="exact"/>
              <w:ind w:left="-73" w:leftChars="-35"/>
              <w:jc w:val="center"/>
              <w:rPr>
                <w:rFonts w:cs="宋体" w:asciiTheme="minorEastAsia" w:hAnsiTheme="minorEastAsia" w:eastAsiaTheme="minorEastAsia"/>
                <w:szCs w:val="21"/>
                <w:highlight w:val="none"/>
              </w:rPr>
            </w:pPr>
            <w:r>
              <w:rPr>
                <w:rFonts w:cs="宋体" w:asciiTheme="minorEastAsia" w:hAnsiTheme="minorEastAsia" w:eastAsiaTheme="minorEastAsia"/>
                <w:szCs w:val="21"/>
                <w:highlight w:val="none"/>
              </w:rPr>
              <w:t>202</w:t>
            </w:r>
            <w:r>
              <w:rPr>
                <w:rFonts w:hint="eastAsia" w:cs="宋体" w:asciiTheme="minorEastAsia" w:hAnsiTheme="minorEastAsia" w:eastAsiaTheme="minorEastAsia"/>
                <w:szCs w:val="21"/>
                <w:highlight w:val="none"/>
                <w:lang w:val="en-US" w:eastAsia="zh-CN"/>
              </w:rPr>
              <w:t>3</w:t>
            </w:r>
            <w:r>
              <w:rPr>
                <w:rFonts w:cs="宋体" w:asciiTheme="minorEastAsia" w:hAnsiTheme="minorEastAsia" w:eastAsiaTheme="minorEastAsia"/>
                <w:szCs w:val="21"/>
                <w:highlight w:val="none"/>
              </w:rPr>
              <w:t>年</w:t>
            </w:r>
            <w:r>
              <w:rPr>
                <w:rFonts w:hint="eastAsia" w:cs="宋体" w:asciiTheme="minorEastAsia" w:hAnsiTheme="minorEastAsia" w:eastAsiaTheme="minorEastAsia"/>
                <w:szCs w:val="21"/>
                <w:highlight w:val="none"/>
                <w:lang w:val="en-US" w:eastAsia="zh-CN"/>
              </w:rPr>
              <w:t>6</w:t>
            </w:r>
            <w:r>
              <w:rPr>
                <w:rFonts w:hint="eastAsia" w:cs="宋体" w:asciiTheme="minorEastAsia" w:hAnsiTheme="minorEastAsia" w:eastAsiaTheme="minorEastAsia"/>
                <w:szCs w:val="21"/>
                <w:highlight w:val="none"/>
              </w:rPr>
              <w:t>月</w:t>
            </w:r>
            <w:r>
              <w:rPr>
                <w:rFonts w:cs="宋体" w:asciiTheme="minorEastAsia" w:hAnsiTheme="minorEastAsia" w:eastAsiaTheme="minorEastAsia"/>
                <w:szCs w:val="21"/>
                <w:highlight w:val="none"/>
              </w:rPr>
              <w:t>3</w:t>
            </w:r>
            <w:r>
              <w:rPr>
                <w:rFonts w:hint="eastAsia" w:cs="宋体" w:asciiTheme="minorEastAsia" w:hAnsiTheme="minorEastAsia" w:eastAsiaTheme="minorEastAsia"/>
                <w:szCs w:val="21"/>
                <w:highlight w:val="none"/>
                <w:lang w:val="en-US" w:eastAsia="zh-CN"/>
              </w:rPr>
              <w:t>0</w:t>
            </w:r>
            <w:r>
              <w:rPr>
                <w:rFonts w:hint="eastAsia" w:cs="宋体" w:asciiTheme="minorEastAsia" w:hAnsiTheme="minorEastAsia" w:eastAsiaTheme="minorEastAsia"/>
                <w:szCs w:val="21"/>
                <w:highlight w:val="none"/>
              </w:rPr>
              <w:t>日</w:t>
            </w:r>
          </w:p>
        </w:tc>
      </w:tr>
      <w:tr>
        <w:tblPrEx>
          <w:tblCellMar>
            <w:top w:w="0" w:type="dxa"/>
            <w:left w:w="108" w:type="dxa"/>
            <w:bottom w:w="0" w:type="dxa"/>
            <w:right w:w="108" w:type="dxa"/>
          </w:tblCellMar>
        </w:tblPrEx>
        <w:trPr>
          <w:trHeight w:val="510" w:hRule="atLeast"/>
          <w:jc w:val="center"/>
        </w:trPr>
        <w:tc>
          <w:tcPr>
            <w:tcW w:w="1628" w:type="pct"/>
            <w:tcBorders>
              <w:top w:val="nil"/>
              <w:left w:val="single" w:color="auto" w:sz="4" w:space="0"/>
              <w:bottom w:val="single" w:color="auto" w:sz="4" w:space="0"/>
              <w:right w:val="single" w:color="auto" w:sz="4" w:space="0"/>
            </w:tcBorders>
            <w:shd w:val="clear" w:color="auto" w:fill="auto"/>
            <w:vAlign w:val="center"/>
          </w:tcPr>
          <w:p>
            <w:pPr>
              <w:spacing w:line="5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资产总额</w:t>
            </w:r>
          </w:p>
        </w:tc>
        <w:tc>
          <w:tcPr>
            <w:tcW w:w="1726" w:type="pct"/>
            <w:tcBorders>
              <w:top w:val="nil"/>
              <w:left w:val="nil"/>
              <w:bottom w:val="single" w:color="auto" w:sz="4" w:space="0"/>
              <w:right w:val="single" w:color="auto" w:sz="4" w:space="0"/>
            </w:tcBorders>
            <w:shd w:val="clear" w:color="auto" w:fill="auto"/>
          </w:tcPr>
          <w:p>
            <w:pPr>
              <w:spacing w:line="500" w:lineRule="exact"/>
              <w:jc w:val="right"/>
              <w:rPr>
                <w:rFonts w:hint="default" w:ascii="宋体" w:hAnsi="宋体" w:eastAsia="宋体" w:cs="宋体"/>
                <w:color w:val="000000"/>
                <w:szCs w:val="21"/>
                <w:highlight w:val="none"/>
                <w:lang w:val="en-US" w:eastAsia="zh-CN"/>
              </w:rPr>
            </w:pPr>
            <w:r>
              <w:rPr>
                <w:rFonts w:hint="eastAsia" w:ascii="宋体" w:hAnsi="宋体"/>
                <w:highlight w:val="none"/>
                <w:lang w:val="en-US" w:eastAsia="zh-CN"/>
              </w:rPr>
              <w:t>5</w:t>
            </w:r>
            <w:r>
              <w:rPr>
                <w:rFonts w:ascii="宋体" w:hAnsi="宋体"/>
                <w:highlight w:val="none"/>
              </w:rPr>
              <w:t>,</w:t>
            </w:r>
            <w:r>
              <w:rPr>
                <w:rFonts w:hint="eastAsia" w:ascii="宋体" w:hAnsi="宋体"/>
                <w:highlight w:val="none"/>
                <w:lang w:val="en-US" w:eastAsia="zh-CN"/>
              </w:rPr>
              <w:t>181</w:t>
            </w:r>
            <w:r>
              <w:rPr>
                <w:rFonts w:ascii="宋体" w:hAnsi="宋体"/>
                <w:highlight w:val="none"/>
              </w:rPr>
              <w:t>,</w:t>
            </w:r>
            <w:r>
              <w:rPr>
                <w:rFonts w:hint="eastAsia" w:ascii="宋体" w:hAnsi="宋体"/>
                <w:highlight w:val="none"/>
                <w:lang w:val="en-US" w:eastAsia="zh-CN"/>
              </w:rPr>
              <w:t>269</w:t>
            </w:r>
          </w:p>
        </w:tc>
        <w:tc>
          <w:tcPr>
            <w:tcW w:w="1646" w:type="pct"/>
            <w:tcBorders>
              <w:top w:val="single" w:color="auto" w:sz="4" w:space="0"/>
              <w:left w:val="nil"/>
              <w:bottom w:val="single" w:color="auto" w:sz="4" w:space="0"/>
              <w:right w:val="single" w:color="auto" w:sz="4" w:space="0"/>
            </w:tcBorders>
            <w:shd w:val="clear" w:color="auto" w:fill="auto"/>
          </w:tcPr>
          <w:p>
            <w:pPr>
              <w:spacing w:line="500" w:lineRule="exact"/>
              <w:jc w:val="right"/>
              <w:rPr>
                <w:rFonts w:ascii="宋体" w:hAnsi="宋体" w:cs="宋体"/>
                <w:color w:val="000000"/>
                <w:szCs w:val="21"/>
                <w:highlight w:val="none"/>
              </w:rPr>
            </w:pPr>
            <w:r>
              <w:rPr>
                <w:rFonts w:hint="eastAsia" w:ascii="宋体" w:hAnsi="宋体"/>
                <w:highlight w:val="none"/>
                <w:lang w:val="en-US" w:eastAsia="zh-CN"/>
              </w:rPr>
              <w:t>5</w:t>
            </w:r>
            <w:r>
              <w:rPr>
                <w:rFonts w:ascii="宋体" w:hAnsi="宋体"/>
                <w:highlight w:val="none"/>
              </w:rPr>
              <w:t>,</w:t>
            </w:r>
            <w:r>
              <w:rPr>
                <w:rFonts w:hint="eastAsia" w:ascii="宋体" w:hAnsi="宋体"/>
                <w:highlight w:val="none"/>
                <w:lang w:val="en-US" w:eastAsia="zh-CN"/>
              </w:rPr>
              <w:t>402</w:t>
            </w:r>
            <w:r>
              <w:rPr>
                <w:rFonts w:ascii="宋体" w:hAnsi="宋体"/>
                <w:highlight w:val="none"/>
              </w:rPr>
              <w:t>,</w:t>
            </w:r>
            <w:r>
              <w:rPr>
                <w:rFonts w:hint="eastAsia" w:ascii="宋体" w:hAnsi="宋体"/>
                <w:highlight w:val="none"/>
                <w:lang w:val="en-US" w:eastAsia="zh-CN"/>
              </w:rPr>
              <w:t>831</w:t>
            </w:r>
            <w:r>
              <w:rPr>
                <w:rFonts w:ascii="宋体" w:hAnsi="宋体"/>
                <w:highlight w:val="none"/>
              </w:rPr>
              <w:t xml:space="preserve"> </w:t>
            </w:r>
          </w:p>
        </w:tc>
      </w:tr>
      <w:tr>
        <w:tblPrEx>
          <w:tblCellMar>
            <w:top w:w="0" w:type="dxa"/>
            <w:left w:w="108" w:type="dxa"/>
            <w:bottom w:w="0" w:type="dxa"/>
            <w:right w:w="108" w:type="dxa"/>
          </w:tblCellMar>
        </w:tblPrEx>
        <w:trPr>
          <w:trHeight w:val="510" w:hRule="atLeast"/>
          <w:jc w:val="center"/>
        </w:trPr>
        <w:tc>
          <w:tcPr>
            <w:tcW w:w="162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负债总额</w:t>
            </w:r>
          </w:p>
        </w:tc>
        <w:tc>
          <w:tcPr>
            <w:tcW w:w="1726" w:type="pct"/>
            <w:tcBorders>
              <w:top w:val="single" w:color="auto" w:sz="4" w:space="0"/>
              <w:left w:val="nil"/>
              <w:bottom w:val="single" w:color="auto" w:sz="4" w:space="0"/>
              <w:right w:val="single" w:color="auto" w:sz="4" w:space="0"/>
            </w:tcBorders>
            <w:shd w:val="clear" w:color="auto" w:fill="auto"/>
          </w:tcPr>
          <w:p>
            <w:pPr>
              <w:spacing w:line="500" w:lineRule="exact"/>
              <w:jc w:val="right"/>
              <w:rPr>
                <w:rFonts w:hint="default" w:ascii="宋体" w:hAnsi="宋体" w:eastAsia="宋体" w:cs="宋体"/>
                <w:color w:val="000000"/>
                <w:szCs w:val="21"/>
                <w:highlight w:val="none"/>
                <w:lang w:val="en-US" w:eastAsia="zh-CN"/>
              </w:rPr>
            </w:pPr>
            <w:r>
              <w:rPr>
                <w:rFonts w:hint="eastAsia" w:ascii="宋体" w:hAnsi="宋体"/>
                <w:highlight w:val="none"/>
                <w:lang w:val="en-US" w:eastAsia="zh-CN"/>
              </w:rPr>
              <w:t>4</w:t>
            </w:r>
            <w:r>
              <w:rPr>
                <w:rFonts w:ascii="宋体" w:hAnsi="宋体"/>
                <w:highlight w:val="none"/>
              </w:rPr>
              <w:t>,</w:t>
            </w:r>
            <w:r>
              <w:rPr>
                <w:rFonts w:hint="eastAsia" w:ascii="宋体" w:hAnsi="宋体"/>
                <w:highlight w:val="none"/>
                <w:lang w:val="en-US" w:eastAsia="zh-CN"/>
              </w:rPr>
              <w:t>168</w:t>
            </w:r>
            <w:r>
              <w:rPr>
                <w:rFonts w:ascii="宋体" w:hAnsi="宋体"/>
                <w:highlight w:val="none"/>
              </w:rPr>
              <w:t>,</w:t>
            </w:r>
            <w:r>
              <w:rPr>
                <w:rFonts w:hint="eastAsia" w:ascii="宋体" w:hAnsi="宋体"/>
                <w:highlight w:val="none"/>
                <w:lang w:val="en-US" w:eastAsia="zh-CN"/>
              </w:rPr>
              <w:t>407</w:t>
            </w:r>
          </w:p>
        </w:tc>
        <w:tc>
          <w:tcPr>
            <w:tcW w:w="1646" w:type="pct"/>
            <w:tcBorders>
              <w:top w:val="single" w:color="auto" w:sz="4" w:space="0"/>
              <w:left w:val="nil"/>
              <w:bottom w:val="single" w:color="auto" w:sz="4" w:space="0"/>
              <w:right w:val="single" w:color="auto" w:sz="4" w:space="0"/>
            </w:tcBorders>
            <w:shd w:val="clear" w:color="auto" w:fill="auto"/>
          </w:tcPr>
          <w:p>
            <w:pPr>
              <w:spacing w:line="500" w:lineRule="exact"/>
              <w:jc w:val="right"/>
              <w:rPr>
                <w:rFonts w:ascii="宋体" w:hAnsi="宋体" w:cs="宋体"/>
                <w:color w:val="000000"/>
                <w:szCs w:val="21"/>
                <w:highlight w:val="none"/>
              </w:rPr>
            </w:pPr>
            <w:r>
              <w:rPr>
                <w:rFonts w:hint="eastAsia" w:ascii="宋体" w:hAnsi="宋体"/>
                <w:highlight w:val="none"/>
                <w:lang w:val="en-US" w:eastAsia="zh-CN"/>
              </w:rPr>
              <w:t>4</w:t>
            </w:r>
            <w:r>
              <w:rPr>
                <w:rFonts w:ascii="宋体" w:hAnsi="宋体"/>
                <w:highlight w:val="none"/>
              </w:rPr>
              <w:t>,</w:t>
            </w:r>
            <w:r>
              <w:rPr>
                <w:rFonts w:hint="eastAsia" w:ascii="宋体" w:hAnsi="宋体"/>
                <w:highlight w:val="none"/>
                <w:lang w:val="en-US" w:eastAsia="zh-CN"/>
              </w:rPr>
              <w:t>214</w:t>
            </w:r>
            <w:r>
              <w:rPr>
                <w:rFonts w:ascii="宋体" w:hAnsi="宋体"/>
                <w:highlight w:val="none"/>
              </w:rPr>
              <w:t>,</w:t>
            </w:r>
            <w:r>
              <w:rPr>
                <w:rFonts w:hint="eastAsia" w:ascii="宋体" w:hAnsi="宋体"/>
                <w:highlight w:val="none"/>
                <w:lang w:val="en-US" w:eastAsia="zh-CN"/>
              </w:rPr>
              <w:t>258</w:t>
            </w:r>
            <w:r>
              <w:rPr>
                <w:rFonts w:ascii="宋体" w:hAnsi="宋体"/>
                <w:highlight w:val="none"/>
              </w:rPr>
              <w:t xml:space="preserve"> </w:t>
            </w:r>
          </w:p>
        </w:tc>
      </w:tr>
      <w:tr>
        <w:tblPrEx>
          <w:tblCellMar>
            <w:top w:w="0" w:type="dxa"/>
            <w:left w:w="108" w:type="dxa"/>
            <w:bottom w:w="0" w:type="dxa"/>
            <w:right w:w="108" w:type="dxa"/>
          </w:tblCellMar>
        </w:tblPrEx>
        <w:trPr>
          <w:trHeight w:val="510" w:hRule="atLeast"/>
          <w:jc w:val="center"/>
        </w:trPr>
        <w:tc>
          <w:tcPr>
            <w:tcW w:w="162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净资产</w:t>
            </w:r>
          </w:p>
        </w:tc>
        <w:tc>
          <w:tcPr>
            <w:tcW w:w="1726" w:type="pct"/>
            <w:tcBorders>
              <w:top w:val="single" w:color="auto" w:sz="4" w:space="0"/>
              <w:left w:val="nil"/>
              <w:bottom w:val="single" w:color="auto" w:sz="4" w:space="0"/>
              <w:right w:val="single" w:color="auto" w:sz="4" w:space="0"/>
            </w:tcBorders>
            <w:shd w:val="clear" w:color="auto" w:fill="auto"/>
          </w:tcPr>
          <w:p>
            <w:pPr>
              <w:spacing w:line="500" w:lineRule="exact"/>
              <w:jc w:val="right"/>
              <w:rPr>
                <w:rFonts w:hint="default" w:ascii="宋体" w:hAnsi="宋体" w:eastAsia="宋体" w:cs="宋体"/>
                <w:color w:val="000000"/>
                <w:szCs w:val="21"/>
                <w:highlight w:val="none"/>
                <w:lang w:val="en-US" w:eastAsia="zh-CN"/>
              </w:rPr>
            </w:pPr>
            <w:r>
              <w:rPr>
                <w:rFonts w:hint="eastAsia" w:ascii="宋体" w:hAnsi="宋体"/>
                <w:highlight w:val="none"/>
                <w:lang w:val="en-US" w:eastAsia="zh-CN"/>
              </w:rPr>
              <w:t>1</w:t>
            </w:r>
            <w:r>
              <w:rPr>
                <w:rFonts w:ascii="宋体" w:hAnsi="宋体"/>
                <w:highlight w:val="none"/>
              </w:rPr>
              <w:t>,</w:t>
            </w:r>
            <w:r>
              <w:rPr>
                <w:rFonts w:hint="eastAsia" w:ascii="宋体" w:hAnsi="宋体"/>
                <w:highlight w:val="none"/>
                <w:lang w:val="en-US" w:eastAsia="zh-CN"/>
              </w:rPr>
              <w:t>012</w:t>
            </w:r>
            <w:r>
              <w:rPr>
                <w:rFonts w:ascii="宋体" w:hAnsi="宋体"/>
                <w:highlight w:val="none"/>
              </w:rPr>
              <w:t>,</w:t>
            </w:r>
            <w:r>
              <w:rPr>
                <w:rFonts w:hint="eastAsia" w:ascii="宋体" w:hAnsi="宋体"/>
                <w:highlight w:val="none"/>
                <w:lang w:val="en-US" w:eastAsia="zh-CN"/>
              </w:rPr>
              <w:t>862</w:t>
            </w:r>
          </w:p>
        </w:tc>
        <w:tc>
          <w:tcPr>
            <w:tcW w:w="1646" w:type="pct"/>
            <w:tcBorders>
              <w:top w:val="single" w:color="auto" w:sz="4" w:space="0"/>
              <w:left w:val="nil"/>
              <w:bottom w:val="single" w:color="auto" w:sz="4" w:space="0"/>
              <w:right w:val="single" w:color="auto" w:sz="4" w:space="0"/>
            </w:tcBorders>
            <w:shd w:val="clear" w:color="auto" w:fill="auto"/>
          </w:tcPr>
          <w:p>
            <w:pPr>
              <w:spacing w:line="500" w:lineRule="exact"/>
              <w:jc w:val="right"/>
              <w:rPr>
                <w:rFonts w:hint="default" w:ascii="宋体" w:hAnsi="宋体" w:eastAsia="宋体" w:cs="宋体"/>
                <w:color w:val="000000"/>
                <w:szCs w:val="21"/>
                <w:highlight w:val="none"/>
                <w:lang w:val="en-US" w:eastAsia="zh-CN"/>
              </w:rPr>
            </w:pPr>
            <w:r>
              <w:rPr>
                <w:rFonts w:hint="eastAsia" w:ascii="宋体" w:hAnsi="宋体"/>
                <w:highlight w:val="none"/>
                <w:lang w:val="en-US" w:eastAsia="zh-CN"/>
              </w:rPr>
              <w:t>1</w:t>
            </w:r>
            <w:r>
              <w:rPr>
                <w:rFonts w:ascii="宋体" w:hAnsi="宋体"/>
                <w:highlight w:val="none"/>
              </w:rPr>
              <w:t>,</w:t>
            </w:r>
            <w:r>
              <w:rPr>
                <w:rFonts w:hint="eastAsia" w:ascii="宋体" w:hAnsi="宋体"/>
                <w:highlight w:val="none"/>
                <w:lang w:val="en-US" w:eastAsia="zh-CN"/>
              </w:rPr>
              <w:t>188</w:t>
            </w:r>
            <w:r>
              <w:rPr>
                <w:rFonts w:ascii="宋体" w:hAnsi="宋体"/>
                <w:highlight w:val="none"/>
              </w:rPr>
              <w:t>,</w:t>
            </w:r>
            <w:r>
              <w:rPr>
                <w:rFonts w:hint="eastAsia" w:ascii="宋体" w:hAnsi="宋体"/>
                <w:highlight w:val="none"/>
                <w:lang w:val="en-US" w:eastAsia="zh-CN"/>
              </w:rPr>
              <w:t>573</w:t>
            </w:r>
          </w:p>
        </w:tc>
      </w:tr>
      <w:tr>
        <w:tblPrEx>
          <w:tblCellMar>
            <w:top w:w="0" w:type="dxa"/>
            <w:left w:w="108" w:type="dxa"/>
            <w:bottom w:w="0" w:type="dxa"/>
            <w:right w:w="108" w:type="dxa"/>
          </w:tblCellMar>
        </w:tblPrEx>
        <w:trPr>
          <w:trHeight w:val="510" w:hRule="atLeast"/>
          <w:jc w:val="center"/>
        </w:trPr>
        <w:tc>
          <w:tcPr>
            <w:tcW w:w="162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项目</w:t>
            </w:r>
          </w:p>
        </w:tc>
        <w:tc>
          <w:tcPr>
            <w:tcW w:w="1726"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cs="宋体" w:asciiTheme="minorEastAsia" w:hAnsiTheme="minorEastAsia" w:eastAsiaTheme="minorEastAsia"/>
                <w:color w:val="000000"/>
                <w:szCs w:val="21"/>
                <w:highlight w:val="none"/>
              </w:rPr>
            </w:pPr>
            <w:r>
              <w:rPr>
                <w:rFonts w:cs="宋体" w:asciiTheme="minorEastAsia" w:hAnsiTheme="minorEastAsia" w:eastAsiaTheme="minorEastAsia"/>
                <w:szCs w:val="21"/>
                <w:highlight w:val="none"/>
              </w:rPr>
              <w:t>2022年</w:t>
            </w:r>
            <w:r>
              <w:rPr>
                <w:rFonts w:hint="eastAsia" w:cs="宋体" w:asciiTheme="minorEastAsia" w:hAnsiTheme="minorEastAsia" w:eastAsiaTheme="minorEastAsia"/>
                <w:szCs w:val="21"/>
                <w:highlight w:val="none"/>
              </w:rPr>
              <w:t>度</w:t>
            </w:r>
          </w:p>
        </w:tc>
        <w:tc>
          <w:tcPr>
            <w:tcW w:w="1646"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hint="default" w:cs="宋体" w:asciiTheme="minorEastAsia" w:hAnsiTheme="minorEastAsia" w:eastAsiaTheme="minorEastAsia"/>
                <w:color w:val="000000"/>
                <w:szCs w:val="21"/>
                <w:highlight w:val="none"/>
                <w:lang w:val="en-US" w:eastAsia="zh-CN"/>
              </w:rPr>
            </w:pPr>
            <w:r>
              <w:rPr>
                <w:rFonts w:cs="宋体" w:asciiTheme="minorEastAsia" w:hAnsiTheme="minorEastAsia" w:eastAsiaTheme="minorEastAsia"/>
                <w:szCs w:val="21"/>
                <w:highlight w:val="none"/>
              </w:rPr>
              <w:t>202</w:t>
            </w:r>
            <w:r>
              <w:rPr>
                <w:rFonts w:hint="eastAsia" w:cs="宋体" w:asciiTheme="minorEastAsia" w:hAnsiTheme="minorEastAsia" w:eastAsiaTheme="minorEastAsia"/>
                <w:szCs w:val="21"/>
                <w:highlight w:val="none"/>
                <w:lang w:val="en-US" w:eastAsia="zh-CN"/>
              </w:rPr>
              <w:t>3</w:t>
            </w:r>
            <w:r>
              <w:rPr>
                <w:rFonts w:cs="宋体" w:asciiTheme="minorEastAsia" w:hAnsiTheme="minorEastAsia" w:eastAsiaTheme="minorEastAsia"/>
                <w:szCs w:val="21"/>
                <w:highlight w:val="none"/>
              </w:rPr>
              <w:t>年</w:t>
            </w:r>
            <w:r>
              <w:rPr>
                <w:rFonts w:hint="eastAsia" w:cs="宋体" w:asciiTheme="minorEastAsia" w:hAnsiTheme="minorEastAsia" w:eastAsiaTheme="minorEastAsia"/>
                <w:szCs w:val="21"/>
                <w:highlight w:val="none"/>
                <w:lang w:val="en-US" w:eastAsia="zh-CN"/>
              </w:rPr>
              <w:t>1-6月</w:t>
            </w:r>
          </w:p>
        </w:tc>
      </w:tr>
      <w:tr>
        <w:tblPrEx>
          <w:tblCellMar>
            <w:top w:w="0" w:type="dxa"/>
            <w:left w:w="108" w:type="dxa"/>
            <w:bottom w:w="0" w:type="dxa"/>
            <w:right w:w="108" w:type="dxa"/>
          </w:tblCellMar>
        </w:tblPrEx>
        <w:trPr>
          <w:trHeight w:val="510" w:hRule="atLeast"/>
          <w:jc w:val="center"/>
        </w:trPr>
        <w:tc>
          <w:tcPr>
            <w:tcW w:w="162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营业收入</w:t>
            </w:r>
          </w:p>
        </w:tc>
        <w:tc>
          <w:tcPr>
            <w:tcW w:w="1726" w:type="pct"/>
            <w:tcBorders>
              <w:top w:val="single" w:color="auto" w:sz="4" w:space="0"/>
              <w:left w:val="single" w:color="auto" w:sz="4" w:space="0"/>
              <w:bottom w:val="single" w:color="auto" w:sz="4" w:space="0"/>
              <w:right w:val="single" w:color="auto" w:sz="4" w:space="0"/>
            </w:tcBorders>
            <w:shd w:val="clear" w:color="auto" w:fill="auto"/>
          </w:tcPr>
          <w:p>
            <w:pPr>
              <w:spacing w:line="500" w:lineRule="exact"/>
              <w:jc w:val="right"/>
              <w:rPr>
                <w:rFonts w:hint="default" w:ascii="宋体" w:hAnsi="宋体" w:eastAsia="宋体" w:cs="宋体"/>
                <w:color w:val="000000"/>
                <w:szCs w:val="21"/>
                <w:highlight w:val="none"/>
                <w:lang w:val="en-US" w:eastAsia="zh-CN"/>
              </w:rPr>
            </w:pPr>
            <w:r>
              <w:rPr>
                <w:rFonts w:hint="eastAsia" w:ascii="宋体" w:hAnsi="宋体"/>
                <w:highlight w:val="none"/>
                <w:lang w:val="en-US" w:eastAsia="zh-CN"/>
              </w:rPr>
              <w:t>1</w:t>
            </w:r>
            <w:r>
              <w:rPr>
                <w:rFonts w:ascii="宋体" w:hAnsi="宋体"/>
                <w:highlight w:val="none"/>
              </w:rPr>
              <w:t>,</w:t>
            </w:r>
            <w:r>
              <w:rPr>
                <w:rFonts w:hint="eastAsia" w:ascii="宋体" w:hAnsi="宋体"/>
                <w:highlight w:val="none"/>
                <w:lang w:val="en-US" w:eastAsia="zh-CN"/>
              </w:rPr>
              <w:t>598</w:t>
            </w:r>
            <w:r>
              <w:rPr>
                <w:rFonts w:ascii="宋体" w:hAnsi="宋体"/>
                <w:highlight w:val="none"/>
              </w:rPr>
              <w:t>,</w:t>
            </w:r>
            <w:r>
              <w:rPr>
                <w:rFonts w:hint="eastAsia" w:ascii="宋体" w:hAnsi="宋体"/>
                <w:highlight w:val="none"/>
                <w:lang w:val="en-US" w:eastAsia="zh-CN"/>
              </w:rPr>
              <w:t>810</w:t>
            </w:r>
          </w:p>
        </w:tc>
        <w:tc>
          <w:tcPr>
            <w:tcW w:w="1646" w:type="pct"/>
            <w:tcBorders>
              <w:top w:val="single" w:color="auto" w:sz="4" w:space="0"/>
              <w:left w:val="single" w:color="auto" w:sz="4" w:space="0"/>
              <w:bottom w:val="single" w:color="auto" w:sz="4" w:space="0"/>
              <w:right w:val="single" w:color="auto" w:sz="4" w:space="0"/>
            </w:tcBorders>
            <w:shd w:val="clear" w:color="auto" w:fill="auto"/>
          </w:tcPr>
          <w:p>
            <w:pPr>
              <w:spacing w:line="500" w:lineRule="exact"/>
              <w:jc w:val="right"/>
              <w:rPr>
                <w:rFonts w:hint="default" w:ascii="宋体" w:hAnsi="宋体" w:eastAsia="宋体" w:cs="宋体"/>
                <w:color w:val="000000"/>
                <w:szCs w:val="21"/>
                <w:highlight w:val="none"/>
                <w:lang w:val="en-US" w:eastAsia="zh-CN"/>
              </w:rPr>
            </w:pPr>
            <w:r>
              <w:rPr>
                <w:rFonts w:hint="eastAsia" w:ascii="宋体" w:hAnsi="宋体"/>
                <w:highlight w:val="none"/>
                <w:lang w:val="en-US" w:eastAsia="zh-CN"/>
              </w:rPr>
              <w:t>739</w:t>
            </w:r>
            <w:r>
              <w:rPr>
                <w:rFonts w:ascii="宋体" w:hAnsi="宋体"/>
                <w:highlight w:val="none"/>
              </w:rPr>
              <w:t>,</w:t>
            </w:r>
            <w:r>
              <w:rPr>
                <w:rFonts w:hint="eastAsia" w:ascii="宋体" w:hAnsi="宋体"/>
                <w:highlight w:val="none"/>
                <w:lang w:val="en-US" w:eastAsia="zh-CN"/>
              </w:rPr>
              <w:t>507</w:t>
            </w:r>
          </w:p>
        </w:tc>
      </w:tr>
      <w:tr>
        <w:tblPrEx>
          <w:tblCellMar>
            <w:top w:w="0" w:type="dxa"/>
            <w:left w:w="108" w:type="dxa"/>
            <w:bottom w:w="0" w:type="dxa"/>
            <w:right w:w="108" w:type="dxa"/>
          </w:tblCellMar>
        </w:tblPrEx>
        <w:trPr>
          <w:trHeight w:val="510" w:hRule="atLeast"/>
          <w:jc w:val="center"/>
        </w:trPr>
        <w:tc>
          <w:tcPr>
            <w:tcW w:w="162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利润总额</w:t>
            </w:r>
          </w:p>
        </w:tc>
        <w:tc>
          <w:tcPr>
            <w:tcW w:w="1726" w:type="pct"/>
            <w:tcBorders>
              <w:top w:val="single" w:color="auto" w:sz="4" w:space="0"/>
              <w:left w:val="nil"/>
              <w:bottom w:val="single" w:color="auto" w:sz="4" w:space="0"/>
              <w:right w:val="single" w:color="auto" w:sz="4" w:space="0"/>
            </w:tcBorders>
            <w:shd w:val="clear" w:color="auto" w:fill="auto"/>
          </w:tcPr>
          <w:p>
            <w:pPr>
              <w:spacing w:line="500" w:lineRule="exact"/>
              <w:ind w:right="105"/>
              <w:jc w:val="right"/>
              <w:rPr>
                <w:rFonts w:hint="default" w:ascii="宋体" w:hAnsi="宋体" w:eastAsia="宋体" w:cs="宋体"/>
                <w:color w:val="000000"/>
                <w:szCs w:val="21"/>
                <w:highlight w:val="none"/>
                <w:lang w:val="en-US" w:eastAsia="zh-CN"/>
              </w:rPr>
            </w:pPr>
            <w:r>
              <w:rPr>
                <w:rFonts w:hint="eastAsia" w:ascii="宋体" w:hAnsi="宋体"/>
                <w:highlight w:val="none"/>
                <w:lang w:val="en-US" w:eastAsia="zh-CN"/>
              </w:rPr>
              <w:t>188</w:t>
            </w:r>
            <w:r>
              <w:rPr>
                <w:rFonts w:ascii="宋体" w:hAnsi="宋体"/>
                <w:highlight w:val="none"/>
              </w:rPr>
              <w:t>,</w:t>
            </w:r>
            <w:r>
              <w:rPr>
                <w:rFonts w:hint="eastAsia" w:ascii="宋体" w:hAnsi="宋体"/>
                <w:highlight w:val="none"/>
                <w:lang w:val="en-US" w:eastAsia="zh-CN"/>
              </w:rPr>
              <w:t>466</w:t>
            </w:r>
          </w:p>
        </w:tc>
        <w:tc>
          <w:tcPr>
            <w:tcW w:w="1646" w:type="pct"/>
            <w:tcBorders>
              <w:top w:val="single" w:color="auto" w:sz="4" w:space="0"/>
              <w:left w:val="nil"/>
              <w:bottom w:val="single" w:color="auto" w:sz="4" w:space="0"/>
              <w:right w:val="single" w:color="auto" w:sz="4" w:space="0"/>
            </w:tcBorders>
            <w:shd w:val="clear" w:color="auto" w:fill="auto"/>
          </w:tcPr>
          <w:p>
            <w:pPr>
              <w:spacing w:line="500" w:lineRule="exact"/>
              <w:jc w:val="right"/>
              <w:rPr>
                <w:rFonts w:hint="default" w:ascii="宋体" w:hAnsi="宋体" w:eastAsia="宋体" w:cs="宋体"/>
                <w:color w:val="000000"/>
                <w:szCs w:val="21"/>
                <w:highlight w:val="none"/>
                <w:lang w:val="en-US" w:eastAsia="zh-CN"/>
              </w:rPr>
            </w:pPr>
            <w:r>
              <w:rPr>
                <w:rFonts w:hint="eastAsia" w:ascii="宋体" w:hAnsi="宋体"/>
                <w:highlight w:val="none"/>
                <w:lang w:val="en-US" w:eastAsia="zh-CN"/>
              </w:rPr>
              <w:t>176</w:t>
            </w:r>
            <w:r>
              <w:rPr>
                <w:rFonts w:ascii="宋体" w:hAnsi="宋体"/>
                <w:highlight w:val="none"/>
              </w:rPr>
              <w:t>,</w:t>
            </w:r>
            <w:r>
              <w:rPr>
                <w:rFonts w:hint="eastAsia" w:ascii="宋体" w:hAnsi="宋体"/>
                <w:highlight w:val="none"/>
                <w:lang w:val="en-US" w:eastAsia="zh-CN"/>
              </w:rPr>
              <w:t>051</w:t>
            </w:r>
          </w:p>
        </w:tc>
      </w:tr>
      <w:tr>
        <w:tblPrEx>
          <w:tblCellMar>
            <w:top w:w="0" w:type="dxa"/>
            <w:left w:w="108" w:type="dxa"/>
            <w:bottom w:w="0" w:type="dxa"/>
            <w:right w:w="108" w:type="dxa"/>
          </w:tblCellMar>
        </w:tblPrEx>
        <w:trPr>
          <w:trHeight w:val="510" w:hRule="atLeast"/>
          <w:jc w:val="center"/>
        </w:trPr>
        <w:tc>
          <w:tcPr>
            <w:tcW w:w="162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cs="宋体" w:asciiTheme="minorEastAsia" w:hAnsiTheme="minorEastAsia" w:eastAsiaTheme="minorEastAsia"/>
                <w:szCs w:val="21"/>
                <w:highlight w:val="none"/>
              </w:rPr>
            </w:pPr>
            <w:r>
              <w:rPr>
                <w:rFonts w:hint="eastAsia" w:cs="宋体" w:asciiTheme="minorEastAsia" w:hAnsiTheme="minorEastAsia" w:eastAsiaTheme="minorEastAsia"/>
                <w:szCs w:val="21"/>
                <w:highlight w:val="none"/>
              </w:rPr>
              <w:t>净利润</w:t>
            </w:r>
          </w:p>
        </w:tc>
        <w:tc>
          <w:tcPr>
            <w:tcW w:w="1726" w:type="pct"/>
            <w:tcBorders>
              <w:top w:val="single" w:color="auto" w:sz="4" w:space="0"/>
              <w:left w:val="single" w:color="auto" w:sz="4" w:space="0"/>
              <w:bottom w:val="single" w:color="auto" w:sz="4" w:space="0"/>
              <w:right w:val="single" w:color="auto" w:sz="4" w:space="0"/>
            </w:tcBorders>
            <w:shd w:val="clear" w:color="auto" w:fill="auto"/>
          </w:tcPr>
          <w:p>
            <w:pPr>
              <w:wordWrap w:val="0"/>
              <w:spacing w:line="500" w:lineRule="exact"/>
              <w:jc w:val="right"/>
              <w:rPr>
                <w:rFonts w:ascii="宋体" w:hAnsi="宋体"/>
                <w:highlight w:val="none"/>
              </w:rPr>
            </w:pPr>
            <w:r>
              <w:rPr>
                <w:rFonts w:hint="eastAsia" w:ascii="宋体" w:hAnsi="宋体"/>
                <w:highlight w:val="none"/>
                <w:lang w:val="en-US" w:eastAsia="zh-CN"/>
              </w:rPr>
              <w:t>246</w:t>
            </w:r>
            <w:r>
              <w:rPr>
                <w:rFonts w:ascii="宋体" w:hAnsi="宋体"/>
                <w:highlight w:val="none"/>
              </w:rPr>
              <w:t>,</w:t>
            </w:r>
            <w:r>
              <w:rPr>
                <w:rFonts w:hint="eastAsia" w:ascii="宋体" w:hAnsi="宋体"/>
                <w:highlight w:val="none"/>
                <w:lang w:val="en-US" w:eastAsia="zh-CN"/>
              </w:rPr>
              <w:t>567</w:t>
            </w:r>
            <w:r>
              <w:rPr>
                <w:rFonts w:hint="eastAsia" w:ascii="宋体" w:hAnsi="宋体"/>
                <w:highlight w:val="none"/>
              </w:rPr>
              <w:t xml:space="preserve"> </w:t>
            </w:r>
          </w:p>
        </w:tc>
        <w:tc>
          <w:tcPr>
            <w:tcW w:w="1646" w:type="pct"/>
            <w:tcBorders>
              <w:top w:val="single" w:color="auto" w:sz="4" w:space="0"/>
              <w:left w:val="single" w:color="auto" w:sz="4" w:space="0"/>
              <w:bottom w:val="single" w:color="auto" w:sz="4" w:space="0"/>
              <w:right w:val="single" w:color="auto" w:sz="4" w:space="0"/>
            </w:tcBorders>
            <w:shd w:val="clear" w:color="auto" w:fill="auto"/>
          </w:tcPr>
          <w:p>
            <w:pPr>
              <w:spacing w:line="500" w:lineRule="exact"/>
              <w:jc w:val="right"/>
              <w:rPr>
                <w:rFonts w:hint="default" w:ascii="宋体" w:hAnsi="宋体" w:eastAsia="宋体" w:cs="宋体"/>
                <w:color w:val="000000"/>
                <w:szCs w:val="21"/>
                <w:highlight w:val="none"/>
                <w:lang w:val="en-US" w:eastAsia="zh-CN"/>
              </w:rPr>
            </w:pPr>
            <w:r>
              <w:rPr>
                <w:rFonts w:hint="eastAsia" w:ascii="宋体" w:hAnsi="宋体"/>
                <w:highlight w:val="none"/>
                <w:lang w:val="en-US" w:eastAsia="zh-CN"/>
              </w:rPr>
              <w:t>116</w:t>
            </w:r>
            <w:r>
              <w:rPr>
                <w:rFonts w:ascii="宋体" w:hAnsi="宋体"/>
                <w:highlight w:val="none"/>
              </w:rPr>
              <w:t>,</w:t>
            </w:r>
            <w:r>
              <w:rPr>
                <w:rFonts w:hint="eastAsia" w:ascii="宋体" w:hAnsi="宋体"/>
                <w:highlight w:val="none"/>
                <w:lang w:val="en-US" w:eastAsia="zh-CN"/>
              </w:rPr>
              <w:t>524</w:t>
            </w:r>
          </w:p>
        </w:tc>
      </w:tr>
    </w:tbl>
    <w:p>
      <w:pPr>
        <w:adjustRightInd w:val="0"/>
        <w:snapToGrid w:val="0"/>
        <w:spacing w:line="520" w:lineRule="exact"/>
        <w:ind w:firstLine="560" w:firstLineChars="200"/>
        <w:rPr>
          <w:rFonts w:hint="eastAsia" w:ascii="宋体" w:hAnsi="宋体"/>
          <w:b/>
          <w:color w:val="000000"/>
          <w:sz w:val="28"/>
          <w:szCs w:val="28"/>
          <w:highlight w:val="none"/>
        </w:rPr>
      </w:pPr>
    </w:p>
    <w:p>
      <w:pPr>
        <w:adjustRightInd w:val="0"/>
        <w:snapToGrid w:val="0"/>
        <w:spacing w:line="520" w:lineRule="exact"/>
        <w:ind w:firstLine="560" w:firstLineChars="200"/>
        <w:rPr>
          <w:rFonts w:hint="eastAsia" w:ascii="宋体" w:hAnsi="宋体"/>
          <w:b/>
          <w:color w:val="000000"/>
          <w:sz w:val="28"/>
          <w:szCs w:val="28"/>
          <w:highlight w:val="none"/>
        </w:rPr>
      </w:pPr>
    </w:p>
    <w:p>
      <w:pPr>
        <w:adjustRightInd w:val="0"/>
        <w:snapToGrid w:val="0"/>
        <w:spacing w:line="520" w:lineRule="exact"/>
        <w:ind w:firstLine="560" w:firstLineChars="200"/>
        <w:rPr>
          <w:rFonts w:hint="eastAsia" w:ascii="宋体" w:hAnsi="宋体"/>
          <w:b/>
          <w:color w:val="000000"/>
          <w:sz w:val="28"/>
          <w:szCs w:val="28"/>
          <w:highlight w:val="none"/>
        </w:rPr>
      </w:pPr>
      <w:r>
        <w:rPr>
          <w:rFonts w:hint="eastAsia" w:ascii="宋体" w:hAnsi="宋体"/>
          <w:b/>
          <w:color w:val="000000"/>
          <w:sz w:val="28"/>
          <w:szCs w:val="28"/>
          <w:highlight w:val="none"/>
        </w:rPr>
        <w:t>(</w:t>
      </w:r>
      <w:r>
        <w:rPr>
          <w:rFonts w:hint="eastAsia" w:ascii="宋体" w:hAnsi="宋体"/>
          <w:b/>
          <w:color w:val="000000"/>
          <w:sz w:val="28"/>
          <w:szCs w:val="28"/>
          <w:highlight w:val="none"/>
          <w:lang w:val="en-US" w:eastAsia="zh-CN"/>
        </w:rPr>
        <w:t>二</w:t>
      </w:r>
      <w:r>
        <w:rPr>
          <w:rFonts w:hint="eastAsia" w:ascii="宋体" w:hAnsi="宋体"/>
          <w:b/>
          <w:color w:val="000000"/>
          <w:sz w:val="28"/>
          <w:szCs w:val="28"/>
          <w:highlight w:val="none"/>
        </w:rPr>
        <w:t>)担保协议主要内容</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709"/>
        <w:gridCol w:w="709"/>
        <w:gridCol w:w="992"/>
        <w:gridCol w:w="992"/>
        <w:gridCol w:w="2127"/>
        <w:gridCol w:w="1417"/>
        <w:gridCol w:w="709"/>
        <w:gridCol w:w="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pPr>
              <w:adjustRightInd w:val="0"/>
              <w:snapToGrid w:val="0"/>
              <w:spacing w:line="240" w:lineRule="atLeast"/>
              <w:jc w:val="center"/>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担保方</w:t>
            </w:r>
          </w:p>
        </w:tc>
        <w:tc>
          <w:tcPr>
            <w:tcW w:w="709" w:type="dxa"/>
            <w:vAlign w:val="center"/>
          </w:tcPr>
          <w:p>
            <w:pPr>
              <w:adjustRightInd w:val="0"/>
              <w:snapToGrid w:val="0"/>
              <w:spacing w:line="240" w:lineRule="atLeast"/>
              <w:jc w:val="center"/>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被担保方</w:t>
            </w:r>
          </w:p>
        </w:tc>
        <w:tc>
          <w:tcPr>
            <w:tcW w:w="709" w:type="dxa"/>
            <w:vAlign w:val="center"/>
          </w:tcPr>
          <w:p>
            <w:pPr>
              <w:adjustRightInd w:val="0"/>
              <w:snapToGrid w:val="0"/>
              <w:spacing w:line="240" w:lineRule="atLeast"/>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债权人</w:t>
            </w:r>
          </w:p>
        </w:tc>
        <w:tc>
          <w:tcPr>
            <w:tcW w:w="992" w:type="dxa"/>
            <w:vAlign w:val="center"/>
          </w:tcPr>
          <w:p>
            <w:pPr>
              <w:adjustRightInd w:val="0"/>
              <w:snapToGrid w:val="0"/>
              <w:spacing w:line="240" w:lineRule="atLeast"/>
              <w:jc w:val="center"/>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担保金额</w:t>
            </w:r>
          </w:p>
        </w:tc>
        <w:tc>
          <w:tcPr>
            <w:tcW w:w="992" w:type="dxa"/>
            <w:vAlign w:val="center"/>
          </w:tcPr>
          <w:p>
            <w:pPr>
              <w:adjustRightInd w:val="0"/>
              <w:snapToGrid w:val="0"/>
              <w:spacing w:line="240" w:lineRule="atLeast"/>
              <w:jc w:val="center"/>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签署日期</w:t>
            </w:r>
          </w:p>
        </w:tc>
        <w:tc>
          <w:tcPr>
            <w:tcW w:w="2127" w:type="dxa"/>
            <w:vAlign w:val="center"/>
          </w:tcPr>
          <w:p>
            <w:pPr>
              <w:adjustRightInd w:val="0"/>
              <w:snapToGrid w:val="0"/>
              <w:spacing w:line="240" w:lineRule="atLeast"/>
              <w:jc w:val="center"/>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担保范围</w:t>
            </w:r>
          </w:p>
        </w:tc>
        <w:tc>
          <w:tcPr>
            <w:tcW w:w="1417" w:type="dxa"/>
            <w:vAlign w:val="center"/>
          </w:tcPr>
          <w:p>
            <w:pPr>
              <w:adjustRightInd w:val="0"/>
              <w:snapToGrid w:val="0"/>
              <w:spacing w:line="240" w:lineRule="atLeast"/>
              <w:jc w:val="center"/>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担保期间</w:t>
            </w:r>
          </w:p>
        </w:tc>
        <w:tc>
          <w:tcPr>
            <w:tcW w:w="709" w:type="dxa"/>
            <w:vAlign w:val="center"/>
          </w:tcPr>
          <w:p>
            <w:pPr>
              <w:adjustRightInd w:val="0"/>
              <w:snapToGrid w:val="0"/>
              <w:spacing w:line="240" w:lineRule="atLeast"/>
              <w:jc w:val="center"/>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担保类型</w:t>
            </w:r>
          </w:p>
        </w:tc>
        <w:tc>
          <w:tcPr>
            <w:tcW w:w="730" w:type="dxa"/>
            <w:vAlign w:val="center"/>
          </w:tcPr>
          <w:p>
            <w:pPr>
              <w:adjustRightInd w:val="0"/>
              <w:snapToGrid w:val="0"/>
              <w:spacing w:line="240" w:lineRule="atLeast"/>
              <w:jc w:val="center"/>
              <w:rPr>
                <w:rFonts w:asciiTheme="minorEastAsia" w:hAnsiTheme="minorEastAsia" w:eastAsiaTheme="minorEastAsia"/>
                <w:bCs/>
                <w:szCs w:val="21"/>
                <w:highlight w:val="none"/>
              </w:rPr>
            </w:pPr>
            <w:r>
              <w:rPr>
                <w:rFonts w:hint="eastAsia" w:asciiTheme="minorEastAsia" w:hAnsiTheme="minorEastAsia" w:eastAsiaTheme="minorEastAsia"/>
                <w:bCs/>
                <w:szCs w:val="21"/>
                <w:highlight w:val="none"/>
              </w:rPr>
              <w:t>是否有反担保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adjustRightInd w:val="0"/>
              <w:snapToGrid w:val="0"/>
              <w:spacing w:line="240" w:lineRule="atLeast"/>
              <w:rPr>
                <w:rFonts w:hint="eastAsia" w:asciiTheme="minorEastAsia" w:hAnsiTheme="minorEastAsia" w:eastAsiaTheme="minorEastAsia"/>
                <w:bCs/>
                <w:color w:val="000000"/>
                <w:szCs w:val="21"/>
                <w:highlight w:val="none"/>
                <w:lang w:eastAsia="zh-CN"/>
              </w:rPr>
            </w:pPr>
            <w:r>
              <w:rPr>
                <w:rFonts w:hint="eastAsia" w:asciiTheme="minorEastAsia" w:hAnsiTheme="minorEastAsia" w:eastAsiaTheme="minorEastAsia"/>
                <w:bCs/>
                <w:color w:val="000000"/>
                <w:szCs w:val="21"/>
                <w:highlight w:val="none"/>
                <w:lang w:eastAsia="zh-CN"/>
              </w:rPr>
              <w:t>新疆能化</w:t>
            </w:r>
          </w:p>
        </w:tc>
        <w:tc>
          <w:tcPr>
            <w:tcW w:w="709" w:type="dxa"/>
          </w:tcPr>
          <w:p>
            <w:pPr>
              <w:adjustRightInd w:val="0"/>
              <w:snapToGrid w:val="0"/>
              <w:spacing w:line="240" w:lineRule="atLeast"/>
              <w:rPr>
                <w:rFonts w:hint="eastAsia" w:asciiTheme="minorEastAsia" w:hAnsiTheme="minorEastAsia" w:eastAsiaTheme="minorEastAsia"/>
                <w:bCs/>
                <w:color w:val="000000"/>
                <w:szCs w:val="21"/>
                <w:highlight w:val="none"/>
                <w:lang w:eastAsia="zh-CN"/>
              </w:rPr>
            </w:pPr>
            <w:r>
              <w:rPr>
                <w:rFonts w:hint="eastAsia" w:asciiTheme="minorEastAsia" w:hAnsiTheme="minorEastAsia" w:eastAsiaTheme="minorEastAsia"/>
                <w:bCs/>
                <w:color w:val="000000"/>
                <w:szCs w:val="21"/>
                <w:highlight w:val="none"/>
                <w:lang w:eastAsia="zh-CN"/>
              </w:rPr>
              <w:t>伊新煤业</w:t>
            </w:r>
          </w:p>
        </w:tc>
        <w:tc>
          <w:tcPr>
            <w:tcW w:w="709" w:type="dxa"/>
          </w:tcPr>
          <w:p>
            <w:pPr>
              <w:adjustRightInd w:val="0"/>
              <w:snapToGrid w:val="0"/>
              <w:spacing w:line="240" w:lineRule="atLeast"/>
              <w:rPr>
                <w:rFonts w:hint="eastAsia" w:asciiTheme="minorEastAsia" w:hAnsiTheme="minorEastAsia" w:eastAsiaTheme="minorEastAsia"/>
                <w:bCs/>
                <w:color w:val="000000"/>
                <w:szCs w:val="21"/>
                <w:highlight w:val="none"/>
                <w:lang w:val="en-US" w:eastAsia="zh-CN"/>
              </w:rPr>
            </w:pPr>
            <w:r>
              <w:rPr>
                <w:rFonts w:hint="eastAsia" w:asciiTheme="minorEastAsia" w:hAnsiTheme="minorEastAsia" w:eastAsiaTheme="minorEastAsia"/>
                <w:bCs/>
                <w:color w:val="000000"/>
                <w:szCs w:val="21"/>
                <w:highlight w:val="none"/>
                <w:lang w:val="en-US" w:eastAsia="zh-CN"/>
              </w:rPr>
              <w:t>上海浦东发展银行股份有限公司乌鲁木齐分行</w:t>
            </w:r>
          </w:p>
        </w:tc>
        <w:tc>
          <w:tcPr>
            <w:tcW w:w="992" w:type="dxa"/>
          </w:tcPr>
          <w:p>
            <w:pPr>
              <w:adjustRightInd w:val="0"/>
              <w:snapToGrid w:val="0"/>
              <w:spacing w:line="240" w:lineRule="atLeast"/>
              <w:rPr>
                <w:rFonts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rPr>
              <w:t>人民币</w:t>
            </w:r>
          </w:p>
          <w:p>
            <w:pPr>
              <w:adjustRightInd w:val="0"/>
              <w:snapToGrid w:val="0"/>
              <w:spacing w:line="240" w:lineRule="atLeast"/>
              <w:rPr>
                <w:rFonts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lang w:val="en-US" w:eastAsia="zh-CN"/>
              </w:rPr>
              <w:t>1.65</w:t>
            </w:r>
            <w:r>
              <w:rPr>
                <w:rFonts w:hint="eastAsia" w:asciiTheme="minorEastAsia" w:hAnsiTheme="minorEastAsia" w:eastAsiaTheme="minorEastAsia"/>
                <w:bCs/>
                <w:color w:val="000000"/>
                <w:szCs w:val="21"/>
                <w:highlight w:val="none"/>
              </w:rPr>
              <w:t>亿元</w:t>
            </w:r>
          </w:p>
        </w:tc>
        <w:tc>
          <w:tcPr>
            <w:tcW w:w="992" w:type="dxa"/>
          </w:tcPr>
          <w:p>
            <w:pPr>
              <w:adjustRightInd w:val="0"/>
              <w:snapToGrid w:val="0"/>
              <w:spacing w:line="240" w:lineRule="atLeast"/>
              <w:rPr>
                <w:rFonts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rPr>
              <w:t>2023年</w:t>
            </w:r>
            <w:r>
              <w:rPr>
                <w:rFonts w:hint="eastAsia" w:asciiTheme="minorEastAsia" w:hAnsiTheme="minorEastAsia" w:eastAsiaTheme="minorEastAsia"/>
                <w:bCs/>
                <w:color w:val="000000"/>
                <w:szCs w:val="21"/>
                <w:highlight w:val="none"/>
                <w:lang w:val="en-US" w:eastAsia="zh-CN"/>
              </w:rPr>
              <w:t>11</w:t>
            </w:r>
            <w:r>
              <w:rPr>
                <w:rFonts w:hint="eastAsia" w:asciiTheme="minorEastAsia" w:hAnsiTheme="minorEastAsia" w:eastAsiaTheme="minorEastAsia"/>
                <w:bCs/>
                <w:color w:val="000000"/>
                <w:szCs w:val="21"/>
                <w:highlight w:val="none"/>
              </w:rPr>
              <w:t>月</w:t>
            </w:r>
            <w:r>
              <w:rPr>
                <w:rFonts w:hint="eastAsia" w:asciiTheme="minorEastAsia" w:hAnsiTheme="minorEastAsia" w:eastAsiaTheme="minorEastAsia"/>
                <w:bCs/>
                <w:color w:val="000000"/>
                <w:szCs w:val="21"/>
                <w:highlight w:val="none"/>
                <w:lang w:val="en-US" w:eastAsia="zh-CN"/>
              </w:rPr>
              <w:t>21</w:t>
            </w:r>
            <w:r>
              <w:rPr>
                <w:rFonts w:hint="eastAsia" w:asciiTheme="minorEastAsia" w:hAnsiTheme="minorEastAsia" w:eastAsiaTheme="minorEastAsia"/>
                <w:bCs/>
                <w:color w:val="000000"/>
                <w:szCs w:val="21"/>
                <w:highlight w:val="none"/>
              </w:rPr>
              <w:t>日</w:t>
            </w:r>
          </w:p>
        </w:tc>
        <w:tc>
          <w:tcPr>
            <w:tcW w:w="2127" w:type="dxa"/>
          </w:tcPr>
          <w:p>
            <w:pPr>
              <w:adjustRightInd w:val="0"/>
              <w:snapToGrid w:val="0"/>
              <w:spacing w:line="240" w:lineRule="atLeast"/>
              <w:rPr>
                <w:rFonts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rPr>
              <w:t>债权人贷款损失本金的 55%（最高不超过1</w:t>
            </w:r>
            <w:r>
              <w:rPr>
                <w:rFonts w:hint="eastAsia" w:asciiTheme="minorEastAsia" w:hAnsiTheme="minorEastAsia" w:eastAsiaTheme="minorEastAsia"/>
                <w:bCs/>
                <w:color w:val="000000"/>
                <w:szCs w:val="21"/>
                <w:highlight w:val="none"/>
                <w:lang w:val="en-US" w:eastAsia="zh-CN"/>
              </w:rPr>
              <w:t>.</w:t>
            </w:r>
            <w:r>
              <w:rPr>
                <w:rFonts w:hint="eastAsia" w:asciiTheme="minorEastAsia" w:hAnsiTheme="minorEastAsia" w:eastAsiaTheme="minorEastAsia"/>
                <w:bCs/>
                <w:color w:val="000000"/>
                <w:szCs w:val="21"/>
                <w:highlight w:val="none"/>
              </w:rPr>
              <w:t>65</w:t>
            </w:r>
            <w:r>
              <w:rPr>
                <w:rFonts w:hint="eastAsia" w:asciiTheme="minorEastAsia" w:hAnsiTheme="minorEastAsia" w:eastAsiaTheme="minorEastAsia"/>
                <w:bCs/>
                <w:color w:val="000000"/>
                <w:szCs w:val="21"/>
                <w:highlight w:val="none"/>
                <w:lang w:val="en-US" w:eastAsia="zh-CN"/>
              </w:rPr>
              <w:t>亿</w:t>
            </w:r>
            <w:r>
              <w:rPr>
                <w:rFonts w:hint="eastAsia" w:asciiTheme="minorEastAsia" w:hAnsiTheme="minorEastAsia" w:eastAsiaTheme="minorEastAsia"/>
                <w:bCs/>
                <w:color w:val="000000"/>
                <w:szCs w:val="21"/>
                <w:highlight w:val="none"/>
              </w:rPr>
              <w:t>元）</w:t>
            </w:r>
            <w:r>
              <w:rPr>
                <w:rFonts w:hint="eastAsia" w:asciiTheme="minorEastAsia" w:hAnsiTheme="minorEastAsia" w:eastAsiaTheme="minorEastAsia"/>
                <w:bCs/>
                <w:color w:val="000000"/>
                <w:szCs w:val="21"/>
                <w:highlight w:val="none"/>
                <w:lang w:val="en-US" w:eastAsia="zh-CN"/>
              </w:rPr>
              <w:t>及担保本金所产生的其他应付款项。</w:t>
            </w:r>
          </w:p>
        </w:tc>
        <w:tc>
          <w:tcPr>
            <w:tcW w:w="1417" w:type="dxa"/>
          </w:tcPr>
          <w:p>
            <w:pPr>
              <w:adjustRightInd w:val="0"/>
              <w:snapToGrid w:val="0"/>
              <w:spacing w:line="240" w:lineRule="atLeast"/>
              <w:rPr>
                <w:rFonts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rPr>
              <w:t>主债务履行届满之次日起三年</w:t>
            </w:r>
          </w:p>
        </w:tc>
        <w:tc>
          <w:tcPr>
            <w:tcW w:w="709" w:type="dxa"/>
          </w:tcPr>
          <w:p>
            <w:pPr>
              <w:adjustRightInd w:val="0"/>
              <w:snapToGrid w:val="0"/>
              <w:spacing w:line="240" w:lineRule="atLeast"/>
              <w:rPr>
                <w:rFonts w:asciiTheme="minorEastAsia" w:hAnsiTheme="minorEastAsia" w:eastAsiaTheme="minorEastAsia"/>
                <w:bCs/>
                <w:color w:val="000000"/>
                <w:szCs w:val="21"/>
                <w:highlight w:val="none"/>
              </w:rPr>
            </w:pPr>
            <w:r>
              <w:rPr>
                <w:rFonts w:hint="eastAsia" w:asciiTheme="minorEastAsia" w:hAnsiTheme="minorEastAsia" w:eastAsiaTheme="minorEastAsia"/>
                <w:bCs/>
                <w:color w:val="000000"/>
                <w:szCs w:val="21"/>
                <w:highlight w:val="none"/>
              </w:rPr>
              <w:t>连带责任保证担保</w:t>
            </w:r>
          </w:p>
        </w:tc>
        <w:tc>
          <w:tcPr>
            <w:tcW w:w="730" w:type="dxa"/>
          </w:tcPr>
          <w:p>
            <w:pPr>
              <w:adjustRightInd w:val="0"/>
              <w:snapToGrid w:val="0"/>
              <w:spacing w:line="240" w:lineRule="atLeast"/>
              <w:rPr>
                <w:rFonts w:hint="eastAsia" w:asciiTheme="minorEastAsia" w:hAnsiTheme="minorEastAsia" w:eastAsiaTheme="minorEastAsia"/>
                <w:bCs/>
                <w:color w:val="000000"/>
                <w:szCs w:val="21"/>
                <w:highlight w:val="none"/>
                <w:lang w:eastAsia="zh-CN"/>
              </w:rPr>
            </w:pPr>
            <w:r>
              <w:rPr>
                <w:rFonts w:hint="eastAsia" w:asciiTheme="minorEastAsia" w:hAnsiTheme="minorEastAsia" w:eastAsiaTheme="minorEastAsia"/>
                <w:bCs/>
                <w:color w:val="000000"/>
                <w:szCs w:val="21"/>
                <w:highlight w:val="none"/>
                <w:lang w:eastAsia="zh-CN"/>
              </w:rPr>
              <w:t>否</w:t>
            </w:r>
          </w:p>
        </w:tc>
      </w:tr>
    </w:tbl>
    <w:p>
      <w:pPr>
        <w:adjustRightInd w:val="0"/>
        <w:snapToGrid w:val="0"/>
        <w:spacing w:line="560" w:lineRule="exact"/>
        <w:ind w:firstLine="539"/>
        <w:rPr>
          <w:rFonts w:ascii="宋体" w:hAnsi="宋体"/>
          <w:b/>
          <w:sz w:val="28"/>
          <w:szCs w:val="28"/>
          <w:highlight w:val="none"/>
        </w:rPr>
      </w:pPr>
      <w:r>
        <w:rPr>
          <w:rFonts w:hint="eastAsia" w:ascii="宋体" w:hAnsi="宋体"/>
          <w:b/>
          <w:sz w:val="28"/>
          <w:szCs w:val="28"/>
          <w:highlight w:val="none"/>
        </w:rPr>
        <w:t>三、担保的必要性和合理性</w:t>
      </w:r>
    </w:p>
    <w:p>
      <w:pPr>
        <w:adjustRightInd w:val="0"/>
        <w:snapToGrid w:val="0"/>
        <w:spacing w:line="560" w:lineRule="exact"/>
        <w:ind w:firstLine="539"/>
        <w:rPr>
          <w:rFonts w:ascii="宋体" w:hAnsi="宋体"/>
          <w:sz w:val="28"/>
          <w:szCs w:val="28"/>
          <w:highlight w:val="none"/>
        </w:rPr>
      </w:pPr>
      <w:r>
        <w:rPr>
          <w:rFonts w:hint="eastAsia" w:ascii="宋体" w:hAnsi="宋体"/>
          <w:sz w:val="28"/>
          <w:szCs w:val="28"/>
          <w:highlight w:val="none"/>
        </w:rPr>
        <w:t>公司及控股公司向子公司提供融资担保和授权兖煤澳洲及其子公司向兖矿能源澳洲附属公司提供日常经营担保事项，符合公司及子公司经营发展需要；兖煤澳洲及其子公司向兖矿能源澳洲附属公司提供担保是日常经营所需，符合澳大利亚法律法规及当地经营惯例。上述担保对象均为公司子公司，不存在失信被执行情况，可有效控制和防范担保风险，不会损害公司及全体股东的利益。</w:t>
      </w:r>
    </w:p>
    <w:p>
      <w:pPr>
        <w:adjustRightInd w:val="0"/>
        <w:snapToGrid w:val="0"/>
        <w:spacing w:line="560" w:lineRule="exact"/>
        <w:ind w:firstLine="539"/>
        <w:rPr>
          <w:rFonts w:ascii="宋体" w:hAnsi="宋体"/>
          <w:b/>
          <w:sz w:val="28"/>
          <w:szCs w:val="28"/>
          <w:highlight w:val="none"/>
        </w:rPr>
      </w:pPr>
      <w:r>
        <w:rPr>
          <w:rFonts w:hint="eastAsia" w:ascii="宋体" w:hAnsi="宋体"/>
          <w:b/>
          <w:sz w:val="28"/>
          <w:szCs w:val="28"/>
          <w:highlight w:val="none"/>
        </w:rPr>
        <w:t>四、董事会意见</w:t>
      </w:r>
    </w:p>
    <w:p>
      <w:pPr>
        <w:adjustRightInd w:val="0"/>
        <w:snapToGrid w:val="0"/>
        <w:spacing w:line="560" w:lineRule="exact"/>
        <w:ind w:firstLine="539"/>
        <w:rPr>
          <w:rFonts w:ascii="宋体" w:hAnsi="宋体"/>
          <w:b/>
          <w:sz w:val="28"/>
          <w:szCs w:val="28"/>
          <w:highlight w:val="none"/>
        </w:rPr>
      </w:pPr>
      <w:r>
        <w:rPr>
          <w:rFonts w:hint="eastAsia" w:ascii="宋体" w:hAnsi="宋体"/>
          <w:sz w:val="28"/>
          <w:szCs w:val="28"/>
          <w:highlight w:val="none"/>
        </w:rPr>
        <w:t>公司董事会认为：公司董事已于20</w:t>
      </w:r>
      <w:r>
        <w:rPr>
          <w:rFonts w:ascii="宋体" w:hAnsi="宋体"/>
          <w:sz w:val="28"/>
          <w:szCs w:val="28"/>
          <w:highlight w:val="none"/>
        </w:rPr>
        <w:t>2</w:t>
      </w:r>
      <w:r>
        <w:rPr>
          <w:rFonts w:hint="eastAsia" w:ascii="宋体" w:hAnsi="宋体"/>
          <w:sz w:val="28"/>
          <w:szCs w:val="28"/>
          <w:highlight w:val="none"/>
          <w:lang w:val="en-US" w:eastAsia="zh-CN"/>
        </w:rPr>
        <w:t>3</w:t>
      </w:r>
      <w:r>
        <w:rPr>
          <w:rFonts w:hint="eastAsia" w:ascii="宋体" w:hAnsi="宋体"/>
          <w:sz w:val="28"/>
          <w:szCs w:val="28"/>
          <w:highlight w:val="none"/>
        </w:rPr>
        <w:t>年3月</w:t>
      </w:r>
      <w:r>
        <w:rPr>
          <w:rFonts w:hint="eastAsia" w:ascii="宋体" w:hAnsi="宋体"/>
          <w:sz w:val="28"/>
          <w:szCs w:val="28"/>
          <w:highlight w:val="none"/>
          <w:lang w:val="en-US" w:eastAsia="zh-CN"/>
        </w:rPr>
        <w:t>24</w:t>
      </w:r>
      <w:r>
        <w:rPr>
          <w:rFonts w:hint="eastAsia" w:ascii="宋体" w:hAnsi="宋体"/>
          <w:sz w:val="28"/>
          <w:szCs w:val="28"/>
          <w:highlight w:val="none"/>
        </w:rPr>
        <w:t>日召开的第八届董事会第二十</w:t>
      </w:r>
      <w:r>
        <w:rPr>
          <w:rFonts w:hint="eastAsia" w:ascii="宋体" w:hAnsi="宋体"/>
          <w:sz w:val="28"/>
          <w:szCs w:val="28"/>
          <w:highlight w:val="none"/>
          <w:lang w:val="en-US" w:eastAsia="zh-CN"/>
        </w:rPr>
        <w:t>七</w:t>
      </w:r>
      <w:r>
        <w:rPr>
          <w:rFonts w:hint="eastAsia" w:ascii="宋体" w:hAnsi="宋体"/>
          <w:sz w:val="28"/>
          <w:szCs w:val="28"/>
          <w:highlight w:val="none"/>
        </w:rPr>
        <w:t>次会议审议通过前述担保事项，独立董事发表了同意的独立意见，同时公司2</w:t>
      </w:r>
      <w:r>
        <w:rPr>
          <w:rFonts w:ascii="宋体" w:hAnsi="宋体"/>
          <w:sz w:val="28"/>
          <w:szCs w:val="28"/>
          <w:highlight w:val="none"/>
        </w:rPr>
        <w:t>02</w:t>
      </w:r>
      <w:r>
        <w:rPr>
          <w:rFonts w:hint="eastAsia" w:ascii="宋体" w:hAnsi="宋体"/>
          <w:sz w:val="28"/>
          <w:szCs w:val="28"/>
          <w:highlight w:val="none"/>
          <w:lang w:val="en-US" w:eastAsia="zh-CN"/>
        </w:rPr>
        <w:t>2</w:t>
      </w:r>
      <w:r>
        <w:rPr>
          <w:rFonts w:hint="eastAsia" w:ascii="宋体" w:hAnsi="宋体"/>
          <w:sz w:val="28"/>
          <w:szCs w:val="28"/>
          <w:highlight w:val="none"/>
        </w:rPr>
        <w:t>年度股东周年大会亦已审议通过了相关担保事项。前述担保事项及金额均在公司已履行审批程序的担保额度以内，且有利于降低公司子公司融资成本，保障其日常经营资金需要</w:t>
      </w:r>
      <w:r>
        <w:rPr>
          <w:rFonts w:ascii="宋体" w:hAnsi="宋体"/>
          <w:sz w:val="28"/>
          <w:szCs w:val="28"/>
          <w:highlight w:val="none"/>
        </w:rPr>
        <w:t>。</w:t>
      </w:r>
    </w:p>
    <w:p>
      <w:pPr>
        <w:adjustRightInd w:val="0"/>
        <w:snapToGrid w:val="0"/>
        <w:spacing w:line="560" w:lineRule="exact"/>
        <w:ind w:firstLine="539"/>
        <w:rPr>
          <w:rFonts w:ascii="宋体" w:hAnsi="宋体"/>
          <w:b/>
          <w:sz w:val="28"/>
          <w:szCs w:val="28"/>
          <w:highlight w:val="none"/>
        </w:rPr>
      </w:pPr>
      <w:r>
        <w:rPr>
          <w:rFonts w:hint="eastAsia" w:ascii="宋体" w:hAnsi="宋体"/>
          <w:b/>
          <w:sz w:val="28"/>
          <w:szCs w:val="28"/>
          <w:highlight w:val="none"/>
        </w:rPr>
        <w:t>五、累计对外担保数量及逾期担保的数量</w:t>
      </w:r>
    </w:p>
    <w:p>
      <w:pPr>
        <w:adjustRightInd w:val="0"/>
        <w:snapToGrid w:val="0"/>
        <w:spacing w:line="560" w:lineRule="exact"/>
        <w:ind w:firstLine="539"/>
        <w:rPr>
          <w:rFonts w:ascii="宋体" w:hAnsi="宋体"/>
          <w:sz w:val="28"/>
          <w:szCs w:val="28"/>
          <w:highlight w:val="none"/>
        </w:rPr>
      </w:pPr>
      <w:r>
        <w:rPr>
          <w:rFonts w:hint="eastAsia" w:ascii="宋体" w:hAnsi="宋体"/>
          <w:sz w:val="28"/>
          <w:szCs w:val="28"/>
          <w:highlight w:val="none"/>
        </w:rPr>
        <w:t>截至2</w:t>
      </w:r>
      <w:r>
        <w:rPr>
          <w:rFonts w:ascii="宋体" w:hAnsi="宋体"/>
          <w:sz w:val="28"/>
          <w:szCs w:val="28"/>
          <w:highlight w:val="none"/>
        </w:rPr>
        <w:t>023</w:t>
      </w:r>
      <w:r>
        <w:rPr>
          <w:rFonts w:hint="eastAsia" w:ascii="宋体" w:hAnsi="宋体"/>
          <w:sz w:val="28"/>
          <w:szCs w:val="28"/>
          <w:highlight w:val="none"/>
        </w:rPr>
        <w:t>年</w:t>
      </w:r>
      <w:r>
        <w:rPr>
          <w:rFonts w:hint="eastAsia" w:ascii="宋体" w:hAnsi="宋体"/>
          <w:sz w:val="28"/>
          <w:szCs w:val="28"/>
          <w:highlight w:val="none"/>
          <w:lang w:val="en-US" w:eastAsia="zh-CN"/>
        </w:rPr>
        <w:t>11</w:t>
      </w:r>
      <w:r>
        <w:rPr>
          <w:rFonts w:hint="eastAsia" w:ascii="宋体" w:hAnsi="宋体"/>
          <w:sz w:val="28"/>
          <w:szCs w:val="28"/>
          <w:highlight w:val="none"/>
        </w:rPr>
        <w:t>月3</w:t>
      </w:r>
      <w:r>
        <w:rPr>
          <w:rFonts w:hint="eastAsia" w:ascii="宋体" w:hAnsi="宋体"/>
          <w:sz w:val="28"/>
          <w:szCs w:val="28"/>
          <w:highlight w:val="none"/>
          <w:lang w:val="en-US" w:eastAsia="zh-CN"/>
        </w:rPr>
        <w:t>0</w:t>
      </w:r>
      <w:r>
        <w:rPr>
          <w:rFonts w:hint="eastAsia" w:ascii="宋体" w:hAnsi="宋体"/>
          <w:sz w:val="28"/>
          <w:szCs w:val="28"/>
          <w:highlight w:val="none"/>
        </w:rPr>
        <w:t>日，公司累计对外担保余额为人民币</w:t>
      </w:r>
      <w:r>
        <w:rPr>
          <w:rFonts w:hint="eastAsia" w:ascii="宋体" w:hAnsi="宋体"/>
          <w:color w:val="auto"/>
          <w:sz w:val="28"/>
          <w:szCs w:val="28"/>
          <w:highlight w:val="none"/>
          <w:lang w:val="en-US" w:eastAsia="zh-CN"/>
        </w:rPr>
        <w:t>168.74</w:t>
      </w:r>
      <w:r>
        <w:rPr>
          <w:rFonts w:hint="eastAsia" w:ascii="宋体" w:hAnsi="宋体"/>
          <w:sz w:val="28"/>
          <w:szCs w:val="28"/>
          <w:highlight w:val="none"/>
        </w:rPr>
        <w:t>亿元，占公司2022年按中国会计准则计算的经审计净资产人民币947.35亿元的</w:t>
      </w:r>
      <w:r>
        <w:rPr>
          <w:rFonts w:hint="eastAsia" w:ascii="宋体" w:hAnsi="宋体"/>
          <w:sz w:val="28"/>
          <w:szCs w:val="28"/>
          <w:highlight w:val="none"/>
          <w:lang w:val="en-US" w:eastAsia="zh-CN"/>
        </w:rPr>
        <w:t>17.81</w:t>
      </w:r>
      <w:r>
        <w:rPr>
          <w:rFonts w:hint="eastAsia" w:ascii="宋体" w:hAnsi="宋体"/>
          <w:sz w:val="28"/>
          <w:szCs w:val="28"/>
          <w:highlight w:val="none"/>
        </w:rPr>
        <w:t>%。除上述担保外，公司不存在其他对外担保，公司及子公司不存在逾期担保的情况。</w:t>
      </w:r>
    </w:p>
    <w:p>
      <w:pPr>
        <w:adjustRightInd w:val="0"/>
        <w:snapToGrid w:val="0"/>
        <w:spacing w:line="560" w:lineRule="exact"/>
        <w:rPr>
          <w:rFonts w:ascii="宋体" w:hAnsi="宋体"/>
          <w:sz w:val="28"/>
          <w:szCs w:val="28"/>
          <w:highlight w:val="none"/>
        </w:rPr>
      </w:pPr>
    </w:p>
    <w:p>
      <w:pPr>
        <w:adjustRightInd w:val="0"/>
        <w:snapToGrid w:val="0"/>
        <w:spacing w:line="560" w:lineRule="exact"/>
        <w:rPr>
          <w:rFonts w:ascii="宋体" w:hAnsi="宋体"/>
          <w:sz w:val="28"/>
          <w:szCs w:val="28"/>
          <w:highlight w:val="none"/>
        </w:rPr>
      </w:pPr>
    </w:p>
    <w:p>
      <w:pPr>
        <w:adjustRightInd w:val="0"/>
        <w:snapToGrid w:val="0"/>
        <w:spacing w:line="560" w:lineRule="exact"/>
        <w:ind w:firstLine="4480" w:firstLineChars="1600"/>
        <w:rPr>
          <w:rFonts w:ascii="宋体" w:hAnsi="宋体"/>
          <w:sz w:val="28"/>
          <w:szCs w:val="28"/>
          <w:highlight w:val="none"/>
        </w:rPr>
      </w:pPr>
      <w:r>
        <w:rPr>
          <w:rFonts w:hint="eastAsia" w:ascii="宋体" w:hAnsi="宋体"/>
          <w:sz w:val="28"/>
          <w:szCs w:val="28"/>
          <w:highlight w:val="none"/>
        </w:rPr>
        <w:t>兖矿能源集团股份有限公司董事会</w:t>
      </w:r>
    </w:p>
    <w:p>
      <w:pPr>
        <w:adjustRightInd w:val="0"/>
        <w:snapToGrid w:val="0"/>
        <w:spacing w:line="560" w:lineRule="exact"/>
        <w:ind w:firstLine="5600" w:firstLineChars="2000"/>
        <w:rPr>
          <w:rFonts w:hint="eastAsia" w:ascii="宋体" w:hAnsi="宋体" w:cs="宋体"/>
          <w:color w:val="000000"/>
          <w:sz w:val="28"/>
          <w:szCs w:val="28"/>
          <w:highlight w:val="none"/>
        </w:rPr>
      </w:pPr>
      <w:r>
        <w:rPr>
          <w:rFonts w:hint="eastAsia" w:ascii="宋体" w:hAnsi="宋体" w:cs="宋体"/>
          <w:color w:val="000000"/>
          <w:sz w:val="28"/>
          <w:szCs w:val="28"/>
          <w:highlight w:val="none"/>
        </w:rPr>
        <w:t>2023年</w:t>
      </w:r>
      <w:r>
        <w:rPr>
          <w:rFonts w:hint="eastAsia" w:ascii="宋体" w:hAnsi="宋体" w:cs="宋体"/>
          <w:color w:val="000000"/>
          <w:sz w:val="28"/>
          <w:szCs w:val="28"/>
          <w:highlight w:val="none"/>
          <w:lang w:val="en-US" w:eastAsia="zh-CN"/>
        </w:rPr>
        <w:t>12</w:t>
      </w:r>
      <w:r>
        <w:rPr>
          <w:rFonts w:hint="eastAsia" w:ascii="宋体" w:hAnsi="宋体" w:cs="宋体"/>
          <w:color w:val="000000"/>
          <w:sz w:val="28"/>
          <w:szCs w:val="28"/>
          <w:highlight w:val="none"/>
        </w:rPr>
        <w:t>月</w:t>
      </w:r>
      <w:r>
        <w:rPr>
          <w:rFonts w:hint="eastAsia" w:ascii="宋体" w:hAnsi="宋体" w:eastAsia="宋体" w:cs="宋体"/>
          <w:color w:val="000000"/>
          <w:sz w:val="28"/>
          <w:szCs w:val="28"/>
          <w:highlight w:val="none"/>
          <w:lang w:val="en-US" w:eastAsia="zh-CN"/>
        </w:rPr>
        <w:t>22</w:t>
      </w:r>
      <w:r>
        <w:rPr>
          <w:rFonts w:hint="eastAsia" w:ascii="宋体" w:hAnsi="宋体" w:cs="宋体"/>
          <w:color w:val="000000"/>
          <w:sz w:val="28"/>
          <w:szCs w:val="28"/>
          <w:highlight w:val="none"/>
        </w:rPr>
        <w:t>日</w:t>
      </w:r>
    </w:p>
    <w:sectPr>
      <w:footerReference r:id="rId3" w:type="default"/>
      <w:footerReference r:id="rId4" w:type="even"/>
      <w:pgSz w:w="11906" w:h="16838"/>
      <w:pgMar w:top="1440" w:right="1701" w:bottom="1440" w:left="1276"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
    <w:altName w:val="黑体"/>
    <w:panose1 w:val="00000000000000000000"/>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rPr>
        <w:rStyle w:val="18"/>
      </w:rPr>
      <w:fldChar w:fldCharType="begin"/>
    </w:r>
    <w:r>
      <w:rPr>
        <w:rStyle w:val="18"/>
      </w:rPr>
      <w:instrText xml:space="preserve">PAGE  </w:instrText>
    </w:r>
    <w:r>
      <w:rPr>
        <w:rStyle w:val="18"/>
      </w:rPr>
      <w:fldChar w:fldCharType="separate"/>
    </w:r>
    <w:r>
      <w:rPr>
        <w:rStyle w:val="18"/>
      </w:rPr>
      <w:t>7</w:t>
    </w:r>
    <w:r>
      <w:rPr>
        <w:rStyle w:val="18"/>
      </w:rP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rPr>
        <w:rStyle w:val="18"/>
      </w:rPr>
      <w:fldChar w:fldCharType="begin"/>
    </w:r>
    <w:r>
      <w:rPr>
        <w:rStyle w:val="18"/>
      </w:rPr>
      <w:instrText xml:space="preserve">PAGE  </w:instrText>
    </w:r>
    <w:r>
      <w:rPr>
        <w:rStyle w:val="18"/>
      </w:rPr>
      <w:fldChar w:fldCharType="separate"/>
    </w:r>
    <w:r>
      <w:rPr>
        <w:rStyle w:val="18"/>
      </w:rPr>
      <w:t>1</w:t>
    </w:r>
    <w:r>
      <w:rPr>
        <w:rStyle w:val="18"/>
      </w:rPr>
      <w:fldChar w:fldCharType="end"/>
    </w:r>
  </w:p>
  <w:p>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722525"/>
    <w:multiLevelType w:val="multilevel"/>
    <w:tmpl w:val="61722525"/>
    <w:lvl w:ilvl="0" w:tentative="0">
      <w:start w:val="1"/>
      <w:numFmt w:val="bullet"/>
      <w:lvlText w:val=""/>
      <w:lvlJc w:val="left"/>
      <w:pPr>
        <w:ind w:left="960" w:hanging="420"/>
      </w:pPr>
      <w:rPr>
        <w:rFonts w:hint="default" w:ascii="Wingdings" w:hAnsi="Wingdings"/>
      </w:rPr>
    </w:lvl>
    <w:lvl w:ilvl="1" w:tentative="0">
      <w:start w:val="1"/>
      <w:numFmt w:val="bullet"/>
      <w:lvlText w:val=""/>
      <w:lvlJc w:val="left"/>
      <w:pPr>
        <w:ind w:left="1380" w:hanging="420"/>
      </w:pPr>
      <w:rPr>
        <w:rFonts w:hint="default" w:ascii="Wingdings" w:hAnsi="Wingdings"/>
      </w:rPr>
    </w:lvl>
    <w:lvl w:ilvl="2" w:tentative="0">
      <w:start w:val="1"/>
      <w:numFmt w:val="bullet"/>
      <w:lvlText w:val=""/>
      <w:lvlJc w:val="left"/>
      <w:pPr>
        <w:ind w:left="1800" w:hanging="420"/>
      </w:pPr>
      <w:rPr>
        <w:rFonts w:hint="default" w:ascii="Wingdings" w:hAnsi="Wingdings"/>
      </w:rPr>
    </w:lvl>
    <w:lvl w:ilvl="3" w:tentative="0">
      <w:start w:val="1"/>
      <w:numFmt w:val="bullet"/>
      <w:lvlText w:val=""/>
      <w:lvlJc w:val="left"/>
      <w:pPr>
        <w:ind w:left="2220" w:hanging="420"/>
      </w:pPr>
      <w:rPr>
        <w:rFonts w:hint="default" w:ascii="Wingdings" w:hAnsi="Wingdings"/>
      </w:rPr>
    </w:lvl>
    <w:lvl w:ilvl="4" w:tentative="0">
      <w:start w:val="1"/>
      <w:numFmt w:val="bullet"/>
      <w:lvlText w:val=""/>
      <w:lvlJc w:val="left"/>
      <w:pPr>
        <w:ind w:left="2640" w:hanging="420"/>
      </w:pPr>
      <w:rPr>
        <w:rFonts w:hint="default" w:ascii="Wingdings" w:hAnsi="Wingdings"/>
      </w:rPr>
    </w:lvl>
    <w:lvl w:ilvl="5" w:tentative="0">
      <w:start w:val="1"/>
      <w:numFmt w:val="bullet"/>
      <w:lvlText w:val=""/>
      <w:lvlJc w:val="left"/>
      <w:pPr>
        <w:ind w:left="3060" w:hanging="420"/>
      </w:pPr>
      <w:rPr>
        <w:rFonts w:hint="default" w:ascii="Wingdings" w:hAnsi="Wingdings"/>
      </w:rPr>
    </w:lvl>
    <w:lvl w:ilvl="6" w:tentative="0">
      <w:start w:val="1"/>
      <w:numFmt w:val="bullet"/>
      <w:lvlText w:val=""/>
      <w:lvlJc w:val="left"/>
      <w:pPr>
        <w:ind w:left="3480" w:hanging="420"/>
      </w:pPr>
      <w:rPr>
        <w:rFonts w:hint="default" w:ascii="Wingdings" w:hAnsi="Wingdings"/>
      </w:rPr>
    </w:lvl>
    <w:lvl w:ilvl="7" w:tentative="0">
      <w:start w:val="1"/>
      <w:numFmt w:val="bullet"/>
      <w:lvlText w:val=""/>
      <w:lvlJc w:val="left"/>
      <w:pPr>
        <w:ind w:left="3900" w:hanging="420"/>
      </w:pPr>
      <w:rPr>
        <w:rFonts w:hint="default" w:ascii="Wingdings" w:hAnsi="Wingdings"/>
      </w:rPr>
    </w:lvl>
    <w:lvl w:ilvl="8" w:tentative="0">
      <w:start w:val="1"/>
      <w:numFmt w:val="bullet"/>
      <w:lvlText w:val=""/>
      <w:lvlJc w:val="left"/>
      <w:pPr>
        <w:ind w:left="43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5"/>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1NmM5OTU2ZmY4Y2RiYTg3ZTQ2ZGQyMTliYjRmY2MifQ=="/>
  </w:docVars>
  <w:rsids>
    <w:rsidRoot w:val="00B1166A"/>
    <w:rsid w:val="00000C66"/>
    <w:rsid w:val="00004217"/>
    <w:rsid w:val="00004F54"/>
    <w:rsid w:val="00010C7D"/>
    <w:rsid w:val="00010F7F"/>
    <w:rsid w:val="000116A3"/>
    <w:rsid w:val="00011EA4"/>
    <w:rsid w:val="00014E26"/>
    <w:rsid w:val="000214C2"/>
    <w:rsid w:val="000233E3"/>
    <w:rsid w:val="0002426E"/>
    <w:rsid w:val="00024379"/>
    <w:rsid w:val="00026422"/>
    <w:rsid w:val="0002731B"/>
    <w:rsid w:val="00031C51"/>
    <w:rsid w:val="000352B0"/>
    <w:rsid w:val="000370A7"/>
    <w:rsid w:val="00043543"/>
    <w:rsid w:val="00044496"/>
    <w:rsid w:val="0004674E"/>
    <w:rsid w:val="000476C8"/>
    <w:rsid w:val="00050B16"/>
    <w:rsid w:val="000511F3"/>
    <w:rsid w:val="000528FA"/>
    <w:rsid w:val="00052BBC"/>
    <w:rsid w:val="00056597"/>
    <w:rsid w:val="00056E40"/>
    <w:rsid w:val="0005744C"/>
    <w:rsid w:val="00061BB9"/>
    <w:rsid w:val="0006259E"/>
    <w:rsid w:val="00062790"/>
    <w:rsid w:val="00062C38"/>
    <w:rsid w:val="000705A8"/>
    <w:rsid w:val="00072E86"/>
    <w:rsid w:val="0007316B"/>
    <w:rsid w:val="00081501"/>
    <w:rsid w:val="0008169E"/>
    <w:rsid w:val="0008173A"/>
    <w:rsid w:val="00082F21"/>
    <w:rsid w:val="00086404"/>
    <w:rsid w:val="000918E3"/>
    <w:rsid w:val="000925B2"/>
    <w:rsid w:val="00093159"/>
    <w:rsid w:val="000932BB"/>
    <w:rsid w:val="00097BE1"/>
    <w:rsid w:val="000A2DA2"/>
    <w:rsid w:val="000B320D"/>
    <w:rsid w:val="000B50E0"/>
    <w:rsid w:val="000C0D4B"/>
    <w:rsid w:val="000C27F6"/>
    <w:rsid w:val="000C5674"/>
    <w:rsid w:val="000C5F87"/>
    <w:rsid w:val="000C7908"/>
    <w:rsid w:val="000D00F7"/>
    <w:rsid w:val="000D08AF"/>
    <w:rsid w:val="000D2858"/>
    <w:rsid w:val="000D3363"/>
    <w:rsid w:val="000E601C"/>
    <w:rsid w:val="000F1F4E"/>
    <w:rsid w:val="000F664B"/>
    <w:rsid w:val="00100065"/>
    <w:rsid w:val="0010275A"/>
    <w:rsid w:val="00103433"/>
    <w:rsid w:val="001037A0"/>
    <w:rsid w:val="00104049"/>
    <w:rsid w:val="001040E2"/>
    <w:rsid w:val="001049AD"/>
    <w:rsid w:val="00107077"/>
    <w:rsid w:val="001074A9"/>
    <w:rsid w:val="001075E8"/>
    <w:rsid w:val="001102A7"/>
    <w:rsid w:val="00112206"/>
    <w:rsid w:val="00112FFC"/>
    <w:rsid w:val="00113684"/>
    <w:rsid w:val="001317E5"/>
    <w:rsid w:val="00131EAE"/>
    <w:rsid w:val="00133FF0"/>
    <w:rsid w:val="00136120"/>
    <w:rsid w:val="00136497"/>
    <w:rsid w:val="00140ECB"/>
    <w:rsid w:val="00142007"/>
    <w:rsid w:val="001424F3"/>
    <w:rsid w:val="00145AE1"/>
    <w:rsid w:val="00146972"/>
    <w:rsid w:val="00151936"/>
    <w:rsid w:val="001519AF"/>
    <w:rsid w:val="00152D7B"/>
    <w:rsid w:val="00152EF5"/>
    <w:rsid w:val="00155AEB"/>
    <w:rsid w:val="00156669"/>
    <w:rsid w:val="001609CE"/>
    <w:rsid w:val="001660E6"/>
    <w:rsid w:val="00167509"/>
    <w:rsid w:val="00167E07"/>
    <w:rsid w:val="001702E8"/>
    <w:rsid w:val="001710E6"/>
    <w:rsid w:val="001723C6"/>
    <w:rsid w:val="00172B92"/>
    <w:rsid w:val="00174DB2"/>
    <w:rsid w:val="00177770"/>
    <w:rsid w:val="00177B5A"/>
    <w:rsid w:val="00181DF4"/>
    <w:rsid w:val="001826AE"/>
    <w:rsid w:val="001827F4"/>
    <w:rsid w:val="0018495C"/>
    <w:rsid w:val="00186A21"/>
    <w:rsid w:val="00187950"/>
    <w:rsid w:val="00190ED1"/>
    <w:rsid w:val="001945F1"/>
    <w:rsid w:val="00195760"/>
    <w:rsid w:val="001971D6"/>
    <w:rsid w:val="001A28A4"/>
    <w:rsid w:val="001A3DCA"/>
    <w:rsid w:val="001A3F2B"/>
    <w:rsid w:val="001A6684"/>
    <w:rsid w:val="001B03E7"/>
    <w:rsid w:val="001B2F74"/>
    <w:rsid w:val="001B333A"/>
    <w:rsid w:val="001B4B3C"/>
    <w:rsid w:val="001C1B8A"/>
    <w:rsid w:val="001C476B"/>
    <w:rsid w:val="001C4C53"/>
    <w:rsid w:val="001C5E45"/>
    <w:rsid w:val="001D095A"/>
    <w:rsid w:val="001D1FD8"/>
    <w:rsid w:val="001D4E3E"/>
    <w:rsid w:val="001D4F36"/>
    <w:rsid w:val="001D601E"/>
    <w:rsid w:val="001E04EB"/>
    <w:rsid w:val="001E0A87"/>
    <w:rsid w:val="001E140B"/>
    <w:rsid w:val="001E1DDA"/>
    <w:rsid w:val="001E1F75"/>
    <w:rsid w:val="001E2596"/>
    <w:rsid w:val="001E4B66"/>
    <w:rsid w:val="001E4F6B"/>
    <w:rsid w:val="001E7557"/>
    <w:rsid w:val="001F070D"/>
    <w:rsid w:val="001F0B26"/>
    <w:rsid w:val="001F1263"/>
    <w:rsid w:val="001F5AB0"/>
    <w:rsid w:val="00200D5E"/>
    <w:rsid w:val="0020181F"/>
    <w:rsid w:val="00201B81"/>
    <w:rsid w:val="0020720E"/>
    <w:rsid w:val="002079EF"/>
    <w:rsid w:val="0021073B"/>
    <w:rsid w:val="002146B3"/>
    <w:rsid w:val="00216202"/>
    <w:rsid w:val="00216E6C"/>
    <w:rsid w:val="00222902"/>
    <w:rsid w:val="0022415A"/>
    <w:rsid w:val="00224AB1"/>
    <w:rsid w:val="00226377"/>
    <w:rsid w:val="00226695"/>
    <w:rsid w:val="0022720D"/>
    <w:rsid w:val="00227AEC"/>
    <w:rsid w:val="00234F6D"/>
    <w:rsid w:val="002360CB"/>
    <w:rsid w:val="002412D2"/>
    <w:rsid w:val="002424F4"/>
    <w:rsid w:val="00243D16"/>
    <w:rsid w:val="00244BB3"/>
    <w:rsid w:val="00246B89"/>
    <w:rsid w:val="0025011E"/>
    <w:rsid w:val="00250B67"/>
    <w:rsid w:val="00254979"/>
    <w:rsid w:val="002567CF"/>
    <w:rsid w:val="00261DB6"/>
    <w:rsid w:val="00264439"/>
    <w:rsid w:val="00267C65"/>
    <w:rsid w:val="00270B3B"/>
    <w:rsid w:val="00273A15"/>
    <w:rsid w:val="00276653"/>
    <w:rsid w:val="00277115"/>
    <w:rsid w:val="00277207"/>
    <w:rsid w:val="002832A0"/>
    <w:rsid w:val="002861A8"/>
    <w:rsid w:val="002909AA"/>
    <w:rsid w:val="00294979"/>
    <w:rsid w:val="002965E2"/>
    <w:rsid w:val="0029667A"/>
    <w:rsid w:val="002A002F"/>
    <w:rsid w:val="002A1CB2"/>
    <w:rsid w:val="002A36EF"/>
    <w:rsid w:val="002A3841"/>
    <w:rsid w:val="002A3AA7"/>
    <w:rsid w:val="002A49BC"/>
    <w:rsid w:val="002A6867"/>
    <w:rsid w:val="002B0825"/>
    <w:rsid w:val="002B0BDE"/>
    <w:rsid w:val="002C2B5C"/>
    <w:rsid w:val="002C6AA6"/>
    <w:rsid w:val="002D0095"/>
    <w:rsid w:val="002D331B"/>
    <w:rsid w:val="002D413C"/>
    <w:rsid w:val="002D64FC"/>
    <w:rsid w:val="002D738C"/>
    <w:rsid w:val="002E450A"/>
    <w:rsid w:val="002F11CA"/>
    <w:rsid w:val="002F13A1"/>
    <w:rsid w:val="002F1D7A"/>
    <w:rsid w:val="002F45BA"/>
    <w:rsid w:val="002F5278"/>
    <w:rsid w:val="002F5EE4"/>
    <w:rsid w:val="002F61B8"/>
    <w:rsid w:val="003002F6"/>
    <w:rsid w:val="00300970"/>
    <w:rsid w:val="00301DB6"/>
    <w:rsid w:val="00302BC8"/>
    <w:rsid w:val="0030466A"/>
    <w:rsid w:val="00304D9D"/>
    <w:rsid w:val="003053D8"/>
    <w:rsid w:val="00305F47"/>
    <w:rsid w:val="00306D0F"/>
    <w:rsid w:val="00307EC1"/>
    <w:rsid w:val="00312FF2"/>
    <w:rsid w:val="003141DD"/>
    <w:rsid w:val="003151F3"/>
    <w:rsid w:val="00315E7D"/>
    <w:rsid w:val="00317B58"/>
    <w:rsid w:val="00320669"/>
    <w:rsid w:val="00324490"/>
    <w:rsid w:val="00325B7D"/>
    <w:rsid w:val="00341AE8"/>
    <w:rsid w:val="00342EC4"/>
    <w:rsid w:val="003468C1"/>
    <w:rsid w:val="003475E3"/>
    <w:rsid w:val="003504E3"/>
    <w:rsid w:val="003517CB"/>
    <w:rsid w:val="00353B50"/>
    <w:rsid w:val="00354828"/>
    <w:rsid w:val="00356C7A"/>
    <w:rsid w:val="0036105B"/>
    <w:rsid w:val="00361481"/>
    <w:rsid w:val="003626A8"/>
    <w:rsid w:val="00362AB2"/>
    <w:rsid w:val="00362B84"/>
    <w:rsid w:val="00365905"/>
    <w:rsid w:val="00367782"/>
    <w:rsid w:val="00370C02"/>
    <w:rsid w:val="0037171C"/>
    <w:rsid w:val="003727D6"/>
    <w:rsid w:val="0037389C"/>
    <w:rsid w:val="00374ECD"/>
    <w:rsid w:val="00382979"/>
    <w:rsid w:val="003832E6"/>
    <w:rsid w:val="00383CEA"/>
    <w:rsid w:val="00386052"/>
    <w:rsid w:val="003866E8"/>
    <w:rsid w:val="00390DB7"/>
    <w:rsid w:val="0039344E"/>
    <w:rsid w:val="0039366A"/>
    <w:rsid w:val="00397E1A"/>
    <w:rsid w:val="003A2833"/>
    <w:rsid w:val="003B4E49"/>
    <w:rsid w:val="003B6E18"/>
    <w:rsid w:val="003C0976"/>
    <w:rsid w:val="003C323D"/>
    <w:rsid w:val="003C5316"/>
    <w:rsid w:val="003D2F8D"/>
    <w:rsid w:val="003D41D0"/>
    <w:rsid w:val="003D4C2D"/>
    <w:rsid w:val="003D5C80"/>
    <w:rsid w:val="003D6483"/>
    <w:rsid w:val="003E2E2D"/>
    <w:rsid w:val="003E3F1A"/>
    <w:rsid w:val="003E4680"/>
    <w:rsid w:val="003E5142"/>
    <w:rsid w:val="003E540E"/>
    <w:rsid w:val="003E5742"/>
    <w:rsid w:val="003E60F3"/>
    <w:rsid w:val="003E73D3"/>
    <w:rsid w:val="003E7428"/>
    <w:rsid w:val="003F5958"/>
    <w:rsid w:val="003F70DF"/>
    <w:rsid w:val="00400593"/>
    <w:rsid w:val="00400EF7"/>
    <w:rsid w:val="00402465"/>
    <w:rsid w:val="004046A1"/>
    <w:rsid w:val="00406881"/>
    <w:rsid w:val="00406A8B"/>
    <w:rsid w:val="00407613"/>
    <w:rsid w:val="00410104"/>
    <w:rsid w:val="00414278"/>
    <w:rsid w:val="00416620"/>
    <w:rsid w:val="00416E45"/>
    <w:rsid w:val="0042031E"/>
    <w:rsid w:val="00420EE7"/>
    <w:rsid w:val="00420EFC"/>
    <w:rsid w:val="00421A81"/>
    <w:rsid w:val="00423C37"/>
    <w:rsid w:val="0042469F"/>
    <w:rsid w:val="00430734"/>
    <w:rsid w:val="00430958"/>
    <w:rsid w:val="00431198"/>
    <w:rsid w:val="00435781"/>
    <w:rsid w:val="0044668E"/>
    <w:rsid w:val="00450237"/>
    <w:rsid w:val="00450DA1"/>
    <w:rsid w:val="004547D2"/>
    <w:rsid w:val="00455889"/>
    <w:rsid w:val="00461A88"/>
    <w:rsid w:val="00464520"/>
    <w:rsid w:val="00470AE7"/>
    <w:rsid w:val="00470CA9"/>
    <w:rsid w:val="00471C27"/>
    <w:rsid w:val="00471FC9"/>
    <w:rsid w:val="00472A24"/>
    <w:rsid w:val="0047354B"/>
    <w:rsid w:val="004777C3"/>
    <w:rsid w:val="004803DD"/>
    <w:rsid w:val="00481DBE"/>
    <w:rsid w:val="00482903"/>
    <w:rsid w:val="00485459"/>
    <w:rsid w:val="00486F95"/>
    <w:rsid w:val="004935A1"/>
    <w:rsid w:val="004937BA"/>
    <w:rsid w:val="004A278C"/>
    <w:rsid w:val="004A343E"/>
    <w:rsid w:val="004A41D3"/>
    <w:rsid w:val="004A6538"/>
    <w:rsid w:val="004A6667"/>
    <w:rsid w:val="004B0546"/>
    <w:rsid w:val="004B1950"/>
    <w:rsid w:val="004B69FD"/>
    <w:rsid w:val="004C0FC7"/>
    <w:rsid w:val="004C2D5E"/>
    <w:rsid w:val="004C2F57"/>
    <w:rsid w:val="004C5846"/>
    <w:rsid w:val="004D00C4"/>
    <w:rsid w:val="004D01F4"/>
    <w:rsid w:val="004D0FF2"/>
    <w:rsid w:val="004D19DC"/>
    <w:rsid w:val="004D2C88"/>
    <w:rsid w:val="004D31B2"/>
    <w:rsid w:val="004D3414"/>
    <w:rsid w:val="004D663B"/>
    <w:rsid w:val="004D739C"/>
    <w:rsid w:val="004E046C"/>
    <w:rsid w:val="004E0E6F"/>
    <w:rsid w:val="004E3BAF"/>
    <w:rsid w:val="004E4202"/>
    <w:rsid w:val="004E66DB"/>
    <w:rsid w:val="004E70DE"/>
    <w:rsid w:val="004E7356"/>
    <w:rsid w:val="004F29D3"/>
    <w:rsid w:val="004F5FED"/>
    <w:rsid w:val="00502CFD"/>
    <w:rsid w:val="00506E57"/>
    <w:rsid w:val="0051345D"/>
    <w:rsid w:val="00514A04"/>
    <w:rsid w:val="00516ABB"/>
    <w:rsid w:val="00517019"/>
    <w:rsid w:val="00520220"/>
    <w:rsid w:val="00523F7D"/>
    <w:rsid w:val="00525D0D"/>
    <w:rsid w:val="00527D17"/>
    <w:rsid w:val="005321DA"/>
    <w:rsid w:val="00532DA6"/>
    <w:rsid w:val="00534537"/>
    <w:rsid w:val="00535112"/>
    <w:rsid w:val="00537657"/>
    <w:rsid w:val="005379B1"/>
    <w:rsid w:val="0054020E"/>
    <w:rsid w:val="00541232"/>
    <w:rsid w:val="005459D5"/>
    <w:rsid w:val="0055173B"/>
    <w:rsid w:val="00552727"/>
    <w:rsid w:val="00553577"/>
    <w:rsid w:val="005541B3"/>
    <w:rsid w:val="00554A44"/>
    <w:rsid w:val="005567F4"/>
    <w:rsid w:val="00563524"/>
    <w:rsid w:val="005649E0"/>
    <w:rsid w:val="00567AB8"/>
    <w:rsid w:val="005708E3"/>
    <w:rsid w:val="00571FD8"/>
    <w:rsid w:val="00573AD2"/>
    <w:rsid w:val="00574F1D"/>
    <w:rsid w:val="0057617E"/>
    <w:rsid w:val="00577366"/>
    <w:rsid w:val="0057774B"/>
    <w:rsid w:val="00577DF3"/>
    <w:rsid w:val="00582424"/>
    <w:rsid w:val="00582B21"/>
    <w:rsid w:val="0058649F"/>
    <w:rsid w:val="0059077E"/>
    <w:rsid w:val="00593418"/>
    <w:rsid w:val="00596403"/>
    <w:rsid w:val="00597142"/>
    <w:rsid w:val="005A0FE1"/>
    <w:rsid w:val="005A274A"/>
    <w:rsid w:val="005A4B7C"/>
    <w:rsid w:val="005A7231"/>
    <w:rsid w:val="005B2665"/>
    <w:rsid w:val="005B5482"/>
    <w:rsid w:val="005B7EC3"/>
    <w:rsid w:val="005C147B"/>
    <w:rsid w:val="005C2F10"/>
    <w:rsid w:val="005C4795"/>
    <w:rsid w:val="005C5A2A"/>
    <w:rsid w:val="005C6140"/>
    <w:rsid w:val="005C6C6B"/>
    <w:rsid w:val="005D02E2"/>
    <w:rsid w:val="005D138E"/>
    <w:rsid w:val="005D17D8"/>
    <w:rsid w:val="005D26EE"/>
    <w:rsid w:val="005D36D4"/>
    <w:rsid w:val="005D48C5"/>
    <w:rsid w:val="005D4FF4"/>
    <w:rsid w:val="005D783B"/>
    <w:rsid w:val="005D7DF8"/>
    <w:rsid w:val="005E0764"/>
    <w:rsid w:val="005E0A40"/>
    <w:rsid w:val="005E1E1D"/>
    <w:rsid w:val="005E2687"/>
    <w:rsid w:val="005E3011"/>
    <w:rsid w:val="005E5EC0"/>
    <w:rsid w:val="005E64EA"/>
    <w:rsid w:val="005E7BCD"/>
    <w:rsid w:val="005F1443"/>
    <w:rsid w:val="005F43C9"/>
    <w:rsid w:val="005F4C96"/>
    <w:rsid w:val="005F6548"/>
    <w:rsid w:val="005F7542"/>
    <w:rsid w:val="00604182"/>
    <w:rsid w:val="00604899"/>
    <w:rsid w:val="006064F7"/>
    <w:rsid w:val="006069B7"/>
    <w:rsid w:val="00606D40"/>
    <w:rsid w:val="0061015A"/>
    <w:rsid w:val="006138C4"/>
    <w:rsid w:val="006151AF"/>
    <w:rsid w:val="00616A31"/>
    <w:rsid w:val="006175CB"/>
    <w:rsid w:val="00620B39"/>
    <w:rsid w:val="006232DD"/>
    <w:rsid w:val="0062459F"/>
    <w:rsid w:val="006257C3"/>
    <w:rsid w:val="00625B3C"/>
    <w:rsid w:val="006264A2"/>
    <w:rsid w:val="006308BF"/>
    <w:rsid w:val="00630CA2"/>
    <w:rsid w:val="00630DD5"/>
    <w:rsid w:val="00630DD6"/>
    <w:rsid w:val="00633574"/>
    <w:rsid w:val="006342C4"/>
    <w:rsid w:val="00635DC6"/>
    <w:rsid w:val="006372A1"/>
    <w:rsid w:val="006377E1"/>
    <w:rsid w:val="0064200D"/>
    <w:rsid w:val="0064327D"/>
    <w:rsid w:val="006451E9"/>
    <w:rsid w:val="00647C00"/>
    <w:rsid w:val="006509C3"/>
    <w:rsid w:val="006512DA"/>
    <w:rsid w:val="006519FA"/>
    <w:rsid w:val="006547DE"/>
    <w:rsid w:val="00654D53"/>
    <w:rsid w:val="00654DD7"/>
    <w:rsid w:val="00661699"/>
    <w:rsid w:val="00661969"/>
    <w:rsid w:val="00667ABC"/>
    <w:rsid w:val="00670363"/>
    <w:rsid w:val="00672693"/>
    <w:rsid w:val="00682F53"/>
    <w:rsid w:val="006835FC"/>
    <w:rsid w:val="00684AF6"/>
    <w:rsid w:val="0069159A"/>
    <w:rsid w:val="00695716"/>
    <w:rsid w:val="00696B88"/>
    <w:rsid w:val="00697447"/>
    <w:rsid w:val="006A0A7C"/>
    <w:rsid w:val="006A1145"/>
    <w:rsid w:val="006A19E1"/>
    <w:rsid w:val="006A3B24"/>
    <w:rsid w:val="006B4BC2"/>
    <w:rsid w:val="006B7FA7"/>
    <w:rsid w:val="006C09FE"/>
    <w:rsid w:val="006C2979"/>
    <w:rsid w:val="006C4487"/>
    <w:rsid w:val="006C4C49"/>
    <w:rsid w:val="006C5B91"/>
    <w:rsid w:val="006C6259"/>
    <w:rsid w:val="006C6DB6"/>
    <w:rsid w:val="006D05DA"/>
    <w:rsid w:val="006D097B"/>
    <w:rsid w:val="006D1D81"/>
    <w:rsid w:val="006D22F2"/>
    <w:rsid w:val="006D294F"/>
    <w:rsid w:val="006E5421"/>
    <w:rsid w:val="006E5548"/>
    <w:rsid w:val="006E5E2D"/>
    <w:rsid w:val="006E7F29"/>
    <w:rsid w:val="006F0162"/>
    <w:rsid w:val="006F020D"/>
    <w:rsid w:val="006F5EBD"/>
    <w:rsid w:val="007018AE"/>
    <w:rsid w:val="00706A57"/>
    <w:rsid w:val="007079E2"/>
    <w:rsid w:val="007108C5"/>
    <w:rsid w:val="0071169A"/>
    <w:rsid w:val="00712D9D"/>
    <w:rsid w:val="007178C3"/>
    <w:rsid w:val="00723650"/>
    <w:rsid w:val="00723BA1"/>
    <w:rsid w:val="00723BE2"/>
    <w:rsid w:val="00727839"/>
    <w:rsid w:val="00734DB0"/>
    <w:rsid w:val="0074016A"/>
    <w:rsid w:val="00740A9E"/>
    <w:rsid w:val="00741F16"/>
    <w:rsid w:val="00746966"/>
    <w:rsid w:val="00753D4A"/>
    <w:rsid w:val="007601CD"/>
    <w:rsid w:val="00763737"/>
    <w:rsid w:val="00764713"/>
    <w:rsid w:val="007647B9"/>
    <w:rsid w:val="00764BE2"/>
    <w:rsid w:val="00765FE5"/>
    <w:rsid w:val="00770663"/>
    <w:rsid w:val="00773044"/>
    <w:rsid w:val="0077592E"/>
    <w:rsid w:val="00777258"/>
    <w:rsid w:val="00777BD6"/>
    <w:rsid w:val="00777CCA"/>
    <w:rsid w:val="0078750B"/>
    <w:rsid w:val="00793A51"/>
    <w:rsid w:val="007944F2"/>
    <w:rsid w:val="00794620"/>
    <w:rsid w:val="00794C77"/>
    <w:rsid w:val="00795BF6"/>
    <w:rsid w:val="007A1165"/>
    <w:rsid w:val="007A2AC9"/>
    <w:rsid w:val="007A5ACB"/>
    <w:rsid w:val="007A5FC6"/>
    <w:rsid w:val="007A6B1B"/>
    <w:rsid w:val="007A7C8D"/>
    <w:rsid w:val="007B06B3"/>
    <w:rsid w:val="007B10D1"/>
    <w:rsid w:val="007B42A1"/>
    <w:rsid w:val="007B4552"/>
    <w:rsid w:val="007C2315"/>
    <w:rsid w:val="007C5C3B"/>
    <w:rsid w:val="007D12E9"/>
    <w:rsid w:val="007D4568"/>
    <w:rsid w:val="007D562B"/>
    <w:rsid w:val="007D7A43"/>
    <w:rsid w:val="007E0C66"/>
    <w:rsid w:val="007E261D"/>
    <w:rsid w:val="007E4596"/>
    <w:rsid w:val="007E5616"/>
    <w:rsid w:val="007E6AA1"/>
    <w:rsid w:val="007E71B2"/>
    <w:rsid w:val="007E7438"/>
    <w:rsid w:val="007E7834"/>
    <w:rsid w:val="007F0416"/>
    <w:rsid w:val="007F1106"/>
    <w:rsid w:val="007F137F"/>
    <w:rsid w:val="007F611C"/>
    <w:rsid w:val="007F64BB"/>
    <w:rsid w:val="007F737E"/>
    <w:rsid w:val="007F7CE0"/>
    <w:rsid w:val="008023A5"/>
    <w:rsid w:val="008043A6"/>
    <w:rsid w:val="008103F9"/>
    <w:rsid w:val="00810FAA"/>
    <w:rsid w:val="00816EA3"/>
    <w:rsid w:val="00823BBE"/>
    <w:rsid w:val="00823CEB"/>
    <w:rsid w:val="00824214"/>
    <w:rsid w:val="008260E2"/>
    <w:rsid w:val="00826654"/>
    <w:rsid w:val="00826BCA"/>
    <w:rsid w:val="00827EC9"/>
    <w:rsid w:val="0083162E"/>
    <w:rsid w:val="00831A55"/>
    <w:rsid w:val="00831D1C"/>
    <w:rsid w:val="00844E22"/>
    <w:rsid w:val="00845CC3"/>
    <w:rsid w:val="008470A3"/>
    <w:rsid w:val="008515BA"/>
    <w:rsid w:val="00851ECF"/>
    <w:rsid w:val="00852468"/>
    <w:rsid w:val="0085266A"/>
    <w:rsid w:val="00853ECD"/>
    <w:rsid w:val="00854468"/>
    <w:rsid w:val="008556BB"/>
    <w:rsid w:val="0085666E"/>
    <w:rsid w:val="00856CBD"/>
    <w:rsid w:val="0085707D"/>
    <w:rsid w:val="00860829"/>
    <w:rsid w:val="00862959"/>
    <w:rsid w:val="0086318B"/>
    <w:rsid w:val="00866FCA"/>
    <w:rsid w:val="00867617"/>
    <w:rsid w:val="00873477"/>
    <w:rsid w:val="00873EA2"/>
    <w:rsid w:val="00873F02"/>
    <w:rsid w:val="0087497B"/>
    <w:rsid w:val="008754C9"/>
    <w:rsid w:val="00877C86"/>
    <w:rsid w:val="00883147"/>
    <w:rsid w:val="00883811"/>
    <w:rsid w:val="00884B8F"/>
    <w:rsid w:val="008864A2"/>
    <w:rsid w:val="0088713A"/>
    <w:rsid w:val="00890012"/>
    <w:rsid w:val="00890567"/>
    <w:rsid w:val="00894BC9"/>
    <w:rsid w:val="00895B59"/>
    <w:rsid w:val="008A72B2"/>
    <w:rsid w:val="008A771E"/>
    <w:rsid w:val="008B1914"/>
    <w:rsid w:val="008B3792"/>
    <w:rsid w:val="008B4BE6"/>
    <w:rsid w:val="008C04EB"/>
    <w:rsid w:val="008C07AE"/>
    <w:rsid w:val="008C0D2C"/>
    <w:rsid w:val="008C3203"/>
    <w:rsid w:val="008C3858"/>
    <w:rsid w:val="008C3905"/>
    <w:rsid w:val="008C3A2C"/>
    <w:rsid w:val="008C4C3D"/>
    <w:rsid w:val="008C5934"/>
    <w:rsid w:val="008C7396"/>
    <w:rsid w:val="008D1528"/>
    <w:rsid w:val="008D22C1"/>
    <w:rsid w:val="008D4A93"/>
    <w:rsid w:val="008D709C"/>
    <w:rsid w:val="008E05A5"/>
    <w:rsid w:val="008E3622"/>
    <w:rsid w:val="008E3D99"/>
    <w:rsid w:val="008E476B"/>
    <w:rsid w:val="008E567F"/>
    <w:rsid w:val="008E5A9F"/>
    <w:rsid w:val="008F235D"/>
    <w:rsid w:val="008F2DDB"/>
    <w:rsid w:val="008F703B"/>
    <w:rsid w:val="009009E0"/>
    <w:rsid w:val="00900B2B"/>
    <w:rsid w:val="0090211E"/>
    <w:rsid w:val="0090511B"/>
    <w:rsid w:val="00906C92"/>
    <w:rsid w:val="00913BDF"/>
    <w:rsid w:val="009204E7"/>
    <w:rsid w:val="009210CF"/>
    <w:rsid w:val="00922772"/>
    <w:rsid w:val="00923ED4"/>
    <w:rsid w:val="00927C54"/>
    <w:rsid w:val="009307E8"/>
    <w:rsid w:val="00932C48"/>
    <w:rsid w:val="00933C8F"/>
    <w:rsid w:val="0093627E"/>
    <w:rsid w:val="009364EC"/>
    <w:rsid w:val="0093654C"/>
    <w:rsid w:val="00936793"/>
    <w:rsid w:val="009367E0"/>
    <w:rsid w:val="00937780"/>
    <w:rsid w:val="009500F9"/>
    <w:rsid w:val="00952E18"/>
    <w:rsid w:val="00954C54"/>
    <w:rsid w:val="00956618"/>
    <w:rsid w:val="00956820"/>
    <w:rsid w:val="00957DA7"/>
    <w:rsid w:val="009633CC"/>
    <w:rsid w:val="00966BF6"/>
    <w:rsid w:val="00972FA1"/>
    <w:rsid w:val="00974F32"/>
    <w:rsid w:val="0097584D"/>
    <w:rsid w:val="00975C25"/>
    <w:rsid w:val="0098019F"/>
    <w:rsid w:val="009801AF"/>
    <w:rsid w:val="00981373"/>
    <w:rsid w:val="00982221"/>
    <w:rsid w:val="00983538"/>
    <w:rsid w:val="00986BD3"/>
    <w:rsid w:val="0098747D"/>
    <w:rsid w:val="00990237"/>
    <w:rsid w:val="009941A1"/>
    <w:rsid w:val="00995522"/>
    <w:rsid w:val="009959E6"/>
    <w:rsid w:val="009A32DC"/>
    <w:rsid w:val="009A3588"/>
    <w:rsid w:val="009A415A"/>
    <w:rsid w:val="009A6ABA"/>
    <w:rsid w:val="009A7F37"/>
    <w:rsid w:val="009B1A16"/>
    <w:rsid w:val="009B3573"/>
    <w:rsid w:val="009B4C26"/>
    <w:rsid w:val="009B78C5"/>
    <w:rsid w:val="009C005F"/>
    <w:rsid w:val="009C0AE3"/>
    <w:rsid w:val="009C17C1"/>
    <w:rsid w:val="009C5C9F"/>
    <w:rsid w:val="009C6448"/>
    <w:rsid w:val="009C74B0"/>
    <w:rsid w:val="009D02E1"/>
    <w:rsid w:val="009D2963"/>
    <w:rsid w:val="009D2CCF"/>
    <w:rsid w:val="009D2EF6"/>
    <w:rsid w:val="009D35C0"/>
    <w:rsid w:val="009D73F1"/>
    <w:rsid w:val="009D7E9A"/>
    <w:rsid w:val="009D7EA2"/>
    <w:rsid w:val="009E19E9"/>
    <w:rsid w:val="009E42CB"/>
    <w:rsid w:val="009E4682"/>
    <w:rsid w:val="009E4D5A"/>
    <w:rsid w:val="009E5657"/>
    <w:rsid w:val="009E5693"/>
    <w:rsid w:val="009E7113"/>
    <w:rsid w:val="009E7CB4"/>
    <w:rsid w:val="009F161B"/>
    <w:rsid w:val="009F2CE8"/>
    <w:rsid w:val="009F553D"/>
    <w:rsid w:val="009F6E60"/>
    <w:rsid w:val="00A00729"/>
    <w:rsid w:val="00A0599F"/>
    <w:rsid w:val="00A0628B"/>
    <w:rsid w:val="00A06566"/>
    <w:rsid w:val="00A0668C"/>
    <w:rsid w:val="00A0738D"/>
    <w:rsid w:val="00A12EC8"/>
    <w:rsid w:val="00A15339"/>
    <w:rsid w:val="00A15415"/>
    <w:rsid w:val="00A17BA9"/>
    <w:rsid w:val="00A17F94"/>
    <w:rsid w:val="00A20D54"/>
    <w:rsid w:val="00A21321"/>
    <w:rsid w:val="00A213F4"/>
    <w:rsid w:val="00A330AF"/>
    <w:rsid w:val="00A33830"/>
    <w:rsid w:val="00A35C98"/>
    <w:rsid w:val="00A35F0D"/>
    <w:rsid w:val="00A37682"/>
    <w:rsid w:val="00A41B1C"/>
    <w:rsid w:val="00A42181"/>
    <w:rsid w:val="00A51C03"/>
    <w:rsid w:val="00A523A6"/>
    <w:rsid w:val="00A54F7B"/>
    <w:rsid w:val="00A5723C"/>
    <w:rsid w:val="00A62602"/>
    <w:rsid w:val="00A63773"/>
    <w:rsid w:val="00A66231"/>
    <w:rsid w:val="00A727D6"/>
    <w:rsid w:val="00A75632"/>
    <w:rsid w:val="00A77E6D"/>
    <w:rsid w:val="00A86A82"/>
    <w:rsid w:val="00A86DDD"/>
    <w:rsid w:val="00A8780A"/>
    <w:rsid w:val="00A87C5B"/>
    <w:rsid w:val="00A92D99"/>
    <w:rsid w:val="00A94FEB"/>
    <w:rsid w:val="00A95D10"/>
    <w:rsid w:val="00A97630"/>
    <w:rsid w:val="00AA0A24"/>
    <w:rsid w:val="00AA24FC"/>
    <w:rsid w:val="00AA28EA"/>
    <w:rsid w:val="00AA567C"/>
    <w:rsid w:val="00AA5FE7"/>
    <w:rsid w:val="00AB005D"/>
    <w:rsid w:val="00AB1073"/>
    <w:rsid w:val="00AB12E9"/>
    <w:rsid w:val="00AB2777"/>
    <w:rsid w:val="00AB635A"/>
    <w:rsid w:val="00AB7B05"/>
    <w:rsid w:val="00AC329E"/>
    <w:rsid w:val="00AC387B"/>
    <w:rsid w:val="00AC5B04"/>
    <w:rsid w:val="00AC6ACF"/>
    <w:rsid w:val="00AC785E"/>
    <w:rsid w:val="00AD1732"/>
    <w:rsid w:val="00AD1A33"/>
    <w:rsid w:val="00AD2E1A"/>
    <w:rsid w:val="00AD463C"/>
    <w:rsid w:val="00AD47CD"/>
    <w:rsid w:val="00AD4EB9"/>
    <w:rsid w:val="00AD6C05"/>
    <w:rsid w:val="00AD7B93"/>
    <w:rsid w:val="00AE0F8F"/>
    <w:rsid w:val="00AE16C9"/>
    <w:rsid w:val="00AE1C47"/>
    <w:rsid w:val="00AE4A7A"/>
    <w:rsid w:val="00AE5EF6"/>
    <w:rsid w:val="00AF0D5C"/>
    <w:rsid w:val="00AF0FA9"/>
    <w:rsid w:val="00AF1450"/>
    <w:rsid w:val="00AF277A"/>
    <w:rsid w:val="00AF2D86"/>
    <w:rsid w:val="00AF5A17"/>
    <w:rsid w:val="00AF7672"/>
    <w:rsid w:val="00AF7B47"/>
    <w:rsid w:val="00B00C3C"/>
    <w:rsid w:val="00B01D34"/>
    <w:rsid w:val="00B0341B"/>
    <w:rsid w:val="00B04CAA"/>
    <w:rsid w:val="00B053E5"/>
    <w:rsid w:val="00B05420"/>
    <w:rsid w:val="00B05FD1"/>
    <w:rsid w:val="00B1166A"/>
    <w:rsid w:val="00B1243A"/>
    <w:rsid w:val="00B12462"/>
    <w:rsid w:val="00B1426D"/>
    <w:rsid w:val="00B20093"/>
    <w:rsid w:val="00B219D9"/>
    <w:rsid w:val="00B266B5"/>
    <w:rsid w:val="00B30DF2"/>
    <w:rsid w:val="00B3324E"/>
    <w:rsid w:val="00B361A4"/>
    <w:rsid w:val="00B3688A"/>
    <w:rsid w:val="00B37012"/>
    <w:rsid w:val="00B41A34"/>
    <w:rsid w:val="00B42464"/>
    <w:rsid w:val="00B42D22"/>
    <w:rsid w:val="00B44564"/>
    <w:rsid w:val="00B51371"/>
    <w:rsid w:val="00B60411"/>
    <w:rsid w:val="00B60906"/>
    <w:rsid w:val="00B63297"/>
    <w:rsid w:val="00B63472"/>
    <w:rsid w:val="00B7141E"/>
    <w:rsid w:val="00B75E3D"/>
    <w:rsid w:val="00B76FDB"/>
    <w:rsid w:val="00B8193E"/>
    <w:rsid w:val="00B865EE"/>
    <w:rsid w:val="00B87065"/>
    <w:rsid w:val="00B90CDA"/>
    <w:rsid w:val="00B933B6"/>
    <w:rsid w:val="00B95AF3"/>
    <w:rsid w:val="00B95EA4"/>
    <w:rsid w:val="00B96AE4"/>
    <w:rsid w:val="00B97154"/>
    <w:rsid w:val="00BA14CC"/>
    <w:rsid w:val="00BA3DB8"/>
    <w:rsid w:val="00BB25B5"/>
    <w:rsid w:val="00BB669A"/>
    <w:rsid w:val="00BB6A7D"/>
    <w:rsid w:val="00BB6B10"/>
    <w:rsid w:val="00BB7248"/>
    <w:rsid w:val="00BB72D1"/>
    <w:rsid w:val="00BC1AF5"/>
    <w:rsid w:val="00BC4566"/>
    <w:rsid w:val="00BC4594"/>
    <w:rsid w:val="00BC4FED"/>
    <w:rsid w:val="00BC5815"/>
    <w:rsid w:val="00BD0678"/>
    <w:rsid w:val="00BD1562"/>
    <w:rsid w:val="00BD182C"/>
    <w:rsid w:val="00BD2533"/>
    <w:rsid w:val="00BD61E9"/>
    <w:rsid w:val="00BD68EC"/>
    <w:rsid w:val="00BD7328"/>
    <w:rsid w:val="00BE14A4"/>
    <w:rsid w:val="00BE395C"/>
    <w:rsid w:val="00BE5D58"/>
    <w:rsid w:val="00BF1B29"/>
    <w:rsid w:val="00BF3AD4"/>
    <w:rsid w:val="00BF4054"/>
    <w:rsid w:val="00BF563F"/>
    <w:rsid w:val="00BF6F49"/>
    <w:rsid w:val="00C0028A"/>
    <w:rsid w:val="00C00600"/>
    <w:rsid w:val="00C02A4B"/>
    <w:rsid w:val="00C02CC7"/>
    <w:rsid w:val="00C05634"/>
    <w:rsid w:val="00C05DEC"/>
    <w:rsid w:val="00C07942"/>
    <w:rsid w:val="00C07CAB"/>
    <w:rsid w:val="00C1004E"/>
    <w:rsid w:val="00C10305"/>
    <w:rsid w:val="00C12439"/>
    <w:rsid w:val="00C13779"/>
    <w:rsid w:val="00C14E3C"/>
    <w:rsid w:val="00C16ECD"/>
    <w:rsid w:val="00C1713D"/>
    <w:rsid w:val="00C236B2"/>
    <w:rsid w:val="00C268EA"/>
    <w:rsid w:val="00C27170"/>
    <w:rsid w:val="00C30320"/>
    <w:rsid w:val="00C346EF"/>
    <w:rsid w:val="00C40718"/>
    <w:rsid w:val="00C4157C"/>
    <w:rsid w:val="00C42DAC"/>
    <w:rsid w:val="00C4532B"/>
    <w:rsid w:val="00C50C5F"/>
    <w:rsid w:val="00C5748E"/>
    <w:rsid w:val="00C629A4"/>
    <w:rsid w:val="00C629CB"/>
    <w:rsid w:val="00C641D3"/>
    <w:rsid w:val="00C6632D"/>
    <w:rsid w:val="00C718FE"/>
    <w:rsid w:val="00C73585"/>
    <w:rsid w:val="00C75433"/>
    <w:rsid w:val="00C803E9"/>
    <w:rsid w:val="00C81C7C"/>
    <w:rsid w:val="00C83A92"/>
    <w:rsid w:val="00C83B27"/>
    <w:rsid w:val="00C8572E"/>
    <w:rsid w:val="00C86766"/>
    <w:rsid w:val="00C90E2C"/>
    <w:rsid w:val="00C9105F"/>
    <w:rsid w:val="00C92529"/>
    <w:rsid w:val="00C93B56"/>
    <w:rsid w:val="00C942FE"/>
    <w:rsid w:val="00C96A90"/>
    <w:rsid w:val="00CA07A2"/>
    <w:rsid w:val="00CA0B17"/>
    <w:rsid w:val="00CA2ED3"/>
    <w:rsid w:val="00CA39F0"/>
    <w:rsid w:val="00CB042D"/>
    <w:rsid w:val="00CB0BB3"/>
    <w:rsid w:val="00CB2487"/>
    <w:rsid w:val="00CB4DBF"/>
    <w:rsid w:val="00CB59F6"/>
    <w:rsid w:val="00CC1FD7"/>
    <w:rsid w:val="00CC51E9"/>
    <w:rsid w:val="00CC55DF"/>
    <w:rsid w:val="00CC7267"/>
    <w:rsid w:val="00CD0E54"/>
    <w:rsid w:val="00CD104B"/>
    <w:rsid w:val="00CD485D"/>
    <w:rsid w:val="00CD5124"/>
    <w:rsid w:val="00CD7D91"/>
    <w:rsid w:val="00CE0471"/>
    <w:rsid w:val="00CE1752"/>
    <w:rsid w:val="00CE3792"/>
    <w:rsid w:val="00CE416F"/>
    <w:rsid w:val="00CE472B"/>
    <w:rsid w:val="00CE4C5D"/>
    <w:rsid w:val="00CE4DA9"/>
    <w:rsid w:val="00CF0CDB"/>
    <w:rsid w:val="00CF1E3A"/>
    <w:rsid w:val="00CF31FF"/>
    <w:rsid w:val="00CF594C"/>
    <w:rsid w:val="00CF770E"/>
    <w:rsid w:val="00D0544D"/>
    <w:rsid w:val="00D061EF"/>
    <w:rsid w:val="00D06F19"/>
    <w:rsid w:val="00D074CD"/>
    <w:rsid w:val="00D102CB"/>
    <w:rsid w:val="00D1275C"/>
    <w:rsid w:val="00D128DC"/>
    <w:rsid w:val="00D14DBE"/>
    <w:rsid w:val="00D14E7F"/>
    <w:rsid w:val="00D1687D"/>
    <w:rsid w:val="00D26880"/>
    <w:rsid w:val="00D27A0E"/>
    <w:rsid w:val="00D302AD"/>
    <w:rsid w:val="00D31D4B"/>
    <w:rsid w:val="00D33FC5"/>
    <w:rsid w:val="00D33FD4"/>
    <w:rsid w:val="00D34423"/>
    <w:rsid w:val="00D35780"/>
    <w:rsid w:val="00D358D2"/>
    <w:rsid w:val="00D40189"/>
    <w:rsid w:val="00D413C7"/>
    <w:rsid w:val="00D4746D"/>
    <w:rsid w:val="00D47753"/>
    <w:rsid w:val="00D51B9E"/>
    <w:rsid w:val="00D529DD"/>
    <w:rsid w:val="00D53199"/>
    <w:rsid w:val="00D55D5C"/>
    <w:rsid w:val="00D567CA"/>
    <w:rsid w:val="00D57322"/>
    <w:rsid w:val="00D606AE"/>
    <w:rsid w:val="00D705F5"/>
    <w:rsid w:val="00D82F5B"/>
    <w:rsid w:val="00D9094C"/>
    <w:rsid w:val="00D97710"/>
    <w:rsid w:val="00DA209B"/>
    <w:rsid w:val="00DA3F9C"/>
    <w:rsid w:val="00DA41AC"/>
    <w:rsid w:val="00DA4F79"/>
    <w:rsid w:val="00DA57FE"/>
    <w:rsid w:val="00DA6A65"/>
    <w:rsid w:val="00DB3971"/>
    <w:rsid w:val="00DB4672"/>
    <w:rsid w:val="00DB7B0A"/>
    <w:rsid w:val="00DC024C"/>
    <w:rsid w:val="00DC1CA9"/>
    <w:rsid w:val="00DC1EBC"/>
    <w:rsid w:val="00DC3862"/>
    <w:rsid w:val="00DC4134"/>
    <w:rsid w:val="00DC6B12"/>
    <w:rsid w:val="00DD2F96"/>
    <w:rsid w:val="00DD38A2"/>
    <w:rsid w:val="00DD50E6"/>
    <w:rsid w:val="00DD6018"/>
    <w:rsid w:val="00DE17A1"/>
    <w:rsid w:val="00DE523A"/>
    <w:rsid w:val="00DE6B52"/>
    <w:rsid w:val="00DE79C1"/>
    <w:rsid w:val="00DF002F"/>
    <w:rsid w:val="00DF0415"/>
    <w:rsid w:val="00DF4EC6"/>
    <w:rsid w:val="00DF65CB"/>
    <w:rsid w:val="00DF70D7"/>
    <w:rsid w:val="00E0067C"/>
    <w:rsid w:val="00E00F1E"/>
    <w:rsid w:val="00E01800"/>
    <w:rsid w:val="00E0310F"/>
    <w:rsid w:val="00E0503A"/>
    <w:rsid w:val="00E07172"/>
    <w:rsid w:val="00E14624"/>
    <w:rsid w:val="00E14FF7"/>
    <w:rsid w:val="00E15598"/>
    <w:rsid w:val="00E16816"/>
    <w:rsid w:val="00E16C07"/>
    <w:rsid w:val="00E17044"/>
    <w:rsid w:val="00E17A24"/>
    <w:rsid w:val="00E20E67"/>
    <w:rsid w:val="00E223A7"/>
    <w:rsid w:val="00E25109"/>
    <w:rsid w:val="00E251D2"/>
    <w:rsid w:val="00E265A3"/>
    <w:rsid w:val="00E2709F"/>
    <w:rsid w:val="00E33A52"/>
    <w:rsid w:val="00E375A9"/>
    <w:rsid w:val="00E41C44"/>
    <w:rsid w:val="00E45BB3"/>
    <w:rsid w:val="00E5124D"/>
    <w:rsid w:val="00E51F9A"/>
    <w:rsid w:val="00E520CE"/>
    <w:rsid w:val="00E52A71"/>
    <w:rsid w:val="00E5771C"/>
    <w:rsid w:val="00E60BA0"/>
    <w:rsid w:val="00E6217F"/>
    <w:rsid w:val="00E63007"/>
    <w:rsid w:val="00E63088"/>
    <w:rsid w:val="00E63D89"/>
    <w:rsid w:val="00E649AD"/>
    <w:rsid w:val="00E66A53"/>
    <w:rsid w:val="00E66CE1"/>
    <w:rsid w:val="00E722CE"/>
    <w:rsid w:val="00E72AD7"/>
    <w:rsid w:val="00E74DA5"/>
    <w:rsid w:val="00E74F12"/>
    <w:rsid w:val="00E75DC5"/>
    <w:rsid w:val="00E77457"/>
    <w:rsid w:val="00E81B4B"/>
    <w:rsid w:val="00E81C59"/>
    <w:rsid w:val="00E82D8D"/>
    <w:rsid w:val="00E83E04"/>
    <w:rsid w:val="00E86BF9"/>
    <w:rsid w:val="00E873F8"/>
    <w:rsid w:val="00E87660"/>
    <w:rsid w:val="00E87D8E"/>
    <w:rsid w:val="00E90CAA"/>
    <w:rsid w:val="00E90E7B"/>
    <w:rsid w:val="00EA1962"/>
    <w:rsid w:val="00EA2A85"/>
    <w:rsid w:val="00EA3FC5"/>
    <w:rsid w:val="00EA568D"/>
    <w:rsid w:val="00EA5F1D"/>
    <w:rsid w:val="00EA7AB9"/>
    <w:rsid w:val="00EB00B3"/>
    <w:rsid w:val="00EB1194"/>
    <w:rsid w:val="00EB2D08"/>
    <w:rsid w:val="00EB7F64"/>
    <w:rsid w:val="00EC03F0"/>
    <w:rsid w:val="00EC4E83"/>
    <w:rsid w:val="00ED1340"/>
    <w:rsid w:val="00ED1540"/>
    <w:rsid w:val="00ED217D"/>
    <w:rsid w:val="00ED2E0B"/>
    <w:rsid w:val="00ED3790"/>
    <w:rsid w:val="00ED4917"/>
    <w:rsid w:val="00EE3BDF"/>
    <w:rsid w:val="00EE4DEA"/>
    <w:rsid w:val="00EF1DF0"/>
    <w:rsid w:val="00EF4B72"/>
    <w:rsid w:val="00EF5786"/>
    <w:rsid w:val="00EF57F6"/>
    <w:rsid w:val="00EF74AA"/>
    <w:rsid w:val="00F01AED"/>
    <w:rsid w:val="00F034E8"/>
    <w:rsid w:val="00F07FFE"/>
    <w:rsid w:val="00F10A4D"/>
    <w:rsid w:val="00F1122F"/>
    <w:rsid w:val="00F11A8C"/>
    <w:rsid w:val="00F153B3"/>
    <w:rsid w:val="00F15E72"/>
    <w:rsid w:val="00F21EF0"/>
    <w:rsid w:val="00F23A54"/>
    <w:rsid w:val="00F2524B"/>
    <w:rsid w:val="00F259FF"/>
    <w:rsid w:val="00F260E9"/>
    <w:rsid w:val="00F2675B"/>
    <w:rsid w:val="00F313B8"/>
    <w:rsid w:val="00F3237F"/>
    <w:rsid w:val="00F32597"/>
    <w:rsid w:val="00F3646B"/>
    <w:rsid w:val="00F42221"/>
    <w:rsid w:val="00F43DDB"/>
    <w:rsid w:val="00F44480"/>
    <w:rsid w:val="00F45436"/>
    <w:rsid w:val="00F50752"/>
    <w:rsid w:val="00F56B99"/>
    <w:rsid w:val="00F573B7"/>
    <w:rsid w:val="00F60AEB"/>
    <w:rsid w:val="00F62BD7"/>
    <w:rsid w:val="00F63C49"/>
    <w:rsid w:val="00F6436E"/>
    <w:rsid w:val="00F64796"/>
    <w:rsid w:val="00F7560A"/>
    <w:rsid w:val="00F758AF"/>
    <w:rsid w:val="00F774C8"/>
    <w:rsid w:val="00F8443D"/>
    <w:rsid w:val="00F86B43"/>
    <w:rsid w:val="00F86F56"/>
    <w:rsid w:val="00F872BE"/>
    <w:rsid w:val="00F91F30"/>
    <w:rsid w:val="00F92119"/>
    <w:rsid w:val="00F95156"/>
    <w:rsid w:val="00F953AE"/>
    <w:rsid w:val="00FA15A7"/>
    <w:rsid w:val="00FA4A16"/>
    <w:rsid w:val="00FA63C3"/>
    <w:rsid w:val="00FA71B4"/>
    <w:rsid w:val="00FA7FA8"/>
    <w:rsid w:val="00FB2367"/>
    <w:rsid w:val="00FB2B44"/>
    <w:rsid w:val="00FB4AEA"/>
    <w:rsid w:val="00FB53AA"/>
    <w:rsid w:val="00FB56E8"/>
    <w:rsid w:val="00FB7A96"/>
    <w:rsid w:val="00FB7EEB"/>
    <w:rsid w:val="00FC2965"/>
    <w:rsid w:val="00FC2AB9"/>
    <w:rsid w:val="00FC61C9"/>
    <w:rsid w:val="00FC76A6"/>
    <w:rsid w:val="00FD2420"/>
    <w:rsid w:val="00FD3F89"/>
    <w:rsid w:val="00FD41FA"/>
    <w:rsid w:val="00FD5CCA"/>
    <w:rsid w:val="00FE02BF"/>
    <w:rsid w:val="00FE0F88"/>
    <w:rsid w:val="00FE2AE6"/>
    <w:rsid w:val="00FE3F87"/>
    <w:rsid w:val="00FE4CBF"/>
    <w:rsid w:val="00FE746C"/>
    <w:rsid w:val="00FE793B"/>
    <w:rsid w:val="00FE7CBC"/>
    <w:rsid w:val="00FF1D0A"/>
    <w:rsid w:val="00FF79C5"/>
    <w:rsid w:val="023338D1"/>
    <w:rsid w:val="04AD5FA9"/>
    <w:rsid w:val="075D5490"/>
    <w:rsid w:val="0C04759B"/>
    <w:rsid w:val="0DA53A1F"/>
    <w:rsid w:val="1130228A"/>
    <w:rsid w:val="117F169A"/>
    <w:rsid w:val="133F6234"/>
    <w:rsid w:val="140F1BAC"/>
    <w:rsid w:val="1522312B"/>
    <w:rsid w:val="16C11479"/>
    <w:rsid w:val="176470DA"/>
    <w:rsid w:val="190D0B94"/>
    <w:rsid w:val="193B4921"/>
    <w:rsid w:val="1D1E28B9"/>
    <w:rsid w:val="1F672539"/>
    <w:rsid w:val="20410E61"/>
    <w:rsid w:val="20A81A74"/>
    <w:rsid w:val="22511DC1"/>
    <w:rsid w:val="234A2E0A"/>
    <w:rsid w:val="248F084E"/>
    <w:rsid w:val="2E7A7E5B"/>
    <w:rsid w:val="2F4A3C93"/>
    <w:rsid w:val="34963A11"/>
    <w:rsid w:val="3B8A1413"/>
    <w:rsid w:val="42567D71"/>
    <w:rsid w:val="481A487E"/>
    <w:rsid w:val="48947988"/>
    <w:rsid w:val="48EE54A6"/>
    <w:rsid w:val="4A7D6C4A"/>
    <w:rsid w:val="4B8A335B"/>
    <w:rsid w:val="4BBA3C84"/>
    <w:rsid w:val="4BC5548B"/>
    <w:rsid w:val="4C53058E"/>
    <w:rsid w:val="4CFC4C6D"/>
    <w:rsid w:val="52AF255B"/>
    <w:rsid w:val="59373D1E"/>
    <w:rsid w:val="5A1018D3"/>
    <w:rsid w:val="5A3329F0"/>
    <w:rsid w:val="5D5D3774"/>
    <w:rsid w:val="5DE007BC"/>
    <w:rsid w:val="60D567B9"/>
    <w:rsid w:val="61790E2E"/>
    <w:rsid w:val="62ED2922"/>
    <w:rsid w:val="630522E1"/>
    <w:rsid w:val="641B50D0"/>
    <w:rsid w:val="6759642A"/>
    <w:rsid w:val="692308DC"/>
    <w:rsid w:val="6C1958B7"/>
    <w:rsid w:val="6F154BE6"/>
    <w:rsid w:val="71081781"/>
    <w:rsid w:val="718457FA"/>
    <w:rsid w:val="73491624"/>
    <w:rsid w:val="75CD7A22"/>
    <w:rsid w:val="765E353C"/>
    <w:rsid w:val="76FF13B0"/>
    <w:rsid w:val="790E2FED"/>
    <w:rsid w:val="79220A6E"/>
    <w:rsid w:val="7A1A0ECC"/>
    <w:rsid w:val="7B2A76F2"/>
    <w:rsid w:val="7F4267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qFormat="1" w:unhideWhenUsed="0" w:uiPriority="0" w:semiHidden="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7">
    <w:name w:val="Default Paragraph Font"/>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annotation text"/>
    <w:basedOn w:val="1"/>
    <w:link w:val="28"/>
    <w:semiHidden/>
    <w:qFormat/>
    <w:uiPriority w:val="99"/>
    <w:pPr>
      <w:jc w:val="left"/>
    </w:pPr>
  </w:style>
  <w:style w:type="paragraph" w:styleId="4">
    <w:name w:val="Body Text Indent"/>
    <w:basedOn w:val="1"/>
    <w:qFormat/>
    <w:uiPriority w:val="0"/>
    <w:pPr>
      <w:spacing w:line="480" w:lineRule="exact"/>
      <w:ind w:firstLine="560"/>
    </w:pPr>
    <w:rPr>
      <w:rFonts w:ascii="宋体" w:hAnsi="宋体"/>
    </w:rPr>
  </w:style>
  <w:style w:type="paragraph" w:styleId="5">
    <w:name w:val="Plain Text"/>
    <w:basedOn w:val="1"/>
    <w:qFormat/>
    <w:uiPriority w:val="0"/>
    <w:rPr>
      <w:rFonts w:ascii="宋体" w:hAnsi="Courier New"/>
    </w:rPr>
  </w:style>
  <w:style w:type="paragraph" w:styleId="6">
    <w:name w:val="Date"/>
    <w:basedOn w:val="1"/>
    <w:next w:val="1"/>
    <w:link w:val="29"/>
    <w:qFormat/>
    <w:uiPriority w:val="0"/>
    <w:rPr>
      <w:sz w:val="24"/>
    </w:rPr>
  </w:style>
  <w:style w:type="paragraph" w:styleId="7">
    <w:name w:val="Body Text Indent 2"/>
    <w:basedOn w:val="1"/>
    <w:qFormat/>
    <w:uiPriority w:val="0"/>
    <w:pPr>
      <w:ind w:firstLine="539"/>
    </w:pPr>
    <w:rPr>
      <w:color w:val="FF0000"/>
    </w:rPr>
  </w:style>
  <w:style w:type="paragraph" w:styleId="8">
    <w:name w:val="Balloon Text"/>
    <w:basedOn w:val="1"/>
    <w:semiHidden/>
    <w:qFormat/>
    <w:uiPriority w:val="0"/>
    <w:rPr>
      <w:sz w:val="18"/>
      <w:szCs w:val="1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Indent 3"/>
    <w:basedOn w:val="1"/>
    <w:qFormat/>
    <w:uiPriority w:val="0"/>
    <w:pPr>
      <w:spacing w:line="440" w:lineRule="exact"/>
      <w:ind w:firstLine="480"/>
    </w:pPr>
    <w:rPr>
      <w:rFonts w:ascii="宋体" w:hAnsi="宋体"/>
      <w:sz w:val="24"/>
    </w:rPr>
  </w:style>
  <w:style w:type="paragraph" w:styleId="12">
    <w:name w:val="index 1"/>
    <w:basedOn w:val="1"/>
    <w:next w:val="1"/>
    <w:qFormat/>
    <w:uiPriority w:val="0"/>
    <w:rPr>
      <w:rFonts w:eastAsia="楷体_GB2312"/>
      <w:sz w:val="28"/>
      <w:szCs w:val="24"/>
    </w:rPr>
  </w:style>
  <w:style w:type="paragraph" w:styleId="13">
    <w:name w:val="annotation subject"/>
    <w:basedOn w:val="3"/>
    <w:next w:val="3"/>
    <w:semiHidden/>
    <w:qFormat/>
    <w:uiPriority w:val="0"/>
    <w:rPr>
      <w:b/>
      <w:bCs/>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6">
    <w:name w:val="Table Colorful 2"/>
    <w:basedOn w:val="14"/>
    <w:qFormat/>
    <w:uiPriority w:val="0"/>
    <w:pPr>
      <w:widowControl w:val="0"/>
      <w:jc w:val="both"/>
    </w:p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character" w:styleId="18">
    <w:name w:val="page number"/>
    <w:basedOn w:val="17"/>
    <w:qFormat/>
    <w:uiPriority w:val="0"/>
  </w:style>
  <w:style w:type="character" w:styleId="19">
    <w:name w:val="FollowedHyperlink"/>
    <w:qFormat/>
    <w:uiPriority w:val="0"/>
    <w:rPr>
      <w:color w:val="800080"/>
      <w:u w:val="single"/>
    </w:rPr>
  </w:style>
  <w:style w:type="character" w:styleId="20">
    <w:name w:val="Hyperlink"/>
    <w:qFormat/>
    <w:uiPriority w:val="0"/>
    <w:rPr>
      <w:color w:val="0000FF"/>
      <w:u w:val="single"/>
    </w:rPr>
  </w:style>
  <w:style w:type="character" w:styleId="21">
    <w:name w:val="annotation reference"/>
    <w:semiHidden/>
    <w:qFormat/>
    <w:uiPriority w:val="0"/>
    <w:rPr>
      <w:sz w:val="21"/>
      <w:szCs w:val="21"/>
    </w:rPr>
  </w:style>
  <w:style w:type="paragraph" w:customStyle="1" w:styleId="22">
    <w:name w:val="正文1"/>
    <w:qFormat/>
    <w:uiPriority w:val="0"/>
    <w:pPr>
      <w:jc w:val="both"/>
    </w:pPr>
    <w:rPr>
      <w:rFonts w:ascii="Times New Roman" w:hAnsi="Times New Roman" w:eastAsia="PMingLiU" w:cs="Times New Roman"/>
      <w:kern w:val="2"/>
      <w:sz w:val="24"/>
      <w:lang w:val="en-US" w:eastAsia="zh-TW" w:bidi="ar-SA"/>
    </w:rPr>
  </w:style>
  <w:style w:type="paragraph" w:customStyle="1" w:styleId="23">
    <w:name w:val="默认段落字体 Para Char Char Char Char Char Char Char"/>
    <w:basedOn w:val="1"/>
    <w:qFormat/>
    <w:uiPriority w:val="0"/>
    <w:rPr>
      <w:rFonts w:ascii="Tahoma" w:hAnsi="Tahoma"/>
      <w:sz w:val="24"/>
    </w:rPr>
  </w:style>
  <w:style w:type="paragraph" w:customStyle="1" w:styleId="24">
    <w:name w:val="Char Char Char Char 字元 字元 Char Char 字元 字元"/>
    <w:basedOn w:val="1"/>
    <w:qFormat/>
    <w:uiPriority w:val="0"/>
    <w:pPr>
      <w:widowControl/>
      <w:adjustRightInd w:val="0"/>
      <w:spacing w:after="160" w:line="240" w:lineRule="exact"/>
      <w:jc w:val="left"/>
      <w:textAlignment w:val="baseline"/>
    </w:pPr>
    <w:rPr>
      <w:rFonts w:ascii="Verdana" w:hAnsi="Verdana" w:eastAsia="Times New Roman"/>
      <w:kern w:val="0"/>
      <w:sz w:val="20"/>
      <w:lang w:eastAsia="en-US"/>
    </w:rPr>
  </w:style>
  <w:style w:type="paragraph" w:customStyle="1" w:styleId="25">
    <w:name w:val="Default"/>
    <w:qFormat/>
    <w:uiPriority w:val="0"/>
    <w:pPr>
      <w:widowControl w:val="0"/>
      <w:autoSpaceDE w:val="0"/>
      <w:autoSpaceDN w:val="0"/>
      <w:adjustRightInd w:val="0"/>
    </w:pPr>
    <w:rPr>
      <w:rFonts w:ascii=".." w:hAnsi="Times New Roman" w:eastAsia=".." w:cs="Times New Roman"/>
      <w:color w:val="000000"/>
      <w:sz w:val="24"/>
      <w:szCs w:val="24"/>
      <w:lang w:val="en-US" w:eastAsia="zh-CN" w:bidi="ar-SA"/>
    </w:rPr>
  </w:style>
  <w:style w:type="paragraph" w:customStyle="1" w:styleId="26">
    <w:name w:val="Char Char Char1 Char"/>
    <w:basedOn w:val="2"/>
    <w:qFormat/>
    <w:uiPriority w:val="0"/>
    <w:pPr>
      <w:adjustRightInd w:val="0"/>
      <w:spacing w:line="436" w:lineRule="exact"/>
      <w:ind w:left="357"/>
      <w:jc w:val="left"/>
      <w:outlineLvl w:val="3"/>
    </w:pPr>
    <w:rPr>
      <w:rFonts w:ascii="Tahoma" w:hAnsi="Tahoma"/>
      <w:b/>
      <w:sz w:val="24"/>
      <w:szCs w:val="28"/>
    </w:rPr>
  </w:style>
  <w:style w:type="character" w:customStyle="1" w:styleId="27">
    <w:name w:val="页眉 Char"/>
    <w:link w:val="10"/>
    <w:qFormat/>
    <w:uiPriority w:val="0"/>
    <w:rPr>
      <w:kern w:val="2"/>
      <w:sz w:val="18"/>
      <w:szCs w:val="18"/>
    </w:rPr>
  </w:style>
  <w:style w:type="character" w:customStyle="1" w:styleId="28">
    <w:name w:val="批注文字 Char"/>
    <w:link w:val="3"/>
    <w:semiHidden/>
    <w:qFormat/>
    <w:uiPriority w:val="99"/>
    <w:rPr>
      <w:kern w:val="2"/>
      <w:sz w:val="21"/>
    </w:rPr>
  </w:style>
  <w:style w:type="character" w:customStyle="1" w:styleId="29">
    <w:name w:val="日期 Char"/>
    <w:link w:val="6"/>
    <w:qFormat/>
    <w:uiPriority w:val="0"/>
    <w:rPr>
      <w:kern w:val="2"/>
      <w:sz w:val="24"/>
    </w:rPr>
  </w:style>
  <w:style w:type="paragraph" w:customStyle="1" w:styleId="30">
    <w:name w:val="修订1"/>
    <w:hidden/>
    <w:semiHidden/>
    <w:qFormat/>
    <w:uiPriority w:val="99"/>
    <w:rPr>
      <w:rFonts w:ascii="Times New Roman" w:hAnsi="Times New Roman" w:eastAsia="宋体" w:cs="Times New Roman"/>
      <w:kern w:val="2"/>
      <w:sz w:val="21"/>
      <w:lang w:val="en-US" w:eastAsia="zh-CN" w:bidi="ar-SA"/>
    </w:rPr>
  </w:style>
  <w:style w:type="paragraph" w:styleId="31">
    <w:name w:val="List Paragraph"/>
    <w:basedOn w:val="1"/>
    <w:qFormat/>
    <w:uiPriority w:val="34"/>
    <w:pPr>
      <w:ind w:firstLine="420" w:firstLineChars="200"/>
    </w:pPr>
  </w:style>
  <w:style w:type="paragraph" w:customStyle="1" w:styleId="32">
    <w:name w:val="Revision"/>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713C2B-0D5A-456C-9E3C-5F08C8A5A5F2}">
  <ds:schemaRefs/>
</ds:datastoreItem>
</file>

<file path=docProps/app.xml><?xml version="1.0" encoding="utf-8"?>
<Properties xmlns="http://schemas.openxmlformats.org/officeDocument/2006/extended-properties" xmlns:vt="http://schemas.openxmlformats.org/officeDocument/2006/docPropsVTypes">
  <Template>Normal</Template>
  <Company>csc</Company>
  <Pages>5</Pages>
  <Words>1999</Words>
  <Characters>2299</Characters>
  <Lines>26</Lines>
  <Paragraphs>7</Paragraphs>
  <TotalTime>76</TotalTime>
  <ScaleCrop>false</ScaleCrop>
  <LinksUpToDate>false</LinksUpToDate>
  <CharactersWithSpaces>2331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2021-03-16T07:58:00Z</dcterms:created>
  <dc:creator>lx</dc:creator>
  <cp:lastModifiedBy>许玉崑</cp:lastModifiedBy>
  <cp:lastPrinted>2023-12-12T02:59:00Z</cp:lastPrinted>
  <dcterms:modified xsi:type="dcterms:W3CDTF">2023-12-22T02:01:37Z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5B77E7CEEC58BC6AFAE8886BEB80DBEB">
    <vt:lpwstr>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</vt:lpwstr>
  </property>
  <property fmtid="{D5CDD505-2E9C-101B-9397-08002B2CF9AE}" pid="3" name="KSOProductBuildVer">
    <vt:lpwstr>2052-11.1.0.14309</vt:lpwstr>
  </property>
  <property fmtid="{D5CDD505-2E9C-101B-9397-08002B2CF9AE}" pid="4" name="ICV">
    <vt:lpwstr>FC760D2074444B4FBAF01BD856585BDD_13</vt:lpwstr>
  </property>
</Properties>
</file>