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23</w:t>
      </w:r>
      <w:r>
        <w:rPr>
          <w:rFonts w:hint="eastAsia" w:ascii="黑体" w:hAnsi="黑体" w:eastAsia="黑体" w:cs="Times New Roman"/>
          <w:sz w:val="21"/>
          <w:szCs w:val="21"/>
        </w:rPr>
        <w:t>-</w:t>
      </w:r>
      <w:r>
        <w:rPr>
          <w:rFonts w:hint="default" w:ascii="黑体" w:hAnsi="黑体" w:eastAsia="黑体" w:cs="Times New Roman"/>
          <w:sz w:val="21"/>
          <w:szCs w:val="21"/>
          <w:lang w:val="en-US"/>
        </w:rPr>
        <w:t>073</w:t>
      </w:r>
      <w:bookmarkStart w:id="0" w:name="_GoBack"/>
      <w:bookmarkEnd w:id="0"/>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 xml:space="preserve">关于控股股东增持公司股份计划的公告 </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兖矿能源集团股份有限公司（“公司”）于</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年11月28日收到控股股东山东能源集团有限公司（“山东能源”）通知，山东能源拟自本公告披露之日起</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个月内，通过上海证券交易所交易系统及香港联合交易所有限公司交易系统，以集中竞价、大宗交易或场内交易等方式增持公司</w:t>
      </w:r>
      <w:r>
        <w:rPr>
          <w:rFonts w:cs="Times New Roman" w:asciiTheme="minorEastAsia" w:hAnsiTheme="minorEastAsia" w:eastAsiaTheme="minorEastAsia"/>
          <w:sz w:val="28"/>
          <w:szCs w:val="28"/>
        </w:rPr>
        <w:t>A</w:t>
      </w:r>
      <w:r>
        <w:rPr>
          <w:rFonts w:hint="eastAsia" w:cs="Times New Roman" w:asciiTheme="minorEastAsia" w:hAnsiTheme="minorEastAsia" w:eastAsiaTheme="minorEastAsia"/>
          <w:sz w:val="28"/>
          <w:szCs w:val="28"/>
        </w:rPr>
        <w:t>股和H股股份，累计增持金额不低于人民币3亿元，不超过人民币6亿元,其中A股股份累计增持金额不低于人民币1亿元，不超过人民币2亿元；H股股份累计增持金额不低于人民币2亿元，不超过人民币4亿元。</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本次权益变动属于增持，不触及要约收购，不会导致公司控股股东及实际控制人发生变化。</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本次增持计划可能存在因资本市场情况发生变化或目前尚无法预判的其他风险因素，导致增持计划的实施无法达到预期的风险。</w:t>
      </w:r>
    </w:p>
    <w:p>
      <w:pPr>
        <w:autoSpaceDE w:val="0"/>
        <w:autoSpaceDN w:val="0"/>
        <w:adjustRightInd w:val="0"/>
        <w:snapToGrid w:val="0"/>
        <w:spacing w:line="520" w:lineRule="exact"/>
        <w:ind w:firstLine="562" w:firstLineChars="200"/>
        <w:jc w:val="both"/>
        <w:rPr>
          <w:rFonts w:cs="Times New Roman" w:asciiTheme="minorEastAsia" w:hAnsiTheme="minorEastAsia" w:eastAsiaTheme="minorEastAsia"/>
          <w:b/>
          <w:color w:val="000000"/>
          <w:sz w:val="28"/>
          <w:szCs w:val="28"/>
        </w:rPr>
      </w:pPr>
    </w:p>
    <w:p>
      <w:pPr>
        <w:autoSpaceDE w:val="0"/>
        <w:autoSpaceDN w:val="0"/>
        <w:adjustRightInd w:val="0"/>
        <w:snapToGrid w:val="0"/>
        <w:spacing w:before="156" w:beforeLines="50" w:line="36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w:t>
      </w:r>
      <w:r>
        <w:rPr>
          <w:rFonts w:hint="eastAsia" w:ascii="黑体" w:hAnsi="黑体" w:eastAsia="黑体" w:cs="Times New Roman"/>
          <w:bCs/>
          <w:color w:val="000000"/>
          <w:sz w:val="28"/>
          <w:szCs w:val="28"/>
        </w:rPr>
        <w:t>增持主体</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（一）增持主体：A股股份增持主体为山东能源及其一致行动人，H股股份增持主体为山东能源全资子公司兖矿集团(香港)有限公司及其一致行动人。</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截至本公告披露日，山东能源共持有公司A股股票3,385,986,710股，包括通过自身账号持有3,214,570,932股，通过可交换公司债券质押专户持有171,415,778股；通过兖矿集团(香港)有限公司持有公司H股股票682,483,500股。山东能源直接和间接持有公司股份共4,068,470,210股，占公司总股本的54.69%。</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（三）山东能源在本次公告前十二个月内未披露过增持计划。</w:t>
      </w:r>
    </w:p>
    <w:p>
      <w:pPr>
        <w:adjustRightInd w:val="0"/>
        <w:snapToGrid w:val="0"/>
        <w:spacing w:before="156" w:beforeLines="50" w:line="360" w:lineRule="auto"/>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二、本次增持计划的主要内容</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（一）本次拟增持股份的目的：巩固</w:t>
      </w:r>
      <w:r>
        <w:rPr>
          <w:rFonts w:hint="eastAsia" w:cs="Times New Roman" w:asciiTheme="minorEastAsia" w:hAnsiTheme="minorEastAsia" w:eastAsiaTheme="minorEastAsia"/>
          <w:color w:val="000000"/>
          <w:sz w:val="28"/>
          <w:szCs w:val="28"/>
          <w:lang w:val="en-US" w:eastAsia="zh-CN"/>
        </w:rPr>
        <w:t>山东能源</w:t>
      </w:r>
      <w:r>
        <w:rPr>
          <w:rFonts w:hint="eastAsia" w:cs="Times New Roman" w:asciiTheme="minorEastAsia" w:hAnsiTheme="minorEastAsia" w:eastAsiaTheme="minorEastAsia"/>
          <w:color w:val="000000"/>
          <w:sz w:val="28"/>
          <w:szCs w:val="28"/>
        </w:rPr>
        <w:t>控股地位，提高持股比例，向市场传递积极信息，提振投资者传递信心，彰显大股东对公司长期发展及价值定位的认可。</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（二）本次拟增持股份的种类和形式：拟通过上海证券交易所交易系统及香港联合交易所有限公司交易系统，以集中竞价、大宗交易或场内交易等方式增持公司</w:t>
      </w:r>
      <w:r>
        <w:rPr>
          <w:rFonts w:cs="Times New Roman" w:asciiTheme="minorEastAsia" w:hAnsiTheme="minorEastAsia" w:eastAsiaTheme="minorEastAsia"/>
          <w:color w:val="000000"/>
          <w:sz w:val="28"/>
          <w:szCs w:val="28"/>
        </w:rPr>
        <w:t>A股和H股股份</w:t>
      </w:r>
      <w:r>
        <w:rPr>
          <w:rFonts w:hint="eastAsia" w:cs="Times New Roman" w:asciiTheme="minorEastAsia" w:hAnsiTheme="minorEastAsia" w:eastAsiaTheme="minorEastAsia"/>
          <w:color w:val="000000"/>
          <w:sz w:val="28"/>
          <w:szCs w:val="28"/>
        </w:rPr>
        <w:t>。</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本次拟增持股份的金额：累计增持金额不低于人民币3亿元，不超过人民币6亿元，其中A股股份累计增持金额不低于人民币1亿元，不超过人民币2亿元；H股股份累计增持金额不低于人民币2亿元，不超过人民币4亿元。</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（四）本次拟增持股份的价格：本次增持不设定价格区间，山东能源将基于对公司股票价值的合理判断、股票价格波动情况及资本市场整体趋势，择机逐步实施。</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（五）本次增持计划的实施期限：综合考虑市场波动、窗口期、资金安排等因素，本次增持计划的实施期限为自本公告之日起</w:t>
      </w:r>
      <w:r>
        <w:rPr>
          <w:rFonts w:cs="Times New Roman" w:asciiTheme="minorEastAsia" w:hAnsiTheme="minorEastAsia" w:eastAsiaTheme="minorEastAsia"/>
          <w:color w:val="000000"/>
          <w:sz w:val="28"/>
          <w:szCs w:val="28"/>
        </w:rPr>
        <w:t>12</w:t>
      </w:r>
      <w:r>
        <w:rPr>
          <w:rFonts w:hint="eastAsia" w:cs="Times New Roman" w:asciiTheme="minorEastAsia" w:hAnsiTheme="minorEastAsia" w:eastAsiaTheme="minorEastAsia"/>
          <w:color w:val="000000"/>
          <w:sz w:val="28"/>
          <w:szCs w:val="28"/>
        </w:rPr>
        <w:t>个月内，将根据资本市场整体趋势安排执行（如遇公司股票因筹划重大事项连续停牌</w:t>
      </w:r>
      <w:r>
        <w:rPr>
          <w:rFonts w:cs="Times New Roman" w:asciiTheme="minorEastAsia" w:hAnsiTheme="minorEastAsia" w:eastAsiaTheme="minorEastAsia"/>
          <w:color w:val="000000"/>
          <w:sz w:val="28"/>
          <w:szCs w:val="28"/>
        </w:rPr>
        <w:t>10</w:t>
      </w:r>
      <w:r>
        <w:rPr>
          <w:rFonts w:hint="eastAsia" w:cs="Times New Roman" w:asciiTheme="minorEastAsia" w:hAnsiTheme="minorEastAsia" w:eastAsiaTheme="minorEastAsia"/>
          <w:color w:val="000000"/>
          <w:sz w:val="28"/>
          <w:szCs w:val="28"/>
        </w:rPr>
        <w:t>个交易日以上的，增持计划将在股票复牌后顺延实施）。</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（六）本次拟增持股份的资金安排：山东能源自有资金及自筹资金。</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（七）山东能源承诺在本次增持计划实施期限内及法定期限内不主动减持其所持有的公司股份（投资者将其认购的</w:t>
      </w:r>
      <w:r>
        <w:rPr>
          <w:rFonts w:hint="eastAsia" w:cs="Times New Roman" w:asciiTheme="minorEastAsia" w:hAnsiTheme="minorEastAsia" w:eastAsiaTheme="minorEastAsia"/>
          <w:color w:val="000000"/>
          <w:sz w:val="28"/>
          <w:szCs w:val="28"/>
          <w:lang w:val="en-US" w:eastAsia="zh-CN"/>
        </w:rPr>
        <w:t>山东能源</w:t>
      </w:r>
      <w:r>
        <w:rPr>
          <w:rFonts w:hint="eastAsia" w:cs="Times New Roman" w:asciiTheme="minorEastAsia" w:hAnsiTheme="minorEastAsia" w:eastAsiaTheme="minorEastAsia"/>
          <w:color w:val="000000"/>
          <w:sz w:val="28"/>
          <w:szCs w:val="28"/>
        </w:rPr>
        <w:t>已发行可交换公司债券交换为兖矿能源股票的情况除外）。</w:t>
      </w:r>
    </w:p>
    <w:p>
      <w:pPr>
        <w:adjustRightInd w:val="0"/>
        <w:snapToGrid w:val="0"/>
        <w:spacing w:before="156" w:beforeLines="50" w:line="360" w:lineRule="auto"/>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三、增持计划实施的不确定性风险</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本次增持计划可能存在因资本市场情况发生变化或目前尚无法预判的其他风险因素，导致增持计划的实施无法达到预期的风险。如本次增持计划实施过程中出现上述风险情况，公司将及时履行信息披露义务。</w:t>
      </w:r>
    </w:p>
    <w:p>
      <w:pPr>
        <w:adjustRightInd w:val="0"/>
        <w:snapToGrid w:val="0"/>
        <w:spacing w:before="156" w:beforeLines="50" w:line="360" w:lineRule="auto"/>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四、其他相关说明</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（一）山东能源实施本次增持计划不会导致公司控股股东及实际控制人发生变化。</w:t>
      </w:r>
    </w:p>
    <w:p>
      <w:pPr>
        <w:adjustRightInd w:val="0"/>
        <w:snapToGrid w:val="0"/>
        <w:spacing w:before="156" w:beforeLines="50" w:line="36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（二）公司将根据《中华人民共和国证券法》《上市公司收购管理办法》《上海证券交易所股票上市规则》和《上海证券交易所上市公司自律监管指引第</w:t>
      </w:r>
      <w:r>
        <w:rPr>
          <w:rFonts w:cs="Times New Roman" w:asciiTheme="minorEastAsia" w:hAnsiTheme="minorEastAsia" w:eastAsiaTheme="minorEastAsia"/>
          <w:color w:val="000000"/>
          <w:sz w:val="28"/>
          <w:szCs w:val="28"/>
        </w:rPr>
        <w:t>8</w:t>
      </w:r>
      <w:r>
        <w:rPr>
          <w:rFonts w:hint="eastAsia" w:cs="Times New Roman" w:asciiTheme="minorEastAsia" w:hAnsiTheme="minorEastAsia" w:eastAsiaTheme="minorEastAsia"/>
          <w:color w:val="000000"/>
          <w:sz w:val="28"/>
          <w:szCs w:val="28"/>
        </w:rPr>
        <w:t>号</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股份变动管理》等相关规定，持续关注本次增持计划实施有关情况，及时履行信息披露义务。</w:t>
      </w:r>
    </w:p>
    <w:p>
      <w:pPr>
        <w:adjustRightInd w:val="0"/>
        <w:snapToGrid w:val="0"/>
        <w:spacing w:before="156" w:beforeLines="50" w:line="36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520" w:lineRule="exact"/>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2023年</w:t>
      </w:r>
      <w:r>
        <w:rPr>
          <w:rFonts w:hint="eastAsia" w:cs="Times New Roman" w:asciiTheme="minorEastAsia" w:hAnsiTheme="minorEastAsia" w:eastAsiaTheme="minorEastAsia"/>
          <w:color w:val="000000"/>
          <w:sz w:val="28"/>
          <w:szCs w:val="28"/>
        </w:rPr>
        <w:t>11</w:t>
      </w:r>
      <w:r>
        <w:rPr>
          <w:rFonts w:cs="Times New Roman" w:asciiTheme="minorEastAsia" w:hAnsiTheme="minorEastAsia" w:eastAsiaTheme="minorEastAsia"/>
          <w:color w:val="000000"/>
          <w:sz w:val="28"/>
          <w:szCs w:val="28"/>
        </w:rPr>
        <w:t>月</w:t>
      </w:r>
      <w:r>
        <w:rPr>
          <w:rFonts w:hint="eastAsia" w:cs="Times New Roman" w:asciiTheme="minorEastAsia" w:hAnsiTheme="minorEastAsia" w:eastAsiaTheme="minorEastAsia"/>
          <w:color w:val="000000"/>
          <w:sz w:val="28"/>
          <w:szCs w:val="28"/>
        </w:rPr>
        <w:t>2</w:t>
      </w:r>
      <w:r>
        <w:rPr>
          <w:rFonts w:hint="eastAsia" w:cs="Times New Roman" w:asciiTheme="minorEastAsia" w:hAnsiTheme="minorEastAsia" w:eastAsiaTheme="minorEastAsia"/>
          <w:color w:val="000000"/>
          <w:sz w:val="28"/>
          <w:szCs w:val="28"/>
          <w:lang w:val="en-US" w:eastAsia="zh-CN"/>
        </w:rPr>
        <w:t>9</w:t>
      </w:r>
      <w:r>
        <w:rPr>
          <w:rFonts w:cs="Times New Roman" w:asciiTheme="minorEastAsia" w:hAnsiTheme="minorEastAsia" w:eastAsiaTheme="minorEastAsia"/>
          <w:color w:val="000000"/>
          <w:sz w:val="28"/>
          <w:szCs w:val="28"/>
        </w:rPr>
        <w:t>日</w:t>
      </w:r>
    </w:p>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3D92099"/>
    <w:rsid w:val="058E5C21"/>
    <w:rsid w:val="06F27191"/>
    <w:rsid w:val="089263E8"/>
    <w:rsid w:val="0BFC5A62"/>
    <w:rsid w:val="16780A07"/>
    <w:rsid w:val="202171B4"/>
    <w:rsid w:val="223D2E0A"/>
    <w:rsid w:val="24EF4017"/>
    <w:rsid w:val="252F4421"/>
    <w:rsid w:val="260942D1"/>
    <w:rsid w:val="26D64EA0"/>
    <w:rsid w:val="26E71201"/>
    <w:rsid w:val="28378824"/>
    <w:rsid w:val="285D6D9D"/>
    <w:rsid w:val="2C0A237D"/>
    <w:rsid w:val="2C7C2F35"/>
    <w:rsid w:val="2CFD5A71"/>
    <w:rsid w:val="2F5137A0"/>
    <w:rsid w:val="31F51FFD"/>
    <w:rsid w:val="33FE7B3A"/>
    <w:rsid w:val="34EC331F"/>
    <w:rsid w:val="369F1CBC"/>
    <w:rsid w:val="36FDC548"/>
    <w:rsid w:val="382E7C4C"/>
    <w:rsid w:val="3C090419"/>
    <w:rsid w:val="3CF41381"/>
    <w:rsid w:val="410968CD"/>
    <w:rsid w:val="45D706C6"/>
    <w:rsid w:val="48B30A10"/>
    <w:rsid w:val="4A110C46"/>
    <w:rsid w:val="4B326175"/>
    <w:rsid w:val="4E3E6BCE"/>
    <w:rsid w:val="4FDA743C"/>
    <w:rsid w:val="52CB68A9"/>
    <w:rsid w:val="54374D47"/>
    <w:rsid w:val="550E1ED9"/>
    <w:rsid w:val="55441426"/>
    <w:rsid w:val="5699587F"/>
    <w:rsid w:val="59BE665C"/>
    <w:rsid w:val="5A3D0A39"/>
    <w:rsid w:val="5AB1072F"/>
    <w:rsid w:val="5ACC15D8"/>
    <w:rsid w:val="5DCD264D"/>
    <w:rsid w:val="5F5A70A2"/>
    <w:rsid w:val="5F871771"/>
    <w:rsid w:val="65931809"/>
    <w:rsid w:val="65942AD9"/>
    <w:rsid w:val="667667F7"/>
    <w:rsid w:val="67725897"/>
    <w:rsid w:val="690E3810"/>
    <w:rsid w:val="6A520F40"/>
    <w:rsid w:val="6AC54C2C"/>
    <w:rsid w:val="6AD26BE1"/>
    <w:rsid w:val="6BB74B4A"/>
    <w:rsid w:val="6E966F64"/>
    <w:rsid w:val="70B36058"/>
    <w:rsid w:val="71564E4E"/>
    <w:rsid w:val="749D7FBD"/>
    <w:rsid w:val="76BA00E3"/>
    <w:rsid w:val="79C55961"/>
    <w:rsid w:val="7E1F7DB5"/>
    <w:rsid w:val="7E97422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4</Pages>
  <Words>1502</Words>
  <Characters>1585</Characters>
  <Lines>12</Lines>
  <Paragraphs>3</Paragraphs>
  <TotalTime>5</TotalTime>
  <ScaleCrop>false</ScaleCrop>
  <LinksUpToDate>false</LinksUpToDate>
  <CharactersWithSpaces>1609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2023-11-29T05:23:00Z</dcterms:created>
  <dc:creator>sse</dc:creator>
  <cp:lastModifiedBy>许玉崑</cp:lastModifiedBy>
  <cp:lastPrinted>2023-11-28T07:53:00Z</cp:lastPrinted>
  <dcterms:modified xsi:type="dcterms:W3CDTF">2023-11-29T07:01:28Z</dcterms:modified>
  <dc:title>第十号 上市公司关联交易公告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4C08CC9D6B91466287FAF71EC30E960B</vt:lpwstr>
  </property>
</Properties>
</file>