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股票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代码：</w:t>
      </w:r>
      <w:sdt>
        <w:sdtPr>
          <w:rPr>
            <w:rFonts w:hint="eastAsia" w:ascii="黑体" w:hAnsi="黑体" w:eastAsia="黑体" w:cs="黑体"/>
            <w:b w:val="0"/>
            <w:bCs/>
            <w:sz w:val="21"/>
            <w:szCs w:val="21"/>
          </w:rPr>
          <w:alias w:val="公司代码"/>
          <w:tag w:val="_GBC_0dcdbbff383a44b884a25399ca4a0baa"/>
          <w:id w:val="1338926"/>
          <w:lock w:val="sdtLocked"/>
          <w:placeholder>
            <w:docPart w:val="{41f6b153-a702-49b0-b70b-e18e4633e17a}"/>
          </w:placeholder>
        </w:sdtPr>
        <w:sdtEndPr>
          <w:rPr>
            <w:rFonts w:hint="eastAsia" w:ascii="黑体" w:hAnsi="黑体" w:eastAsia="黑体" w:cs="黑体"/>
            <w:b w:val="0"/>
            <w:bCs/>
            <w:sz w:val="21"/>
            <w:szCs w:val="21"/>
          </w:rPr>
        </w:sdtEndPr>
        <w:sdtConten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600188</w:t>
          </w:r>
        </w:sdtContent>
      </w:sdt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股票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简称：</w:t>
      </w:r>
      <w:sdt>
        <w:sdtPr>
          <w:rPr>
            <w:rFonts w:hint="eastAsia" w:ascii="黑体" w:hAnsi="黑体" w:eastAsia="黑体" w:cs="黑体"/>
            <w:b w:val="0"/>
            <w:bCs/>
            <w:sz w:val="21"/>
            <w:szCs w:val="21"/>
          </w:rPr>
          <w:alias w:val="公司简称"/>
          <w:tag w:val="_GBC_f5623227a3ee4840afdcddd73ac9f53d"/>
          <w:id w:val="1338928"/>
          <w:lock w:val="sdtLocked"/>
          <w:placeholder>
            <w:docPart w:val="{41f6b153-a702-49b0-b70b-e18e4633e17a}"/>
          </w:placeholder>
        </w:sdtPr>
        <w:sdtEndPr>
          <w:rPr>
            <w:rFonts w:hint="eastAsia" w:ascii="黑体" w:hAnsi="黑体" w:eastAsia="黑体" w:cs="黑体"/>
            <w:b w:val="0"/>
            <w:bCs/>
            <w:sz w:val="21"/>
            <w:szCs w:val="21"/>
          </w:rPr>
        </w:sdtEndPr>
        <w:sdtConten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兖矿能源</w:t>
          </w:r>
        </w:sdtContent>
      </w:sdt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   编号：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临</w:t>
      </w:r>
      <w:sdt>
        <w:sdtPr>
          <w:rPr>
            <w:rFonts w:hint="eastAsia" w:ascii="黑体" w:hAnsi="黑体" w:eastAsia="黑体" w:cs="黑体"/>
            <w:b w:val="0"/>
            <w:bCs/>
            <w:sz w:val="21"/>
            <w:szCs w:val="21"/>
          </w:rPr>
          <w:alias w:val="临时公告编号"/>
          <w:tag w:val="_GBC_dcb018bd62474b058af46af691e50649"/>
          <w:id w:val="961560"/>
          <w:lock w:val="sdtLocked"/>
          <w:placeholder>
            <w:docPart w:val="{41f6b153-a702-49b0-b70b-e18e4633e17a}"/>
          </w:placeholder>
        </w:sdtPr>
        <w:sdtEndPr>
          <w:rPr>
            <w:rFonts w:hint="eastAsia" w:ascii="黑体" w:hAnsi="黑体" w:eastAsia="黑体" w:cs="黑体"/>
            <w:b w:val="0"/>
            <w:bCs/>
            <w:sz w:val="21"/>
            <w:szCs w:val="21"/>
          </w:rPr>
        </w:sdtEndPr>
        <w:sdtConten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2023-</w:t>
          </w:r>
          <w:r>
            <w:rPr>
              <w:rFonts w:hint="default" w:ascii="黑体" w:hAnsi="黑体" w:eastAsia="黑体" w:cs="黑体"/>
              <w:b w:val="0"/>
              <w:bCs/>
              <w:sz w:val="21"/>
              <w:szCs w:val="21"/>
              <w:lang w:val="en-US"/>
            </w:rPr>
            <w:t>067</w:t>
          </w:r>
        </w:sdtContent>
      </w:sdt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 xml:space="preserve"> 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ascii="黑体" w:eastAsia="黑体"/>
          <w:b/>
          <w:bCs/>
          <w:color w:val="FF0000"/>
          <w:sz w:val="36"/>
          <w:szCs w:val="36"/>
          <w:lang w:val="zh-CN"/>
        </w:rPr>
        <w:t>3</w:t>
      </w:r>
      <w:r>
        <w:rPr>
          <w:rFonts w:ascii="黑体" w:eastAsia="黑体"/>
          <w:b/>
          <w:bCs/>
          <w:color w:val="FF0000"/>
          <w:sz w:val="36"/>
          <w:szCs w:val="36"/>
        </w:rPr>
        <w:t>年度第一期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中期票据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</w:rPr>
        <w:t>(中市协注〔2023〕DFI24号)</w:t>
      </w:r>
      <w:r>
        <w:rPr>
          <w:rFonts w:ascii="宋体" w:hAnsi="宋体"/>
          <w:sz w:val="28"/>
        </w:rPr>
        <w:t>，有效期2年。</w:t>
      </w:r>
    </w:p>
    <w:p>
      <w:pPr>
        <w:pStyle w:val="181"/>
        <w:spacing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10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23</w:t>
      </w:r>
      <w:r>
        <w:rPr>
          <w:rFonts w:ascii="宋体" w:hAnsi="宋体"/>
          <w:sz w:val="28"/>
        </w:rPr>
        <w:t>日，本公司成功发行202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年度第一期</w:t>
      </w:r>
      <w:r>
        <w:rPr>
          <w:rFonts w:hint="eastAsia" w:ascii="宋体" w:hAnsi="宋体"/>
          <w:sz w:val="28"/>
        </w:rPr>
        <w:t>中期票据</w:t>
      </w:r>
      <w:r>
        <w:rPr>
          <w:rFonts w:ascii="宋体" w:hAnsi="宋体"/>
          <w:sz w:val="28"/>
        </w:rPr>
        <w:t>（“本期发行”），募集资金人民币20亿元，已于202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10</w:t>
      </w:r>
      <w:r>
        <w:rPr>
          <w:rFonts w:ascii="宋体" w:hAnsi="宋体"/>
          <w:sz w:val="28"/>
        </w:rPr>
        <w:t>月23日到账。</w:t>
      </w:r>
    </w:p>
    <w:p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兖矿能源集团股份有限公司</w:t>
            </w:r>
            <w:r>
              <w:rPr>
                <w:rFonts w:ascii="宋体" w:hAnsi="宋体"/>
                <w:b/>
                <w:bCs/>
                <w:sz w:val="24"/>
              </w:rPr>
              <w:t>202</w:t>
            </w:r>
            <w:r>
              <w:rPr>
                <w:rFonts w:ascii="宋体" w:hAnsi="宋体"/>
                <w:b/>
                <w:bCs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度第一期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兖矿能源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M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TN00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102382795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+N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1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0月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2025年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3.40%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广发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、中国银行股份有限公司、中国邮政储蓄银行股份有限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widowControl w:val="0"/>
        <w:adjustRightInd w:val="0"/>
        <w:snapToGrid w:val="0"/>
        <w:spacing w:line="520" w:lineRule="exact"/>
        <w:ind w:firstLine="536" w:firstLineChars="200"/>
        <w:jc w:val="both"/>
        <w:rPr>
          <w:rFonts w:ascii="宋体" w:hAnsi="宋体" w:cs="宋体"/>
          <w:spacing w:val="-6"/>
          <w:kern w:val="2"/>
          <w:sz w:val="28"/>
        </w:rPr>
      </w:pPr>
      <w:r>
        <w:rPr>
          <w:rFonts w:hint="eastAsia" w:ascii="宋体" w:hAnsi="宋体" w:cs="宋体"/>
          <w:spacing w:val="-6"/>
          <w:kern w:val="2"/>
          <w:sz w:val="28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10</w:t>
      </w:r>
      <w:r>
        <w:rPr>
          <w:rFonts w:ascii="宋体" w:hAnsi="宋体"/>
          <w:sz w:val="28"/>
        </w:rPr>
        <w:t>月24日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833497"/>
    <w:rsid w:val="002F5EA1"/>
    <w:rsid w:val="003708A2"/>
    <w:rsid w:val="003D19B5"/>
    <w:rsid w:val="0044101B"/>
    <w:rsid w:val="005805F4"/>
    <w:rsid w:val="00833497"/>
    <w:rsid w:val="00D21566"/>
    <w:rsid w:val="00DE60EC"/>
    <w:rsid w:val="01A411E4"/>
    <w:rsid w:val="07796F03"/>
    <w:rsid w:val="0E340146"/>
    <w:rsid w:val="30C92395"/>
    <w:rsid w:val="38A20F74"/>
    <w:rsid w:val="5E2C5474"/>
    <w:rsid w:val="69261398"/>
    <w:rsid w:val="6C097046"/>
    <w:rsid w:val="71296448"/>
    <w:rsid w:val="7D3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zh-CN" w:bidi="ar-SA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  <w:lang w:val="en-US" w:eastAsia="zh-CN" w:bidi="ar-SA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:lang w:val="en-US" w:eastAsia="zh-CN" w:bidi="ar-SA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/>
    </w:pPr>
    <w:rPr>
      <w:rFonts w:ascii="Times New Roman" w:hAnsi="Times New Roman" w:eastAsia="宋体" w:cs="Times New Roman"/>
      <w:lang w:val="en-US" w:eastAsia="zh-CN" w:bidi="ar-SA"/>
    </w:rPr>
  </w:style>
  <w:style w:type="paragraph" w:styleId="14">
    <w:name w:val="toc 3"/>
    <w:next w:val="1"/>
    <w:unhideWhenUsed/>
    <w:qFormat/>
    <w:uiPriority w:val="39"/>
    <w:pPr>
      <w:spacing w:after="57"/>
      <w:ind w:left="567"/>
    </w:pPr>
    <w:rPr>
      <w:rFonts w:ascii="Times New Roman" w:hAnsi="Times New Roman" w:eastAsia="宋体" w:cs="Times New Roman"/>
      <w:lang w:val="en-US" w:eastAsia="zh-CN" w:bidi="ar-SA"/>
    </w:rPr>
  </w:style>
  <w:style w:type="paragraph" w:styleId="15">
    <w:name w:val="toc 8"/>
    <w:next w:val="1"/>
    <w:unhideWhenUsed/>
    <w:qFormat/>
    <w:uiPriority w:val="39"/>
    <w:pPr>
      <w:spacing w:after="57"/>
      <w:ind w:left="1984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endnote text"/>
    <w:link w:val="17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toc 1"/>
    <w:next w:val="1"/>
    <w:unhideWhenUsed/>
    <w:qFormat/>
    <w:uiPriority w:val="39"/>
    <w:pPr>
      <w:spacing w:after="57"/>
    </w:pPr>
    <w:rPr>
      <w:rFonts w:ascii="Times New Roman" w:hAnsi="Times New Roman" w:eastAsia="宋体" w:cs="Times New Roman"/>
      <w:lang w:val="en-US" w:eastAsia="zh-CN" w:bidi="ar-SA"/>
    </w:rPr>
  </w:style>
  <w:style w:type="paragraph" w:styleId="20">
    <w:name w:val="toc 4"/>
    <w:next w:val="1"/>
    <w:unhideWhenUsed/>
    <w:qFormat/>
    <w:uiPriority w:val="39"/>
    <w:pPr>
      <w:spacing w:after="57"/>
      <w:ind w:left="850"/>
    </w:pPr>
    <w:rPr>
      <w:rFonts w:ascii="Times New Roman" w:hAnsi="Times New Roman" w:eastAsia="宋体" w:cs="Times New Roman"/>
      <w:lang w:val="en-US" w:eastAsia="zh-CN" w:bidi="ar-SA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footnote text"/>
    <w:link w:val="178"/>
    <w:semiHidden/>
    <w:unhideWhenUsed/>
    <w:qFormat/>
    <w:uiPriority w:val="99"/>
    <w:pPr>
      <w:spacing w:after="4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23">
    <w:name w:val="toc 6"/>
    <w:next w:val="1"/>
    <w:unhideWhenUsed/>
    <w:qFormat/>
    <w:uiPriority w:val="39"/>
    <w:pPr>
      <w:spacing w:after="57"/>
      <w:ind w:left="1417"/>
    </w:pPr>
    <w:rPr>
      <w:rFonts w:ascii="Times New Roman" w:hAnsi="Times New Roman" w:eastAsia="宋体" w:cs="Times New Roman"/>
      <w:lang w:val="en-US" w:eastAsia="zh-CN" w:bidi="ar-SA"/>
    </w:rPr>
  </w:style>
  <w:style w:type="paragraph" w:styleId="24">
    <w:name w:val="toc 2"/>
    <w:next w:val="1"/>
    <w:unhideWhenUsed/>
    <w:qFormat/>
    <w:uiPriority w:val="39"/>
    <w:pPr>
      <w:spacing w:after="57"/>
      <w:ind w:left="283"/>
    </w:pPr>
    <w:rPr>
      <w:rFonts w:ascii="Times New Roman" w:hAnsi="Times New Roman" w:eastAsia="宋体" w:cs="Times New Roman"/>
      <w:lang w:val="en-US" w:eastAsia="zh-CN" w:bidi="ar-SA"/>
    </w:rPr>
  </w:style>
  <w:style w:type="paragraph" w:styleId="25">
    <w:name w:val="toc 9"/>
    <w:next w:val="1"/>
    <w:unhideWhenUsed/>
    <w:qFormat/>
    <w:uiPriority w:val="39"/>
    <w:pPr>
      <w:spacing w:after="57"/>
      <w:ind w:left="2268"/>
    </w:pPr>
    <w:rPr>
      <w:rFonts w:ascii="Times New Roman" w:hAnsi="Times New Roman" w:eastAsia="宋体" w:cs="Times New Roman"/>
      <w:lang w:val="en-US" w:eastAsia="zh-CN" w:bidi="ar-SA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zh-CN" w:bidi="ar-SA"/>
    </w:rPr>
  </w:style>
  <w:style w:type="table" w:styleId="2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paragraph" w:styleId="43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qFormat/>
    <w:uiPriority w:val="99"/>
  </w:style>
  <w:style w:type="character" w:customStyle="1" w:styleId="52">
    <w:name w:val="Footer Char1"/>
    <w:link w:val="17"/>
    <w:qFormat/>
    <w:uiPriority w:val="99"/>
  </w:style>
  <w:style w:type="table" w:customStyle="1" w:styleId="53">
    <w:name w:val="Table Grid Light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1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1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1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1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1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1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1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1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1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1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1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1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1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1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1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1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1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1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1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1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1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1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1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1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1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1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1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1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1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1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1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1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1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1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1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1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1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1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1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1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1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1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1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1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1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1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1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清单表 7 彩色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1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1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1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1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1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semiHidden/>
    <w:qFormat/>
    <w:uiPriority w:val="0"/>
  </w:style>
  <w:style w:type="table" w:customStyle="1" w:styleId="183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4">
    <w:name w:val="页码1"/>
    <w:qFormat/>
    <w:uiPriority w:val="0"/>
  </w:style>
  <w:style w:type="character" w:customStyle="1" w:styleId="185">
    <w:name w:val="超链接1"/>
    <w:qFormat/>
    <w:uiPriority w:val="0"/>
    <w:rPr>
      <w:color w:val="0000FF"/>
      <w:u w:val="single"/>
    </w:rPr>
  </w:style>
  <w:style w:type="character" w:customStyle="1" w:styleId="186">
    <w:name w:val="访问过的超链接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  <w:style w:type="paragraph" w:customStyle="1" w:styleId="203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1f6b153-a702-49b0-b70b-e18e4633e1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f6b153-a702-49b0-b70b-e18e4633e17a}"/>
      </w:docPartPr>
      <w:docPartBody>
        <w:p>
          <w:r>
            <w:rPr>
              <w:rStyle w:val="2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character" w:styleId="2">
    <w:name w:val="Placeholder Text"/>
    <w:basedOn w:val="1"/>
    <w:semiHidden/>
    <w:qFormat/>
    <w:uiPriority w:val="99"/>
  </w:style>
</w:style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590</Characters>
  <TotalTime>4</TotalTime>
  <ScaleCrop>false</ScaleCrop>
  <LinksUpToDate>false</LinksUpToDate>
  <CharactersWithSpaces>645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2411-12-31T16:00:00Z</dcterms:created>
  <dc:creator>XTX</dc:creator>
  <cp:lastModifiedBy>许玉崑</cp:lastModifiedBy>
  <cp:lastPrinted>2411-12-31T16:00:00Z</cp:lastPrinted>
  <dcterms:modified xsi:type="dcterms:W3CDTF">2023-10-24T06:17:24Z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F030B55BA0464E0A92CCDCD70E727A39_12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</vt:lpwstr>
  </property>
</Properties>
</file>