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44"/>
          <w:tab w:val="left" w:pos="6809"/>
        </w:tabs>
        <w:spacing w:before="98"/>
        <w:ind w:left="100"/>
        <w:rPr>
          <w:rFonts w:hint="eastAsia" w:ascii="黑体" w:hAnsi="黑体" w:eastAsia="黑体" w:cs="黑体"/>
          <w:b w:val="0"/>
          <w:bCs/>
          <w:color w:val="000000" w:themeColor="text1"/>
          <w:sz w:val="21"/>
          <w:szCs w:val="21"/>
          <w:lang w:val="en-US" w:eastAsia="zh-CN"/>
          <w14:textFill>
            <w14:solidFill>
              <w14:schemeClr w14:val="tx1"/>
            </w14:solidFill>
          </w14:textFill>
        </w:rPr>
      </w:pPr>
      <w:r>
        <w:rPr>
          <w:rFonts w:hint="eastAsia" w:ascii="黑体" w:hAnsi="黑体" w:eastAsia="黑体" w:cs="黑体"/>
          <w:b w:val="0"/>
          <w:bCs/>
          <w:color w:val="000000" w:themeColor="text1"/>
          <w:sz w:val="21"/>
          <w:szCs w:val="21"/>
          <w14:textFill>
            <w14:solidFill>
              <w14:schemeClr w14:val="tx1"/>
            </w14:solidFill>
          </w14:textFill>
        </w:rPr>
        <w:t>股票</w:t>
      </w:r>
      <w:r>
        <w:rPr>
          <w:rFonts w:hint="eastAsia" w:ascii="黑体" w:hAnsi="黑体" w:eastAsia="黑体" w:cs="黑体"/>
          <w:b w:val="0"/>
          <w:bCs/>
          <w:color w:val="000000" w:themeColor="text1"/>
          <w:sz w:val="21"/>
          <w:szCs w:val="21"/>
          <w14:textFill>
            <w14:solidFill>
              <w14:schemeClr w14:val="tx1"/>
            </w14:solidFill>
          </w14:textFill>
        </w:rPr>
        <w:t>代码：600188</w:t>
      </w:r>
      <w:r>
        <w:rPr>
          <w:rFonts w:hint="eastAsia" w:ascii="黑体" w:hAnsi="黑体" w:eastAsia="黑体" w:cs="黑体"/>
          <w:b w:val="0"/>
          <w:bCs/>
          <w:color w:val="000000" w:themeColor="text1"/>
          <w:sz w:val="21"/>
          <w:szCs w:val="21"/>
          <w14:textFill>
            <w14:solidFill>
              <w14:schemeClr w14:val="tx1"/>
            </w14:solidFill>
          </w14:textFill>
        </w:rPr>
        <w:tab/>
      </w:r>
      <w:r>
        <w:rPr>
          <w:rFonts w:hint="eastAsia" w:ascii="黑体" w:hAnsi="黑体" w:eastAsia="黑体" w:cs="黑体"/>
          <w:b w:val="0"/>
          <w:bCs/>
          <w:color w:val="000000" w:themeColor="text1"/>
          <w:sz w:val="21"/>
          <w:szCs w:val="21"/>
          <w14:textFill>
            <w14:solidFill>
              <w14:schemeClr w14:val="tx1"/>
            </w14:solidFill>
          </w14:textFill>
        </w:rPr>
        <w:t xml:space="preserve">股票简称：兖矿能源   </w:t>
      </w:r>
      <w:r>
        <w:rPr>
          <w:rFonts w:hint="eastAsia" w:ascii="黑体" w:hAnsi="黑体" w:eastAsia="黑体" w:cs="黑体"/>
          <w:b w:val="0"/>
          <w:bCs/>
          <w:color w:val="000000" w:themeColor="text1"/>
          <w:sz w:val="21"/>
          <w:szCs w:val="21"/>
          <w:lang w:val="en-US" w:eastAsia="zh-CN"/>
          <w14:textFill>
            <w14:solidFill>
              <w14:schemeClr w14:val="tx1"/>
            </w14:solidFill>
          </w14:textFill>
        </w:rPr>
        <w:t xml:space="preserve">    </w:t>
      </w:r>
      <w:r>
        <w:rPr>
          <w:rFonts w:hint="eastAsia" w:ascii="黑体" w:hAnsi="黑体" w:eastAsia="黑体" w:cs="黑体"/>
          <w:b w:val="0"/>
          <w:bCs/>
          <w:color w:val="000000" w:themeColor="text1"/>
          <w:sz w:val="21"/>
          <w:szCs w:val="21"/>
          <w14:textFill>
            <w14:solidFill>
              <w14:schemeClr w14:val="tx1"/>
            </w14:solidFill>
          </w14:textFill>
        </w:rPr>
        <w:t xml:space="preserve">  编号：临2023-</w:t>
      </w:r>
      <w:r>
        <w:rPr>
          <w:rFonts w:hint="eastAsia" w:ascii="黑体" w:hAnsi="黑体" w:eastAsia="黑体" w:cs="黑体"/>
          <w:b w:val="0"/>
          <w:bCs/>
          <w:color w:val="000000" w:themeColor="text1"/>
          <w:sz w:val="21"/>
          <w:szCs w:val="21"/>
          <w:lang w:val="en-US" w:eastAsia="zh-CN"/>
          <w14:textFill>
            <w14:solidFill>
              <w14:schemeClr w14:val="tx1"/>
            </w14:solidFill>
          </w14:textFill>
        </w:rPr>
        <w:t>058</w:t>
      </w:r>
    </w:p>
    <w:p>
      <w:pPr>
        <w:pStyle w:val="5"/>
        <w:spacing w:before="7" w:line="312" w:lineRule="auto"/>
        <w:ind w:left="0"/>
        <w:rPr>
          <w:rFonts w:ascii="Times New Roman" w:hAnsi="Times New Roman" w:cs="Times New Roman"/>
          <w:b/>
          <w:sz w:val="21"/>
        </w:rPr>
      </w:pPr>
    </w:p>
    <w:p>
      <w:pPr>
        <w:autoSpaceDE/>
        <w:autoSpaceDN/>
        <w:snapToGrid w:val="0"/>
        <w:spacing w:line="560" w:lineRule="exact"/>
        <w:jc w:val="center"/>
        <w:rPr>
          <w:rFonts w:ascii="黑体" w:hAnsi="黑体" w:eastAsia="黑体" w:cs="Times New Roman"/>
          <w:color w:val="FF0000"/>
          <w:sz w:val="36"/>
          <w:szCs w:val="36"/>
        </w:rPr>
      </w:pPr>
      <w:bookmarkStart w:id="0" w:name="武汉中商集团股份有限公司"/>
      <w:bookmarkEnd w:id="0"/>
      <w:r>
        <w:rPr>
          <w:rFonts w:ascii="黑体" w:hAnsi="黑体" w:eastAsia="黑体" w:cs="Times New Roman"/>
          <w:color w:val="FF0000"/>
          <w:sz w:val="36"/>
          <w:szCs w:val="36"/>
        </w:rPr>
        <w:t>兖矿能源集团股份有限公司</w:t>
      </w:r>
    </w:p>
    <w:p>
      <w:pPr>
        <w:autoSpaceDE/>
        <w:autoSpaceDN/>
        <w:snapToGrid w:val="0"/>
        <w:spacing w:line="560" w:lineRule="exact"/>
        <w:jc w:val="center"/>
        <w:rPr>
          <w:rFonts w:ascii="黑体" w:hAnsi="黑体" w:eastAsia="黑体" w:cs="Times New Roman"/>
          <w:color w:val="FF0000"/>
          <w:sz w:val="36"/>
          <w:szCs w:val="36"/>
        </w:rPr>
      </w:pPr>
      <w:bookmarkStart w:id="1" w:name="二○一八年年度股东大会决议公告"/>
      <w:bookmarkEnd w:id="1"/>
      <w:r>
        <w:rPr>
          <w:rFonts w:ascii="黑体" w:hAnsi="黑体" w:eastAsia="黑体" w:cs="Times New Roman"/>
          <w:color w:val="FF0000"/>
          <w:sz w:val="36"/>
          <w:szCs w:val="36"/>
        </w:rPr>
        <w:t>关于调整大宗商品购销2023年度</w:t>
      </w:r>
      <w:r>
        <w:rPr>
          <w:rFonts w:hint="eastAsia" w:ascii="黑体" w:hAnsi="黑体" w:eastAsia="黑体" w:cs="Times New Roman"/>
          <w:color w:val="FF0000"/>
          <w:sz w:val="36"/>
          <w:szCs w:val="36"/>
        </w:rPr>
        <w:t>交易上限金额及</w:t>
      </w:r>
    </w:p>
    <w:p>
      <w:pPr>
        <w:autoSpaceDE/>
        <w:autoSpaceDN/>
        <w:snapToGrid w:val="0"/>
        <w:spacing w:line="560" w:lineRule="exact"/>
        <w:jc w:val="center"/>
        <w:rPr>
          <w:rFonts w:ascii="黑体" w:hAnsi="黑体" w:eastAsia="黑体" w:cs="Times New Roman"/>
          <w:color w:val="FF0000"/>
          <w:sz w:val="36"/>
          <w:szCs w:val="36"/>
        </w:rPr>
      </w:pPr>
      <w:r>
        <w:rPr>
          <w:rFonts w:hint="eastAsia" w:ascii="黑体" w:hAnsi="黑体" w:eastAsia="黑体" w:cs="Times New Roman"/>
          <w:color w:val="FF0000"/>
          <w:sz w:val="36"/>
          <w:szCs w:val="36"/>
        </w:rPr>
        <w:t>续签部分</w:t>
      </w:r>
      <w:r>
        <w:rPr>
          <w:rFonts w:ascii="黑体" w:hAnsi="黑体" w:eastAsia="黑体" w:cs="Times New Roman"/>
          <w:color w:val="FF0000"/>
          <w:sz w:val="36"/>
          <w:szCs w:val="36"/>
        </w:rPr>
        <w:t>持续性关联交易</w:t>
      </w:r>
      <w:r>
        <w:rPr>
          <w:rFonts w:hint="eastAsia" w:ascii="黑体" w:hAnsi="黑体" w:eastAsia="黑体" w:cs="Times New Roman"/>
          <w:color w:val="FF0000"/>
          <w:sz w:val="36"/>
          <w:szCs w:val="36"/>
        </w:rPr>
        <w:t>协议</w:t>
      </w:r>
      <w:r>
        <w:rPr>
          <w:rFonts w:ascii="黑体" w:hAnsi="黑体" w:eastAsia="黑体" w:cs="Times New Roman"/>
          <w:color w:val="FF0000"/>
          <w:sz w:val="36"/>
          <w:szCs w:val="36"/>
        </w:rPr>
        <w:t>的公告</w:t>
      </w:r>
    </w:p>
    <w:p>
      <w:pPr>
        <w:rPr>
          <w:rFonts w:ascii="Times New Roman" w:hAnsi="Times New Roman" w:cs="Times New Roma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560" w:firstLineChars="200"/>
              <w:rPr>
                <w:rFonts w:ascii="Times New Roman" w:hAnsi="Times New Roman" w:cs="Times New Roman"/>
                <w:bCs/>
                <w:sz w:val="28"/>
                <w:szCs w:val="28"/>
              </w:rPr>
            </w:pPr>
            <w:r>
              <w:rPr>
                <w:rFonts w:ascii="Times New Roman" w:hAnsi="Times New Roman" w:cs="Times New Roman"/>
                <w:bCs/>
                <w:sz w:val="28"/>
                <w:szCs w:val="28"/>
              </w:rPr>
              <w:t>本公司董事会及全体董事保证本公告内容不存在任何虚假记载、误导性陈述或者重大遗漏，并对其内容的真实性、准确性和完整性承担法律责任。</w:t>
            </w:r>
          </w:p>
        </w:tc>
      </w:tr>
    </w:tbl>
    <w:p>
      <w:pPr>
        <w:spacing w:before="182"/>
        <w:ind w:firstLine="562" w:firstLineChars="200"/>
        <w:rPr>
          <w:rFonts w:ascii="Times New Roman" w:hAnsi="Times New Roman" w:cs="Times New Roman"/>
          <w:b/>
          <w:bCs/>
          <w:color w:val="000000"/>
          <w:sz w:val="28"/>
          <w:szCs w:val="28"/>
        </w:rPr>
      </w:pPr>
      <w:r>
        <w:rPr>
          <w:rFonts w:ascii="Times New Roman" w:hAnsi="Times New Roman" w:cs="Times New Roman"/>
          <w:b/>
          <w:bCs/>
          <w:color w:val="000000"/>
          <w:sz w:val="28"/>
          <w:szCs w:val="28"/>
        </w:rPr>
        <w:t>重要内容提示：</w:t>
      </w:r>
    </w:p>
    <w:p>
      <w:pPr>
        <w:pStyle w:val="18"/>
        <w:keepNext w:val="0"/>
        <w:keepLines w:val="0"/>
        <w:pageBreakBefore w:val="0"/>
        <w:widowControl w:val="0"/>
        <w:numPr>
          <w:ilvl w:val="0"/>
          <w:numId w:val="2"/>
        </w:numPr>
        <w:kinsoku/>
        <w:wordWrap/>
        <w:overflowPunct/>
        <w:topLinePunct w:val="0"/>
        <w:autoSpaceDE w:val="0"/>
        <w:autoSpaceDN w:val="0"/>
        <w:bidi w:val="0"/>
        <w:snapToGrid/>
        <w:spacing w:before="182" w:line="520" w:lineRule="exact"/>
        <w:ind w:firstLineChars="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为满足公司业务需要，兖矿能源集团股份有限公司（“兖矿能源”“本公司”“公司”）第九届董事会第二次会议审议通过了：（1）调整现行《大宗商品购销协议》2023年度交易上限金额；（2）公司与山东能源签署新的《大宗商品购销协议》《融资租赁协议》《委托管理服务框架协议》以及各协议于各年度交易上限金额（合称“</w:t>
      </w:r>
      <w:bookmarkStart w:id="2" w:name="_Hlk143345566"/>
      <w:r>
        <w:rPr>
          <w:rFonts w:hint="eastAsia" w:ascii="宋体" w:hAnsi="宋体" w:eastAsia="宋体" w:cs="宋体"/>
          <w:bCs/>
          <w:color w:val="000000"/>
          <w:sz w:val="28"/>
          <w:szCs w:val="28"/>
        </w:rPr>
        <w:t>本次持续性关联交易</w:t>
      </w:r>
      <w:bookmarkEnd w:id="2"/>
      <w:r>
        <w:rPr>
          <w:rFonts w:hint="eastAsia" w:ascii="宋体" w:hAnsi="宋体" w:eastAsia="宋体" w:cs="宋体"/>
          <w:bCs/>
          <w:color w:val="000000"/>
          <w:sz w:val="28"/>
          <w:szCs w:val="28"/>
        </w:rPr>
        <w:t>”），本次持续性关联交易尚需履行股东大会批准程序。</w:t>
      </w:r>
    </w:p>
    <w:p>
      <w:pPr>
        <w:pStyle w:val="18"/>
        <w:keepNext w:val="0"/>
        <w:keepLines w:val="0"/>
        <w:pageBreakBefore w:val="0"/>
        <w:widowControl w:val="0"/>
        <w:numPr>
          <w:ilvl w:val="0"/>
          <w:numId w:val="2"/>
        </w:numPr>
        <w:kinsoku/>
        <w:wordWrap/>
        <w:overflowPunct/>
        <w:topLinePunct w:val="0"/>
        <w:autoSpaceDE w:val="0"/>
        <w:autoSpaceDN w:val="0"/>
        <w:bidi w:val="0"/>
        <w:snapToGrid/>
        <w:spacing w:before="182" w:line="520" w:lineRule="exact"/>
        <w:ind w:firstLineChars="0"/>
        <w:jc w:val="both"/>
        <w:textAlignment w:val="auto"/>
        <w:rPr>
          <w:rFonts w:hint="eastAsia" w:ascii="宋体" w:hAnsi="宋体" w:eastAsia="宋体" w:cs="宋体"/>
          <w:bCs/>
          <w:color w:val="000000"/>
          <w:sz w:val="28"/>
          <w:szCs w:val="28"/>
          <w:lang w:val="en-US"/>
        </w:rPr>
      </w:pPr>
      <w:r>
        <w:rPr>
          <w:rFonts w:hint="eastAsia" w:ascii="宋体" w:hAnsi="宋体" w:eastAsia="宋体" w:cs="宋体"/>
          <w:bCs/>
          <w:color w:val="000000"/>
          <w:sz w:val="28"/>
          <w:szCs w:val="28"/>
        </w:rPr>
        <w:t>本次持续性关联交易对公司的影响：本次</w:t>
      </w:r>
      <w:r>
        <w:rPr>
          <w:rFonts w:hint="eastAsia" w:ascii="宋体" w:hAnsi="宋体" w:eastAsia="宋体" w:cs="宋体"/>
          <w:bCs/>
          <w:color w:val="000000"/>
          <w:sz w:val="28"/>
          <w:szCs w:val="28"/>
          <w:lang w:val="en-US"/>
        </w:rPr>
        <w:t>持续性关联交易协议按一般商业条款订立，定价公平合理，不会对公司现在及将来的财务状况、经营成果产生不利影响；公司与控股股东在业务、人员、资产、机构、财务等方面独立，本次持续性关联交易不会对公司独立性产生影响，公司业务没有因本次持续性关联交易而对控股股东形成依赖。</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ascii="Times New Roman" w:hAnsi="Times New Roman" w:cs="Times New Roman" w:eastAsiaTheme="minorEastAsia"/>
          <w:sz w:val="28"/>
          <w:szCs w:val="28"/>
        </w:rPr>
      </w:pPr>
    </w:p>
    <w:p>
      <w:pPr>
        <w:pStyle w:val="3"/>
        <w:keepNext w:val="0"/>
        <w:keepLines w:val="0"/>
        <w:pageBreakBefore w:val="0"/>
        <w:widowControl w:val="0"/>
        <w:kinsoku/>
        <w:wordWrap/>
        <w:overflowPunct/>
        <w:topLinePunct w:val="0"/>
        <w:autoSpaceDE w:val="0"/>
        <w:autoSpaceDN w:val="0"/>
        <w:bidi w:val="0"/>
        <w:snapToGrid/>
        <w:spacing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一、本次持续性关联交易基本情况</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jc w:val="both"/>
        <w:textAlignment w:val="auto"/>
        <w:rPr>
          <w:rFonts w:hint="eastAsia" w:ascii="宋体" w:hAnsi="宋体" w:eastAsia="宋体" w:cs="宋体"/>
          <w:bCs/>
          <w:color w:val="000000"/>
          <w:sz w:val="28"/>
          <w:szCs w:val="28"/>
          <w:lang w:val="en-US"/>
        </w:rPr>
      </w:pPr>
      <w:r>
        <w:rPr>
          <w:rFonts w:hint="eastAsia" w:ascii="宋体" w:hAnsi="宋体" w:eastAsia="宋体" w:cs="宋体"/>
          <w:bCs/>
          <w:color w:val="000000"/>
          <w:sz w:val="28"/>
          <w:szCs w:val="28"/>
        </w:rPr>
        <w:t>公司与</w:t>
      </w:r>
      <w:r>
        <w:rPr>
          <w:rFonts w:hint="eastAsia" w:ascii="宋体" w:hAnsi="宋体" w:eastAsia="宋体" w:cs="宋体"/>
          <w:bCs/>
          <w:color w:val="000000"/>
          <w:sz w:val="28"/>
          <w:szCs w:val="28"/>
          <w:lang w:val="en-US"/>
        </w:rPr>
        <w:t>山东能源集团有限公司（“山东能源”“控股股东”）</w:t>
      </w:r>
      <w:r>
        <w:rPr>
          <w:rFonts w:hint="eastAsia" w:ascii="宋体" w:hAnsi="宋体" w:eastAsia="宋体" w:cs="宋体"/>
          <w:bCs/>
          <w:color w:val="000000"/>
          <w:sz w:val="28"/>
          <w:szCs w:val="28"/>
        </w:rPr>
        <w:t>于</w:t>
      </w:r>
      <w:r>
        <w:rPr>
          <w:rFonts w:hint="eastAsia" w:ascii="宋体" w:hAnsi="宋体" w:eastAsia="宋体" w:cs="宋体"/>
          <w:bCs/>
          <w:color w:val="000000"/>
          <w:sz w:val="28"/>
          <w:szCs w:val="28"/>
          <w:lang w:val="en-US"/>
        </w:rPr>
        <w:t>2020年12月9日</w:t>
      </w:r>
      <w:r>
        <w:rPr>
          <w:rFonts w:hint="eastAsia" w:ascii="宋体" w:hAnsi="宋体" w:eastAsia="宋体" w:cs="宋体"/>
          <w:bCs/>
          <w:color w:val="000000"/>
          <w:sz w:val="28"/>
          <w:szCs w:val="28"/>
        </w:rPr>
        <w:t>签订了现行</w:t>
      </w:r>
      <w:r>
        <w:rPr>
          <w:rFonts w:hint="eastAsia" w:ascii="宋体" w:hAnsi="宋体" w:eastAsia="宋体" w:cs="宋体"/>
          <w:bCs/>
          <w:color w:val="000000"/>
          <w:sz w:val="28"/>
          <w:szCs w:val="28"/>
          <w:lang w:val="en-US"/>
        </w:rPr>
        <w:t>《大宗商品购销协议》《融资租赁协议》，并于2022年1月27日签订了现行《委托管理服务框架协议》。现行《大宗商品购销协议》《融资租赁协议》项下大宗商品购销、融资租赁等持续性关联交易，以及2021-2023年各年度的交易上限金额已经公司</w:t>
      </w:r>
      <w:r>
        <w:rPr>
          <w:rFonts w:hint="eastAsia" w:ascii="宋体" w:hAnsi="宋体" w:eastAsia="宋体" w:cs="宋体"/>
          <w:bCs/>
          <w:color w:val="000000"/>
          <w:sz w:val="28"/>
          <w:szCs w:val="28"/>
        </w:rPr>
        <w:t>2021年度第一次临时股东大会审议批准。其中，现行</w:t>
      </w:r>
      <w:r>
        <w:rPr>
          <w:rFonts w:hint="eastAsia" w:ascii="宋体" w:hAnsi="宋体" w:eastAsia="宋体" w:cs="宋体"/>
          <w:bCs/>
          <w:color w:val="000000"/>
          <w:sz w:val="28"/>
          <w:szCs w:val="28"/>
          <w:lang w:val="en-US"/>
        </w:rPr>
        <w:t>《大宗商品购销协议》项下大宗商品购销持续性关联交易于2022-2023年度的交易上限金额，</w:t>
      </w:r>
      <w:r>
        <w:rPr>
          <w:rFonts w:hint="eastAsia" w:ascii="宋体" w:hAnsi="宋体" w:eastAsia="宋体" w:cs="宋体"/>
          <w:bCs/>
          <w:color w:val="000000"/>
          <w:sz w:val="28"/>
          <w:szCs w:val="28"/>
        </w:rPr>
        <w:t>经公司2021年度股东周年大会审议批准</w:t>
      </w:r>
      <w:r>
        <w:rPr>
          <w:rFonts w:hint="eastAsia" w:ascii="宋体" w:hAnsi="宋体" w:eastAsia="宋体" w:cs="宋体"/>
          <w:bCs/>
          <w:color w:val="000000"/>
          <w:sz w:val="28"/>
          <w:szCs w:val="28"/>
          <w:lang w:val="en-US"/>
        </w:rPr>
        <w:t>予以上调</w:t>
      </w:r>
      <w:r>
        <w:rPr>
          <w:rFonts w:hint="eastAsia" w:ascii="宋体" w:hAnsi="宋体" w:eastAsia="宋体" w:cs="宋体"/>
          <w:bCs/>
          <w:color w:val="000000"/>
          <w:sz w:val="28"/>
          <w:szCs w:val="28"/>
        </w:rPr>
        <w:t>；现行</w:t>
      </w:r>
      <w:r>
        <w:rPr>
          <w:rFonts w:hint="eastAsia" w:ascii="宋体" w:hAnsi="宋体" w:eastAsia="宋体" w:cs="宋体"/>
          <w:bCs/>
          <w:color w:val="000000"/>
          <w:sz w:val="28"/>
          <w:szCs w:val="28"/>
          <w:lang w:val="en-US"/>
        </w:rPr>
        <w:t>《委托管理服务框架协议》项下委托管理服务持续性关联交易，以及2022-2024年各年度的有关交易上限金额已经公司第八届董事会第二十次会议审议批准。</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jc w:val="both"/>
        <w:textAlignment w:val="auto"/>
        <w:rPr>
          <w:rFonts w:ascii="楷体_GB2312" w:hAnsi="Times New Roman" w:eastAsia="楷体_GB2312" w:cs="Times New Roman"/>
          <w:bCs/>
          <w:color w:val="000000"/>
          <w:sz w:val="28"/>
          <w:szCs w:val="28"/>
          <w:lang w:val="en-US"/>
        </w:rPr>
      </w:pPr>
      <w:r>
        <w:rPr>
          <w:rFonts w:hint="eastAsia" w:ascii="楷体_GB2312" w:hAnsi="Times New Roman" w:eastAsia="楷体_GB2312" w:cs="Times New Roman"/>
          <w:bCs/>
          <w:color w:val="000000"/>
          <w:sz w:val="28"/>
          <w:szCs w:val="28"/>
          <w:lang w:val="en-US"/>
        </w:rPr>
        <w:t>具体情况详见公司日期为</w:t>
      </w:r>
      <w:r>
        <w:rPr>
          <w:rFonts w:ascii="楷体_GB2312" w:hAnsi="Times New Roman" w:eastAsia="楷体_GB2312" w:cs="Times New Roman"/>
          <w:bCs/>
          <w:color w:val="000000"/>
          <w:sz w:val="28"/>
          <w:szCs w:val="28"/>
          <w:lang w:val="en-US"/>
        </w:rPr>
        <w:t>2020</w:t>
      </w:r>
      <w:r>
        <w:rPr>
          <w:rFonts w:hint="eastAsia" w:ascii="楷体_GB2312" w:hAnsi="Times New Roman" w:eastAsia="楷体_GB2312" w:cs="Times New Roman"/>
          <w:bCs/>
          <w:color w:val="000000"/>
          <w:sz w:val="28"/>
          <w:szCs w:val="28"/>
          <w:lang w:val="en-US"/>
        </w:rPr>
        <w:t>年</w:t>
      </w:r>
      <w:r>
        <w:rPr>
          <w:rFonts w:ascii="楷体_GB2312" w:hAnsi="Times New Roman" w:eastAsia="楷体_GB2312" w:cs="Times New Roman"/>
          <w:bCs/>
          <w:color w:val="000000"/>
          <w:sz w:val="28"/>
          <w:szCs w:val="28"/>
          <w:lang w:val="en-US"/>
        </w:rPr>
        <w:t>12</w:t>
      </w:r>
      <w:r>
        <w:rPr>
          <w:rFonts w:hint="eastAsia" w:ascii="楷体_GB2312" w:hAnsi="Times New Roman" w:eastAsia="楷体_GB2312" w:cs="Times New Roman"/>
          <w:bCs/>
          <w:color w:val="000000"/>
          <w:sz w:val="28"/>
          <w:szCs w:val="28"/>
          <w:lang w:val="en-US"/>
        </w:rPr>
        <w:t>月</w:t>
      </w:r>
      <w:r>
        <w:rPr>
          <w:rFonts w:ascii="楷体_GB2312" w:hAnsi="Times New Roman" w:eastAsia="楷体_GB2312" w:cs="Times New Roman"/>
          <w:bCs/>
          <w:color w:val="000000"/>
          <w:sz w:val="28"/>
          <w:szCs w:val="28"/>
          <w:lang w:val="en-US"/>
        </w:rPr>
        <w:t>9</w:t>
      </w:r>
      <w:r>
        <w:rPr>
          <w:rFonts w:hint="eastAsia" w:ascii="楷体_GB2312" w:hAnsi="Times New Roman" w:eastAsia="楷体_GB2312" w:cs="Times New Roman"/>
          <w:bCs/>
          <w:color w:val="000000"/>
          <w:sz w:val="28"/>
          <w:szCs w:val="28"/>
          <w:lang w:val="en-US"/>
        </w:rPr>
        <w:t>日、</w:t>
      </w:r>
      <w:r>
        <w:rPr>
          <w:rFonts w:ascii="楷体_GB2312" w:hAnsi="Times New Roman" w:eastAsia="楷体_GB2312" w:cs="Times New Roman"/>
          <w:bCs/>
          <w:color w:val="000000"/>
          <w:sz w:val="28"/>
          <w:szCs w:val="28"/>
          <w:lang w:val="en-US"/>
        </w:rPr>
        <w:t>2022</w:t>
      </w:r>
      <w:r>
        <w:rPr>
          <w:rFonts w:hint="eastAsia" w:ascii="楷体_GB2312" w:hAnsi="Times New Roman" w:eastAsia="楷体_GB2312" w:cs="Times New Roman"/>
          <w:bCs/>
          <w:color w:val="000000"/>
          <w:sz w:val="28"/>
          <w:szCs w:val="28"/>
          <w:lang w:val="en-US"/>
        </w:rPr>
        <w:t>年</w:t>
      </w:r>
      <w:r>
        <w:rPr>
          <w:rFonts w:ascii="楷体_GB2312" w:hAnsi="Times New Roman" w:eastAsia="楷体_GB2312" w:cs="Times New Roman"/>
          <w:bCs/>
          <w:color w:val="000000"/>
          <w:sz w:val="28"/>
          <w:szCs w:val="28"/>
          <w:lang w:val="en-US"/>
        </w:rPr>
        <w:t>1</w:t>
      </w:r>
      <w:r>
        <w:rPr>
          <w:rFonts w:hint="eastAsia" w:ascii="楷体_GB2312" w:hAnsi="Times New Roman" w:eastAsia="楷体_GB2312" w:cs="Times New Roman"/>
          <w:bCs/>
          <w:color w:val="000000"/>
          <w:sz w:val="28"/>
          <w:szCs w:val="28"/>
          <w:lang w:val="en-US"/>
        </w:rPr>
        <w:t>月</w:t>
      </w:r>
      <w:r>
        <w:rPr>
          <w:rFonts w:ascii="楷体_GB2312" w:hAnsi="Times New Roman" w:eastAsia="楷体_GB2312" w:cs="Times New Roman"/>
          <w:bCs/>
          <w:color w:val="000000"/>
          <w:sz w:val="28"/>
          <w:szCs w:val="28"/>
          <w:lang w:val="en-US"/>
        </w:rPr>
        <w:t>27</w:t>
      </w:r>
      <w:r>
        <w:rPr>
          <w:rFonts w:hint="eastAsia" w:ascii="楷体_GB2312" w:hAnsi="Times New Roman" w:eastAsia="楷体_GB2312" w:cs="Times New Roman"/>
          <w:bCs/>
          <w:color w:val="000000"/>
          <w:sz w:val="28"/>
          <w:szCs w:val="28"/>
          <w:lang w:val="en-US"/>
        </w:rPr>
        <w:t>日的持续性关联交易公告，以及日期为</w:t>
      </w:r>
      <w:r>
        <w:rPr>
          <w:rFonts w:ascii="楷体_GB2312" w:hAnsi="Times New Roman" w:eastAsia="楷体_GB2312" w:cs="Times New Roman"/>
          <w:bCs/>
          <w:color w:val="000000"/>
          <w:sz w:val="28"/>
          <w:szCs w:val="28"/>
          <w:lang w:val="en-US"/>
        </w:rPr>
        <w:t>2022</w:t>
      </w:r>
      <w:r>
        <w:rPr>
          <w:rFonts w:hint="eastAsia" w:ascii="楷体_GB2312" w:hAnsi="Times New Roman" w:eastAsia="楷体_GB2312" w:cs="Times New Roman"/>
          <w:bCs/>
          <w:color w:val="000000"/>
          <w:sz w:val="28"/>
          <w:szCs w:val="28"/>
          <w:lang w:val="en-US"/>
        </w:rPr>
        <w:t>年</w:t>
      </w:r>
      <w:r>
        <w:rPr>
          <w:rFonts w:ascii="楷体_GB2312" w:hAnsi="Times New Roman" w:eastAsia="楷体_GB2312" w:cs="Times New Roman"/>
          <w:bCs/>
          <w:color w:val="000000"/>
          <w:sz w:val="28"/>
          <w:szCs w:val="28"/>
          <w:lang w:val="en-US"/>
        </w:rPr>
        <w:t>4</w:t>
      </w:r>
      <w:r>
        <w:rPr>
          <w:rFonts w:hint="eastAsia" w:ascii="楷体_GB2312" w:hAnsi="Times New Roman" w:eastAsia="楷体_GB2312" w:cs="Times New Roman"/>
          <w:bCs/>
          <w:color w:val="000000"/>
          <w:sz w:val="28"/>
          <w:szCs w:val="28"/>
          <w:lang w:val="en-US"/>
        </w:rPr>
        <w:t>月</w:t>
      </w:r>
      <w:r>
        <w:rPr>
          <w:rFonts w:ascii="楷体_GB2312" w:hAnsi="Times New Roman" w:eastAsia="楷体_GB2312" w:cs="Times New Roman"/>
          <w:bCs/>
          <w:color w:val="000000"/>
          <w:sz w:val="28"/>
          <w:szCs w:val="28"/>
          <w:lang w:val="en-US"/>
        </w:rPr>
        <w:t>28</w:t>
      </w:r>
      <w:r>
        <w:rPr>
          <w:rFonts w:hint="eastAsia" w:ascii="楷体_GB2312" w:hAnsi="Times New Roman" w:eastAsia="楷体_GB2312" w:cs="Times New Roman"/>
          <w:bCs/>
          <w:color w:val="000000"/>
          <w:sz w:val="28"/>
          <w:szCs w:val="28"/>
          <w:lang w:val="en-US"/>
        </w:rPr>
        <w:t>日的关于调整部分日常关联交易年度上限金额的公告。该等资料刊载于上海证券交易所网站、香港联合交易所有限公司网站、公司网站及</w:t>
      </w:r>
      <w:r>
        <w:rPr>
          <w:rFonts w:ascii="楷体_GB2312" w:hAnsi="Times New Roman" w:eastAsia="楷体_GB2312" w:cs="Times New Roman"/>
          <w:bCs/>
          <w:color w:val="000000"/>
          <w:sz w:val="28"/>
          <w:szCs w:val="28"/>
          <w:lang w:val="en-US"/>
        </w:rPr>
        <w:t>/</w:t>
      </w:r>
      <w:r>
        <w:rPr>
          <w:rFonts w:hint="eastAsia" w:ascii="楷体_GB2312" w:hAnsi="Times New Roman" w:eastAsia="楷体_GB2312" w:cs="Times New Roman"/>
          <w:bCs/>
          <w:color w:val="000000"/>
          <w:sz w:val="28"/>
          <w:szCs w:val="28"/>
          <w:lang w:val="en-US"/>
        </w:rPr>
        <w:t>或中国境内《中国证券报》《上海证券报》《证券时报》《证券日报》。</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jc w:val="both"/>
        <w:textAlignment w:val="auto"/>
        <w:rPr>
          <w:rFonts w:hint="eastAsia" w:ascii="宋体" w:hAnsi="宋体" w:eastAsia="宋体" w:cs="宋体"/>
          <w:bCs/>
          <w:i/>
          <w:color w:val="000000"/>
          <w:sz w:val="28"/>
          <w:szCs w:val="28"/>
        </w:rPr>
      </w:pPr>
      <w:r>
        <w:rPr>
          <w:rFonts w:hint="eastAsia" w:ascii="宋体" w:hAnsi="宋体" w:eastAsia="宋体" w:cs="宋体"/>
          <w:bCs/>
          <w:color w:val="000000"/>
          <w:sz w:val="28"/>
          <w:szCs w:val="28"/>
          <w:lang w:val="en-US"/>
        </w:rPr>
        <w:t>公司预计现行《大宗商品购销协议》于2023年度交易上限金额将不足以满足公司业务需要，2023年度公司向山东能源销售大宗商品持续性关联交易的实际发生金额将超过</w:t>
      </w:r>
      <w:r>
        <w:rPr>
          <w:rFonts w:hint="eastAsia" w:ascii="宋体" w:hAnsi="宋体" w:eastAsia="宋体" w:cs="宋体"/>
          <w:bCs/>
          <w:color w:val="000000"/>
          <w:sz w:val="28"/>
          <w:szCs w:val="28"/>
        </w:rPr>
        <w:t>已经批准的额度</w:t>
      </w:r>
      <w:r>
        <w:rPr>
          <w:rFonts w:hint="eastAsia" w:ascii="宋体" w:hAnsi="宋体" w:eastAsia="宋体" w:cs="宋体"/>
          <w:bCs/>
          <w:color w:val="000000"/>
          <w:sz w:val="28"/>
          <w:szCs w:val="28"/>
          <w:lang w:val="en-US"/>
        </w:rPr>
        <w:t>。同时</w:t>
      </w:r>
      <w:r>
        <w:rPr>
          <w:rFonts w:hint="eastAsia" w:ascii="宋体" w:hAnsi="宋体" w:eastAsia="宋体" w:cs="宋体"/>
          <w:bCs/>
          <w:color w:val="000000"/>
          <w:sz w:val="28"/>
          <w:szCs w:val="28"/>
        </w:rPr>
        <w:t>现行</w:t>
      </w:r>
      <w:r>
        <w:rPr>
          <w:rFonts w:hint="eastAsia" w:ascii="宋体" w:hAnsi="宋体" w:eastAsia="宋体" w:cs="宋体"/>
          <w:bCs/>
          <w:color w:val="000000"/>
          <w:sz w:val="28"/>
          <w:szCs w:val="28"/>
          <w:lang w:val="en-US"/>
        </w:rPr>
        <w:t>《大宗商品购销协议》《融资租赁协议》将于2023年12月31日期限届满，</w:t>
      </w:r>
      <w:r>
        <w:rPr>
          <w:rFonts w:hint="eastAsia" w:ascii="宋体" w:hAnsi="宋体" w:eastAsia="宋体" w:cs="宋体"/>
          <w:bCs/>
          <w:color w:val="000000"/>
          <w:sz w:val="28"/>
          <w:szCs w:val="28"/>
        </w:rPr>
        <w:t>现行</w:t>
      </w:r>
      <w:r>
        <w:rPr>
          <w:rFonts w:hint="eastAsia" w:ascii="宋体" w:hAnsi="宋体" w:eastAsia="宋体" w:cs="宋体"/>
          <w:bCs/>
          <w:color w:val="000000"/>
          <w:sz w:val="28"/>
          <w:szCs w:val="28"/>
          <w:lang w:val="en-US"/>
        </w:rPr>
        <w:t>《委托管理服务框架协议》将于2024年12月31日期限届满。</w:t>
      </w:r>
      <w:r>
        <w:rPr>
          <w:rFonts w:hint="eastAsia" w:ascii="宋体" w:hAnsi="宋体" w:eastAsia="宋体" w:cs="宋体"/>
          <w:bCs/>
          <w:color w:val="000000"/>
          <w:sz w:val="28"/>
          <w:szCs w:val="28"/>
        </w:rPr>
        <w:t>为满足公司业务需要，公司第九届董事会第二次会议审议通过了：（1）调整现行《大宗商品购销协议》2023年度交易上限金额</w:t>
      </w:r>
      <w:r>
        <w:rPr>
          <w:rFonts w:hint="eastAsia" w:ascii="宋体" w:hAnsi="宋体" w:eastAsia="宋体" w:cs="宋体"/>
          <w:bCs/>
          <w:color w:val="000000"/>
          <w:sz w:val="28"/>
          <w:szCs w:val="28"/>
          <w:lang w:val="en-US"/>
        </w:rPr>
        <w:t>；（2）公司与山东能源签署新的《大宗商品购销协议》《融资租赁协议》《委托管理服务框架协议》以及各协议于各年度交易上限金额，具体公告如下：</w:t>
      </w:r>
      <w:bookmarkStart w:id="3" w:name="_GoBack"/>
      <w:bookmarkEnd w:id="3"/>
    </w:p>
    <w:p>
      <w:pPr>
        <w:pStyle w:val="3"/>
        <w:keepNext w:val="0"/>
        <w:keepLines w:val="0"/>
        <w:pageBreakBefore w:val="0"/>
        <w:widowControl w:val="0"/>
        <w:kinsoku/>
        <w:wordWrap/>
        <w:overflowPunct/>
        <w:topLinePunct w:val="0"/>
        <w:autoSpaceDE w:val="0"/>
        <w:autoSpaceDN w:val="0"/>
        <w:bidi w:val="0"/>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（一）本次持续性关联交易履行的审议程序</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1.董事会审议情况</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本公司于2023年8月25日召开第九届董事会第二次会议，审议通过了《关于签署与控股股东部分持续性关联交易协议的议案》，公司董事会成员共11人，出席董事会会议的董事11人，4名关联董事回避表决，其他7名非关联董事（包括4名独立董事）一致同意该议案。参加表决的董事人数符合法定比例，会议的召开及表决程序合法有效。</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本次持续性关联交易尚需履行股东大会批准程序，关联股东山东能源需回避表决。</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2.独立董事事前认可意见及独立意见</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公司4名独立董事于2023年8月24日发表事前认可意见，同意将《关于签署与控股股东部分持续性关联交易协议的议案》提交公司第九届董事会第二次会议讨论审议。</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公司独立董事审阅了持续性关联交易相关材料后，在董事会上发表独立意见如下：</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（1）公司董事会对《关于签署与控股股东部分持续性关联交易协议的议案》的审议、表决程序符合法律、法规、上市监管规定及</w:t>
      </w:r>
      <w:r>
        <w:rPr>
          <w:rFonts w:hint="eastAsia" w:ascii="宋体" w:hAnsi="宋体" w:eastAsia="宋体" w:cs="宋体"/>
          <w:sz w:val="28"/>
          <w:szCs w:val="28"/>
        </w:rPr>
        <w:t>《公司章程》</w:t>
      </w:r>
      <w:r>
        <w:rPr>
          <w:rFonts w:hint="eastAsia" w:ascii="宋体" w:hAnsi="宋体" w:eastAsia="宋体" w:cs="宋体"/>
          <w:color w:val="000000" w:themeColor="text1"/>
          <w:spacing w:val="-1"/>
          <w:sz w:val="28"/>
          <w:szCs w:val="28"/>
          <w14:textFill>
            <w14:solidFill>
              <w14:schemeClr w14:val="tx1"/>
            </w14:solidFill>
          </w14:textFill>
        </w:rPr>
        <w:t>规定。</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2）本次调整大宗商品购销持续性关联交易2023年度交易上限金额、并通过新的《大宗商品购销协议》《融资租赁协议》《委托管理服务框架协议》以及各协议于各年度交易上限金额，系基于公司及附属公司正常的日常经营需要，体现公平合理原则，符合公司及全体股东利益；本次持续性关联交易事项不会对公司现在及将来的财务状况、经营成果产生不利影响，不会对公司独立性产生影响。公司业务没有因本次持续性关联交易而对控股股东形成依赖。</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（3）签订的关联交易协议乃按一般商业条款订立，关联交易的上限交易金额对公司及独立股东而言公平合理，订立关联交易协议符合公司及独立股东整体利益。</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（4）关联董事回避了本议案的表决，符合相关法律法规和上市地监管规定要求。</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lang w:val="en-US"/>
          <w14:textFill>
            <w14:solidFill>
              <w14:schemeClr w14:val="tx1"/>
            </w14:solidFill>
          </w14:textFill>
        </w:rPr>
        <w:t>3.独立董事委员会发表的意见</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lang w:val="en-US"/>
          <w14:textFill>
            <w14:solidFill>
              <w14:schemeClr w14:val="tx1"/>
            </w14:solidFill>
          </w14:textFill>
        </w:rPr>
      </w:pPr>
      <w:r>
        <w:rPr>
          <w:rFonts w:hint="eastAsia" w:ascii="宋体" w:hAnsi="宋体" w:eastAsia="宋体" w:cs="宋体"/>
          <w:color w:val="000000" w:themeColor="text1"/>
          <w:spacing w:val="-1"/>
          <w:sz w:val="28"/>
          <w:szCs w:val="28"/>
          <w:lang w:val="en-US"/>
          <w14:textFill>
            <w14:solidFill>
              <w14:schemeClr w14:val="tx1"/>
            </w14:solidFill>
          </w14:textFill>
        </w:rPr>
        <w:t>公司第九届董事会第二次会议讨论审议了《关于签署与控股股东部分持续性关联交易协议的议案》，批准成立独立董事委员会。根据公司上市地监管有关规定，独立董事委员会审阅了持续性关联交易相关材料，发表以下审核意见：</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lang w:val="en-US"/>
          <w14:textFill>
            <w14:solidFill>
              <w14:schemeClr w14:val="tx1"/>
            </w14:solidFill>
          </w14:textFill>
        </w:rPr>
      </w:pPr>
      <w:r>
        <w:rPr>
          <w:rFonts w:hint="eastAsia" w:ascii="宋体" w:hAnsi="宋体" w:eastAsia="宋体" w:cs="宋体"/>
          <w:color w:val="000000" w:themeColor="text1"/>
          <w:spacing w:val="-1"/>
          <w:sz w:val="28"/>
          <w:szCs w:val="28"/>
          <w:lang w:val="en-US"/>
          <w14:textFill>
            <w14:solidFill>
              <w14:schemeClr w14:val="tx1"/>
            </w14:solidFill>
          </w14:textFill>
        </w:rPr>
        <w:t>（1）公司董事会对《关于签署与控股股东部分持续性关联交易协议的议案》的审议、表决程序符合法律法规、上市地监管规则及</w:t>
      </w:r>
      <w:r>
        <w:rPr>
          <w:rFonts w:hint="eastAsia" w:ascii="宋体" w:hAnsi="宋体" w:eastAsia="宋体" w:cs="宋体"/>
          <w:sz w:val="28"/>
          <w:szCs w:val="28"/>
        </w:rPr>
        <w:t>《公司章程》</w:t>
      </w:r>
      <w:r>
        <w:rPr>
          <w:rFonts w:hint="eastAsia" w:ascii="宋体" w:hAnsi="宋体" w:eastAsia="宋体" w:cs="宋体"/>
          <w:color w:val="000000" w:themeColor="text1"/>
          <w:spacing w:val="-1"/>
          <w:sz w:val="28"/>
          <w:szCs w:val="28"/>
          <w:lang w:val="en-US"/>
          <w14:textFill>
            <w14:solidFill>
              <w14:schemeClr w14:val="tx1"/>
            </w14:solidFill>
          </w14:textFill>
        </w:rPr>
        <w:t>规定。</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color w:val="000000" w:themeColor="text1"/>
          <w:spacing w:val="-1"/>
          <w:sz w:val="28"/>
          <w:szCs w:val="28"/>
          <w:lang w:val="en-US"/>
          <w14:textFill>
            <w14:solidFill>
              <w14:schemeClr w14:val="tx1"/>
            </w14:solidFill>
          </w14:textFill>
        </w:rPr>
      </w:pPr>
      <w:r>
        <w:rPr>
          <w:rFonts w:hint="eastAsia" w:ascii="宋体" w:hAnsi="宋体" w:eastAsia="宋体" w:cs="宋体"/>
          <w:color w:val="000000" w:themeColor="text1"/>
          <w:spacing w:val="-1"/>
          <w:sz w:val="28"/>
          <w:szCs w:val="28"/>
          <w:lang w:val="en-US"/>
          <w14:textFill>
            <w14:solidFill>
              <w14:schemeClr w14:val="tx1"/>
            </w14:solidFill>
          </w14:textFill>
        </w:rPr>
        <w:t>（2）本次调整大宗商品购销持续性关联交易2023年度交易上限金额、</w:t>
      </w:r>
      <w:r>
        <w:rPr>
          <w:rFonts w:hint="eastAsia" w:ascii="宋体" w:hAnsi="宋体" w:eastAsia="宋体" w:cs="宋体"/>
          <w:bCs/>
          <w:color w:val="000000" w:themeColor="text1"/>
          <w:spacing w:val="-1"/>
          <w:sz w:val="28"/>
          <w:szCs w:val="28"/>
          <w:lang w:val="en-US"/>
          <w14:textFill>
            <w14:solidFill>
              <w14:schemeClr w14:val="tx1"/>
            </w14:solidFill>
          </w14:textFill>
        </w:rPr>
        <w:t>并通过新的《大宗商品购销协议》《融资租赁协议》《委托管理服务框架协议》以及各协议于各年度交易上限金额，系基于</w:t>
      </w:r>
      <w:r>
        <w:rPr>
          <w:rFonts w:hint="eastAsia" w:ascii="宋体" w:hAnsi="宋体" w:eastAsia="宋体" w:cs="宋体"/>
          <w:color w:val="000000" w:themeColor="text1"/>
          <w:spacing w:val="-1"/>
          <w:sz w:val="28"/>
          <w:szCs w:val="28"/>
          <w:lang w:val="en-US"/>
          <w14:textFill>
            <w14:solidFill>
              <w14:schemeClr w14:val="tx1"/>
            </w14:solidFill>
          </w14:textFill>
        </w:rPr>
        <w:t>公司及附属公司日常经营需要，体现公平合理原则，符合公司及全体股东利益；本次持续性关联交易事项不会对公司现在及将来的财务状况、经营成果产生不利影响，不会对公司独立性产生影响。公司业务没有因本次持续性关联交易而对控股股东形成依赖。</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bCs/>
          <w:color w:val="000000"/>
          <w:sz w:val="28"/>
          <w:szCs w:val="28"/>
          <w:lang w:val="en-US"/>
        </w:rPr>
      </w:pPr>
      <w:r>
        <w:rPr>
          <w:rFonts w:hint="eastAsia" w:ascii="宋体" w:hAnsi="宋体" w:eastAsia="宋体" w:cs="宋体"/>
          <w:color w:val="000000" w:themeColor="text1"/>
          <w:spacing w:val="-1"/>
          <w:sz w:val="28"/>
          <w:szCs w:val="28"/>
          <w:lang w:val="en-US"/>
          <w14:textFill>
            <w14:solidFill>
              <w14:schemeClr w14:val="tx1"/>
            </w14:solidFill>
          </w14:textFill>
        </w:rPr>
        <w:t>（3）本次续签的新的《大宗商品购销协议》《融资租赁协议》及《委托管理服务框架协议》按一般商业条款订立，定价公平合理，建议公司独立股东于公司股东大会上投票赞成本次持续关联交易事项。</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jc w:val="both"/>
        <w:textAlignment w:val="auto"/>
        <w:rPr>
          <w:rFonts w:hint="eastAsia" w:ascii="宋体" w:hAnsi="宋体" w:eastAsia="宋体" w:cs="宋体"/>
          <w:bCs/>
          <w:color w:val="000000"/>
          <w:sz w:val="28"/>
          <w:szCs w:val="28"/>
          <w:lang w:val="en-US"/>
        </w:rPr>
      </w:pPr>
      <w:r>
        <w:rPr>
          <w:rFonts w:hint="eastAsia" w:ascii="宋体" w:hAnsi="宋体" w:eastAsia="宋体" w:cs="宋体"/>
          <w:bCs/>
          <w:color w:val="000000"/>
          <w:sz w:val="28"/>
          <w:szCs w:val="28"/>
          <w:lang w:val="en-US"/>
        </w:rPr>
        <w:t>4.独立财务顾问意见</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bCs/>
          <w:color w:val="000000" w:themeColor="text1"/>
          <w:spacing w:val="-1"/>
          <w:sz w:val="28"/>
          <w:szCs w:val="28"/>
          <w:lang w:val="en-US"/>
          <w14:textFill>
            <w14:solidFill>
              <w14:schemeClr w14:val="tx1"/>
            </w14:solidFill>
          </w14:textFill>
        </w:rPr>
      </w:pPr>
      <w:r>
        <w:rPr>
          <w:rFonts w:hint="eastAsia" w:ascii="宋体" w:hAnsi="宋体" w:eastAsia="宋体" w:cs="宋体"/>
          <w:bCs/>
          <w:color w:val="000000" w:themeColor="text1"/>
          <w:spacing w:val="-1"/>
          <w:sz w:val="28"/>
          <w:szCs w:val="28"/>
          <w:lang w:val="en-US"/>
          <w14:textFill>
            <w14:solidFill>
              <w14:schemeClr w14:val="tx1"/>
            </w14:solidFill>
          </w14:textFill>
        </w:rPr>
        <w:t>根据《香港联合交易所有限公司证券上市规则》（“香港上市规则”），公司聘请了独立财务顾问，并依据香港上市规则就本次持续性关联交易向独立董事委员会和独立股东提出建议。有关详情公司将刊发于根据香港上市规则编制的《股东通函》。</w:t>
      </w:r>
    </w:p>
    <w:p>
      <w:pPr>
        <w:pStyle w:val="3"/>
        <w:keepNext w:val="0"/>
        <w:keepLines w:val="0"/>
        <w:pageBreakBefore w:val="0"/>
        <w:widowControl w:val="0"/>
        <w:kinsoku/>
        <w:wordWrap/>
        <w:overflowPunct/>
        <w:topLinePunct w:val="0"/>
        <w:autoSpaceDE w:val="0"/>
        <w:autoSpaceDN w:val="0"/>
        <w:bidi w:val="0"/>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（二）现行持续性关联交易的上限额度及执行情况</w:t>
      </w:r>
    </w:p>
    <w:p>
      <w:pPr>
        <w:keepNext w:val="0"/>
        <w:keepLines w:val="0"/>
        <w:pageBreakBefore w:val="0"/>
        <w:widowControl w:val="0"/>
        <w:kinsoku/>
        <w:wordWrap/>
        <w:overflowPunct/>
        <w:topLinePunct w:val="0"/>
        <w:autoSpaceDE w:val="0"/>
        <w:autoSpaceDN w:val="0"/>
        <w:bidi w:val="0"/>
        <w:snapToGrid/>
        <w:spacing w:line="520" w:lineRule="exact"/>
        <w:ind w:firstLine="556" w:firstLineChars="200"/>
        <w:jc w:val="both"/>
        <w:textAlignment w:val="auto"/>
        <w:rPr>
          <w:rFonts w:hint="eastAsia" w:ascii="宋体" w:hAnsi="宋体" w:eastAsia="宋体" w:cs="宋体"/>
          <w:i/>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现行持续性关联交易执行依据及2021-2023年度交易上限金额及相关期间实际执行情况如下表所示：</w:t>
      </w:r>
    </w:p>
    <w:p>
      <w:pPr>
        <w:ind w:firstLine="416" w:firstLineChars="200"/>
        <w:jc w:val="right"/>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单位：人民币千元</w:t>
      </w:r>
    </w:p>
    <w:tbl>
      <w:tblPr>
        <w:tblStyle w:val="11"/>
        <w:tblW w:w="5639"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778"/>
        <w:gridCol w:w="664"/>
        <w:gridCol w:w="1258"/>
        <w:gridCol w:w="1157"/>
        <w:gridCol w:w="1259"/>
        <w:gridCol w:w="1157"/>
        <w:gridCol w:w="1366"/>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交易协议</w:t>
            </w:r>
          </w:p>
        </w:tc>
        <w:tc>
          <w:tcPr>
            <w:tcW w:w="1403" w:type="dxa"/>
            <w:gridSpan w:val="2"/>
            <w:vMerge w:val="restart"/>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交易类型</w:t>
            </w:r>
          </w:p>
        </w:tc>
        <w:tc>
          <w:tcPr>
            <w:tcW w:w="2351" w:type="dxa"/>
            <w:gridSpan w:val="2"/>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021</w:t>
            </w:r>
            <w:r>
              <w:rPr>
                <w:rFonts w:hint="eastAsia" w:ascii="Times New Roman" w:hAnsi="Times New Roman" w:cs="Times New Roman"/>
                <w:color w:val="000000" w:themeColor="text1"/>
                <w:spacing w:val="-1"/>
                <w:sz w:val="21"/>
                <w:szCs w:val="21"/>
                <w14:textFill>
                  <w14:solidFill>
                    <w14:schemeClr w14:val="tx1"/>
                  </w14:solidFill>
                </w14:textFill>
              </w:rPr>
              <w:t>年度</w:t>
            </w:r>
          </w:p>
        </w:tc>
        <w:tc>
          <w:tcPr>
            <w:tcW w:w="2352" w:type="dxa"/>
            <w:gridSpan w:val="2"/>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022</w:t>
            </w:r>
            <w:r>
              <w:rPr>
                <w:rFonts w:hint="eastAsia" w:ascii="Times New Roman" w:hAnsi="Times New Roman" w:cs="Times New Roman"/>
                <w:color w:val="000000" w:themeColor="text1"/>
                <w:spacing w:val="-1"/>
                <w:sz w:val="21"/>
                <w:szCs w:val="21"/>
                <w14:textFill>
                  <w14:solidFill>
                    <w14:schemeClr w14:val="tx1"/>
                  </w14:solidFill>
                </w14:textFill>
              </w:rPr>
              <w:t>年度</w:t>
            </w:r>
          </w:p>
        </w:tc>
        <w:tc>
          <w:tcPr>
            <w:tcW w:w="2606" w:type="dxa"/>
            <w:gridSpan w:val="2"/>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023</w:t>
            </w:r>
            <w:r>
              <w:rPr>
                <w:rFonts w:hint="eastAsia" w:ascii="Times New Roman" w:hAnsi="Times New Roman" w:cs="Times New Roman"/>
                <w:color w:val="000000" w:themeColor="text1"/>
                <w:spacing w:val="-1"/>
                <w:sz w:val="21"/>
                <w:szCs w:val="21"/>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Pr>
          <w:p>
            <w:pPr>
              <w:jc w:val="both"/>
              <w:rPr>
                <w:rFonts w:ascii="Times New Roman" w:hAnsi="Times New Roman" w:cs="Times New Roman"/>
                <w:color w:val="000000" w:themeColor="text1"/>
                <w:spacing w:val="-1"/>
                <w:sz w:val="21"/>
                <w:szCs w:val="21"/>
                <w14:textFill>
                  <w14:solidFill>
                    <w14:schemeClr w14:val="tx1"/>
                  </w14:solidFill>
                </w14:textFill>
              </w:rPr>
            </w:pPr>
          </w:p>
        </w:tc>
        <w:tc>
          <w:tcPr>
            <w:tcW w:w="1403" w:type="dxa"/>
            <w:gridSpan w:val="2"/>
            <w:vMerge w:val="continue"/>
          </w:tcPr>
          <w:p>
            <w:pPr>
              <w:jc w:val="center"/>
              <w:rPr>
                <w:rFonts w:ascii="Times New Roman" w:hAnsi="Times New Roman" w:cs="Times New Roman"/>
                <w:color w:val="000000" w:themeColor="text1"/>
                <w:spacing w:val="-1"/>
                <w:sz w:val="21"/>
                <w:szCs w:val="21"/>
                <w14:textFill>
                  <w14:solidFill>
                    <w14:schemeClr w14:val="tx1"/>
                  </w14:solidFill>
                </w14:textFill>
              </w:rPr>
            </w:pPr>
          </w:p>
        </w:tc>
        <w:tc>
          <w:tcPr>
            <w:tcW w:w="1225"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截至2</w:t>
            </w:r>
            <w:r>
              <w:rPr>
                <w:rFonts w:ascii="Times New Roman" w:hAnsi="Times New Roman" w:cs="Times New Roman"/>
                <w:color w:val="000000" w:themeColor="text1"/>
                <w:spacing w:val="-1"/>
                <w:sz w:val="21"/>
                <w:szCs w:val="21"/>
                <w14:textFill>
                  <w14:solidFill>
                    <w14:schemeClr w14:val="tx1"/>
                  </w14:solidFill>
                </w14:textFill>
              </w:rPr>
              <w:t>021</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2</w:t>
            </w:r>
            <w:r>
              <w:rPr>
                <w:rFonts w:hint="eastAsia" w:ascii="Times New Roman" w:hAnsi="Times New Roman" w:cs="Times New Roman"/>
                <w:color w:val="000000" w:themeColor="text1"/>
                <w:spacing w:val="-1"/>
                <w:sz w:val="21"/>
                <w:szCs w:val="21"/>
                <w14:textFill>
                  <w14:solidFill>
                    <w14:schemeClr w14:val="tx1"/>
                  </w14:solidFill>
                </w14:textFill>
              </w:rPr>
              <w:t>月3</w:t>
            </w:r>
            <w:r>
              <w:rPr>
                <w:rFonts w:ascii="Times New Roman" w:hAnsi="Times New Roman" w:cs="Times New Roman"/>
                <w:color w:val="000000" w:themeColor="text1"/>
                <w:spacing w:val="-1"/>
                <w:sz w:val="21"/>
                <w:szCs w:val="21"/>
                <w14:textFill>
                  <w14:solidFill>
                    <w14:schemeClr w14:val="tx1"/>
                  </w14:solidFill>
                </w14:textFill>
              </w:rPr>
              <w:t>1</w:t>
            </w:r>
            <w:r>
              <w:rPr>
                <w:rFonts w:hint="eastAsia" w:ascii="Times New Roman" w:hAnsi="Times New Roman" w:cs="Times New Roman"/>
                <w:color w:val="000000" w:themeColor="text1"/>
                <w:spacing w:val="-1"/>
                <w:sz w:val="21"/>
                <w:szCs w:val="21"/>
                <w14:textFill>
                  <w14:solidFill>
                    <w14:schemeClr w14:val="tx1"/>
                  </w14:solidFill>
                </w14:textFill>
              </w:rPr>
              <w:t>日止年度交易上限金额</w:t>
            </w:r>
          </w:p>
        </w:tc>
        <w:tc>
          <w:tcPr>
            <w:tcW w:w="1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截至2</w:t>
            </w:r>
            <w:r>
              <w:rPr>
                <w:rFonts w:ascii="Times New Roman" w:hAnsi="Times New Roman" w:cs="Times New Roman"/>
                <w:color w:val="000000" w:themeColor="text1"/>
                <w:spacing w:val="-1"/>
                <w:sz w:val="21"/>
                <w:szCs w:val="21"/>
                <w14:textFill>
                  <w14:solidFill>
                    <w14:schemeClr w14:val="tx1"/>
                  </w14:solidFill>
                </w14:textFill>
              </w:rPr>
              <w:t>021</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2</w:t>
            </w:r>
            <w:r>
              <w:rPr>
                <w:rFonts w:hint="eastAsia" w:ascii="Times New Roman" w:hAnsi="Times New Roman" w:cs="Times New Roman"/>
                <w:color w:val="000000" w:themeColor="text1"/>
                <w:spacing w:val="-1"/>
                <w:sz w:val="21"/>
                <w:szCs w:val="21"/>
                <w14:textFill>
                  <w14:solidFill>
                    <w14:schemeClr w14:val="tx1"/>
                  </w14:solidFill>
                </w14:textFill>
              </w:rPr>
              <w:t>月3</w:t>
            </w:r>
            <w:r>
              <w:rPr>
                <w:rFonts w:ascii="Times New Roman" w:hAnsi="Times New Roman" w:cs="Times New Roman"/>
                <w:color w:val="000000" w:themeColor="text1"/>
                <w:spacing w:val="-1"/>
                <w:sz w:val="21"/>
                <w:szCs w:val="21"/>
                <w14:textFill>
                  <w14:solidFill>
                    <w14:schemeClr w14:val="tx1"/>
                  </w14:solidFill>
                </w14:textFill>
              </w:rPr>
              <w:t>1</w:t>
            </w:r>
            <w:r>
              <w:rPr>
                <w:rFonts w:hint="eastAsia" w:ascii="Times New Roman" w:hAnsi="Times New Roman" w:cs="Times New Roman"/>
                <w:color w:val="000000" w:themeColor="text1"/>
                <w:spacing w:val="-1"/>
                <w:sz w:val="21"/>
                <w:szCs w:val="21"/>
                <w14:textFill>
                  <w14:solidFill>
                    <w14:schemeClr w14:val="tx1"/>
                  </w14:solidFill>
                </w14:textFill>
              </w:rPr>
              <w:t>日止实际执行金额</w:t>
            </w:r>
          </w:p>
        </w:tc>
        <w:tc>
          <w:tcPr>
            <w:tcW w:w="12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截至2</w:t>
            </w:r>
            <w:r>
              <w:rPr>
                <w:rFonts w:ascii="Times New Roman" w:hAnsi="Times New Roman" w:cs="Times New Roman"/>
                <w:color w:val="000000" w:themeColor="text1"/>
                <w:spacing w:val="-1"/>
                <w:sz w:val="21"/>
                <w:szCs w:val="21"/>
                <w14:textFill>
                  <w14:solidFill>
                    <w14:schemeClr w14:val="tx1"/>
                  </w14:solidFill>
                </w14:textFill>
              </w:rPr>
              <w:t>022</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2</w:t>
            </w:r>
            <w:r>
              <w:rPr>
                <w:rFonts w:hint="eastAsia" w:ascii="Times New Roman" w:hAnsi="Times New Roman" w:cs="Times New Roman"/>
                <w:color w:val="000000" w:themeColor="text1"/>
                <w:spacing w:val="-1"/>
                <w:sz w:val="21"/>
                <w:szCs w:val="21"/>
                <w14:textFill>
                  <w14:solidFill>
                    <w14:schemeClr w14:val="tx1"/>
                  </w14:solidFill>
                </w14:textFill>
              </w:rPr>
              <w:t>月3</w:t>
            </w:r>
            <w:r>
              <w:rPr>
                <w:rFonts w:ascii="Times New Roman" w:hAnsi="Times New Roman" w:cs="Times New Roman"/>
                <w:color w:val="000000" w:themeColor="text1"/>
                <w:spacing w:val="-1"/>
                <w:sz w:val="21"/>
                <w:szCs w:val="21"/>
                <w14:textFill>
                  <w14:solidFill>
                    <w14:schemeClr w14:val="tx1"/>
                  </w14:solidFill>
                </w14:textFill>
              </w:rPr>
              <w:t>1</w:t>
            </w:r>
            <w:r>
              <w:rPr>
                <w:rFonts w:hint="eastAsia" w:ascii="Times New Roman" w:hAnsi="Times New Roman" w:cs="Times New Roman"/>
                <w:color w:val="000000" w:themeColor="text1"/>
                <w:spacing w:val="-1"/>
                <w:sz w:val="21"/>
                <w:szCs w:val="21"/>
                <w14:textFill>
                  <w14:solidFill>
                    <w14:schemeClr w14:val="tx1"/>
                  </w14:solidFill>
                </w14:textFill>
              </w:rPr>
              <w:t>日止年度交易上限金额</w:t>
            </w:r>
          </w:p>
        </w:tc>
        <w:tc>
          <w:tcPr>
            <w:tcW w:w="1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截至2</w:t>
            </w:r>
            <w:r>
              <w:rPr>
                <w:rFonts w:ascii="Times New Roman" w:hAnsi="Times New Roman" w:cs="Times New Roman"/>
                <w:color w:val="000000" w:themeColor="text1"/>
                <w:spacing w:val="-1"/>
                <w:sz w:val="21"/>
                <w:szCs w:val="21"/>
                <w14:textFill>
                  <w14:solidFill>
                    <w14:schemeClr w14:val="tx1"/>
                  </w14:solidFill>
                </w14:textFill>
              </w:rPr>
              <w:t>022</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2</w:t>
            </w:r>
            <w:r>
              <w:rPr>
                <w:rFonts w:hint="eastAsia" w:ascii="Times New Roman" w:hAnsi="Times New Roman" w:cs="Times New Roman"/>
                <w:color w:val="000000" w:themeColor="text1"/>
                <w:spacing w:val="-1"/>
                <w:sz w:val="21"/>
                <w:szCs w:val="21"/>
                <w14:textFill>
                  <w14:solidFill>
                    <w14:schemeClr w14:val="tx1"/>
                  </w14:solidFill>
                </w14:textFill>
              </w:rPr>
              <w:t>月3</w:t>
            </w:r>
            <w:r>
              <w:rPr>
                <w:rFonts w:ascii="Times New Roman" w:hAnsi="Times New Roman" w:cs="Times New Roman"/>
                <w:color w:val="000000" w:themeColor="text1"/>
                <w:spacing w:val="-1"/>
                <w:sz w:val="21"/>
                <w:szCs w:val="21"/>
                <w14:textFill>
                  <w14:solidFill>
                    <w14:schemeClr w14:val="tx1"/>
                  </w14:solidFill>
                </w14:textFill>
              </w:rPr>
              <w:t>1</w:t>
            </w:r>
            <w:r>
              <w:rPr>
                <w:rFonts w:hint="eastAsia" w:ascii="Times New Roman" w:hAnsi="Times New Roman" w:cs="Times New Roman"/>
                <w:color w:val="000000" w:themeColor="text1"/>
                <w:spacing w:val="-1"/>
                <w:sz w:val="21"/>
                <w:szCs w:val="21"/>
                <w14:textFill>
                  <w14:solidFill>
                    <w14:schemeClr w14:val="tx1"/>
                  </w14:solidFill>
                </w14:textFill>
              </w:rPr>
              <w:t>日止实际执行金额</w:t>
            </w:r>
          </w:p>
        </w:tc>
        <w:tc>
          <w:tcPr>
            <w:tcW w:w="1330"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截至2</w:t>
            </w:r>
            <w:r>
              <w:rPr>
                <w:rFonts w:ascii="Times New Roman" w:hAnsi="Times New Roman" w:cs="Times New Roman"/>
                <w:color w:val="000000" w:themeColor="text1"/>
                <w:spacing w:val="-1"/>
                <w:sz w:val="21"/>
                <w:szCs w:val="21"/>
                <w14:textFill>
                  <w14:solidFill>
                    <w14:schemeClr w14:val="tx1"/>
                  </w14:solidFill>
                </w14:textFill>
              </w:rPr>
              <w:t>023</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2</w:t>
            </w:r>
            <w:r>
              <w:rPr>
                <w:rFonts w:hint="eastAsia" w:ascii="Times New Roman" w:hAnsi="Times New Roman" w:cs="Times New Roman"/>
                <w:color w:val="000000" w:themeColor="text1"/>
                <w:spacing w:val="-1"/>
                <w:sz w:val="21"/>
                <w:szCs w:val="21"/>
                <w14:textFill>
                  <w14:solidFill>
                    <w14:schemeClr w14:val="tx1"/>
                  </w14:solidFill>
                </w14:textFill>
              </w:rPr>
              <w:t>月3</w:t>
            </w:r>
            <w:r>
              <w:rPr>
                <w:rFonts w:ascii="Times New Roman" w:hAnsi="Times New Roman" w:cs="Times New Roman"/>
                <w:color w:val="000000" w:themeColor="text1"/>
                <w:spacing w:val="-1"/>
                <w:sz w:val="21"/>
                <w:szCs w:val="21"/>
                <w14:textFill>
                  <w14:solidFill>
                    <w14:schemeClr w14:val="tx1"/>
                  </w14:solidFill>
                </w14:textFill>
              </w:rPr>
              <w:t>1</w:t>
            </w:r>
            <w:r>
              <w:rPr>
                <w:rFonts w:hint="eastAsia" w:ascii="Times New Roman" w:hAnsi="Times New Roman" w:cs="Times New Roman"/>
                <w:color w:val="000000" w:themeColor="text1"/>
                <w:spacing w:val="-1"/>
                <w:sz w:val="21"/>
                <w:szCs w:val="21"/>
                <w14:textFill>
                  <w14:solidFill>
                    <w14:schemeClr w14:val="tx1"/>
                  </w14:solidFill>
                </w14:textFill>
              </w:rPr>
              <w:t>日止年度交易上限金额</w:t>
            </w:r>
          </w:p>
        </w:tc>
        <w:tc>
          <w:tcPr>
            <w:tcW w:w="127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023</w:t>
            </w:r>
            <w:r>
              <w:rPr>
                <w:rFonts w:hint="eastAsia" w:ascii="Times New Roman" w:hAnsi="Times New Roman" w:cs="Times New Roman"/>
                <w:color w:val="000000" w:themeColor="text1"/>
                <w:spacing w:val="-1"/>
                <w:sz w:val="21"/>
                <w:szCs w:val="21"/>
                <w14:textFill>
                  <w14:solidFill>
                    <w14:schemeClr w14:val="tx1"/>
                  </w14:solidFill>
                </w14:textFill>
              </w:rPr>
              <w:t>年1月1日至2</w:t>
            </w:r>
            <w:r>
              <w:rPr>
                <w:rFonts w:ascii="Times New Roman" w:hAnsi="Times New Roman" w:cs="Times New Roman"/>
                <w:color w:val="000000" w:themeColor="text1"/>
                <w:spacing w:val="-1"/>
                <w:sz w:val="21"/>
                <w:szCs w:val="21"/>
                <w14:textFill>
                  <w14:solidFill>
                    <w14:schemeClr w14:val="tx1"/>
                  </w14:solidFill>
                </w14:textFill>
              </w:rPr>
              <w:t>023</w:t>
            </w:r>
            <w:r>
              <w:rPr>
                <w:rFonts w:hint="eastAsia" w:ascii="Times New Roman" w:hAnsi="Times New Roman" w:cs="Times New Roman"/>
                <w:color w:val="000000" w:themeColor="text1"/>
                <w:spacing w:val="-1"/>
                <w:sz w:val="21"/>
                <w:szCs w:val="21"/>
                <w14:textFill>
                  <w14:solidFill>
                    <w14:schemeClr w14:val="tx1"/>
                  </w14:solidFill>
                </w14:textFill>
              </w:rPr>
              <w:t>年6月3</w:t>
            </w:r>
            <w:r>
              <w:rPr>
                <w:rFonts w:ascii="Times New Roman" w:hAnsi="Times New Roman" w:cs="Times New Roman"/>
                <w:color w:val="000000" w:themeColor="text1"/>
                <w:spacing w:val="-1"/>
                <w:sz w:val="21"/>
                <w:szCs w:val="21"/>
                <w14:textFill>
                  <w14:solidFill>
                    <w14:schemeClr w14:val="tx1"/>
                  </w14:solidFill>
                </w14:textFill>
              </w:rPr>
              <w:t>0</w:t>
            </w:r>
            <w:r>
              <w:rPr>
                <w:rFonts w:hint="eastAsia" w:ascii="Times New Roman" w:hAnsi="Times New Roman" w:cs="Times New Roman"/>
                <w:color w:val="000000" w:themeColor="text1"/>
                <w:spacing w:val="-1"/>
                <w:sz w:val="21"/>
                <w:szCs w:val="21"/>
                <w14:textFill>
                  <w14:solidFill>
                    <w14:schemeClr w14:val="tx1"/>
                  </w14:solidFill>
                </w14:textFill>
              </w:rPr>
              <w:t>日期间实际执行金额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大宗商品购销协议</w:t>
            </w:r>
          </w:p>
        </w:tc>
        <w:tc>
          <w:tcPr>
            <w:tcW w:w="1403" w:type="dxa"/>
            <w:gridSpan w:val="2"/>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向控股股东采购大宗商品</w:t>
            </w:r>
          </w:p>
        </w:tc>
        <w:tc>
          <w:tcPr>
            <w:tcW w:w="1225"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500,000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rPr>
              <w:t>296,280</w:t>
            </w:r>
          </w:p>
        </w:tc>
        <w:tc>
          <w:tcPr>
            <w:tcW w:w="12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2,000,000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rPr>
              <w:t>321,071</w:t>
            </w:r>
          </w:p>
        </w:tc>
        <w:tc>
          <w:tcPr>
            <w:tcW w:w="1330"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2,000,000</w:t>
            </w:r>
          </w:p>
        </w:tc>
        <w:tc>
          <w:tcPr>
            <w:tcW w:w="127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373,917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p>
        </w:tc>
        <w:tc>
          <w:tcPr>
            <w:tcW w:w="1403" w:type="dxa"/>
            <w:gridSpan w:val="2"/>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向控股股东销售大宗商品</w:t>
            </w:r>
          </w:p>
        </w:tc>
        <w:tc>
          <w:tcPr>
            <w:tcW w:w="1225"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2,970,000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rPr>
              <w:t>2,303,620</w:t>
            </w:r>
          </w:p>
        </w:tc>
        <w:tc>
          <w:tcPr>
            <w:tcW w:w="12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3,270,000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rPr>
              <w:t>2,300,588</w:t>
            </w:r>
          </w:p>
        </w:tc>
        <w:tc>
          <w:tcPr>
            <w:tcW w:w="1330"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3,270,000</w:t>
            </w:r>
          </w:p>
        </w:tc>
        <w:tc>
          <w:tcPr>
            <w:tcW w:w="127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1,297,300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644" w:type="dxa"/>
            <w:vMerge w:val="restart"/>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融资租赁协议</w:t>
            </w:r>
          </w:p>
        </w:tc>
        <w:tc>
          <w:tcPr>
            <w:tcW w:w="757" w:type="dxa"/>
            <w:vMerge w:val="restart"/>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向控股股东提供融资租赁服务</w:t>
            </w:r>
          </w:p>
        </w:tc>
        <w:tc>
          <w:tcPr>
            <w:tcW w:w="64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租赁总额</w:t>
            </w:r>
          </w:p>
        </w:tc>
        <w:tc>
          <w:tcPr>
            <w:tcW w:w="1225"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6,510,000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0</w:t>
            </w:r>
          </w:p>
        </w:tc>
        <w:tc>
          <w:tcPr>
            <w:tcW w:w="12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7,595,000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0</w:t>
            </w:r>
          </w:p>
        </w:tc>
        <w:tc>
          <w:tcPr>
            <w:tcW w:w="1330"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8,680,000</w:t>
            </w:r>
          </w:p>
        </w:tc>
        <w:tc>
          <w:tcPr>
            <w:tcW w:w="127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p>
        </w:tc>
        <w:tc>
          <w:tcPr>
            <w:tcW w:w="757" w:type="dxa"/>
            <w:vMerge w:val="continue"/>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p>
        </w:tc>
        <w:tc>
          <w:tcPr>
            <w:tcW w:w="64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利息及费用</w:t>
            </w:r>
          </w:p>
        </w:tc>
        <w:tc>
          <w:tcPr>
            <w:tcW w:w="1225"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510,000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0</w:t>
            </w:r>
          </w:p>
        </w:tc>
        <w:tc>
          <w:tcPr>
            <w:tcW w:w="12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595,000</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0</w:t>
            </w:r>
          </w:p>
        </w:tc>
        <w:tc>
          <w:tcPr>
            <w:tcW w:w="1330"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680,000</w:t>
            </w:r>
          </w:p>
        </w:tc>
        <w:tc>
          <w:tcPr>
            <w:tcW w:w="127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委托管理服务框架协议</w:t>
            </w:r>
          </w:p>
        </w:tc>
        <w:tc>
          <w:tcPr>
            <w:tcW w:w="1403" w:type="dxa"/>
            <w:gridSpan w:val="2"/>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向控股股东提供委托管理服务</w:t>
            </w:r>
          </w:p>
        </w:tc>
        <w:tc>
          <w:tcPr>
            <w:tcW w:w="1225"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w:t>
            </w:r>
          </w:p>
        </w:tc>
        <w:tc>
          <w:tcPr>
            <w:tcW w:w="112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w:t>
            </w:r>
          </w:p>
        </w:tc>
        <w:tc>
          <w:tcPr>
            <w:tcW w:w="1226" w:type="dxa"/>
            <w:vAlign w:val="center"/>
          </w:tcPr>
          <w:p>
            <w:pPr>
              <w:jc w:val="center"/>
              <w:rPr>
                <w:rFonts w:ascii="Times New Roman" w:hAnsi="Times New Roman" w:cs="Times New Roman"/>
                <w:color w:val="FF0000"/>
                <w:spacing w:val="-1"/>
                <w:sz w:val="21"/>
                <w:szCs w:val="21"/>
              </w:rPr>
            </w:pPr>
            <w:r>
              <w:rPr>
                <w:rFonts w:ascii="Times New Roman" w:hAnsi="Times New Roman" w:cs="Times New Roman"/>
                <w:spacing w:val="-1"/>
                <w:sz w:val="21"/>
                <w:szCs w:val="21"/>
              </w:rPr>
              <w:t>60,000</w:t>
            </w:r>
          </w:p>
        </w:tc>
        <w:tc>
          <w:tcPr>
            <w:tcW w:w="1126" w:type="dxa"/>
            <w:vAlign w:val="center"/>
          </w:tcPr>
          <w:p>
            <w:pPr>
              <w:jc w:val="center"/>
              <w:rPr>
                <w:rFonts w:ascii="Times New Roman" w:hAnsi="Times New Roman" w:cs="Times New Roman"/>
                <w:color w:val="FF0000"/>
                <w:spacing w:val="-1"/>
                <w:sz w:val="21"/>
                <w:szCs w:val="21"/>
              </w:rPr>
            </w:pPr>
            <w:r>
              <w:rPr>
                <w:rFonts w:ascii="Times New Roman" w:hAnsi="Times New Roman" w:cs="Times New Roman"/>
              </w:rPr>
              <w:t>4,303</w:t>
            </w:r>
          </w:p>
        </w:tc>
        <w:tc>
          <w:tcPr>
            <w:tcW w:w="1330" w:type="dxa"/>
            <w:vAlign w:val="center"/>
          </w:tcPr>
          <w:p>
            <w:pPr>
              <w:jc w:val="center"/>
              <w:rPr>
                <w:rFonts w:ascii="Times New Roman" w:hAnsi="Times New Roman" w:cs="Times New Roman"/>
                <w:color w:val="FF0000"/>
                <w:spacing w:val="-1"/>
                <w:sz w:val="21"/>
                <w:szCs w:val="21"/>
              </w:rPr>
            </w:pPr>
            <w:r>
              <w:rPr>
                <w:rFonts w:ascii="Times New Roman" w:hAnsi="Times New Roman" w:cs="Times New Roman"/>
                <w:spacing w:val="-1"/>
                <w:sz w:val="21"/>
                <w:szCs w:val="21"/>
              </w:rPr>
              <w:t>60,000</w:t>
            </w:r>
          </w:p>
        </w:tc>
        <w:tc>
          <w:tcPr>
            <w:tcW w:w="1276" w:type="dxa"/>
            <w:vAlign w:val="center"/>
          </w:tcPr>
          <w:p>
            <w:pPr>
              <w:jc w:val="center"/>
              <w:rPr>
                <w:rFonts w:ascii="Times New Roman" w:hAnsi="Times New Roman" w:cs="Times New Roman"/>
                <w:spacing w:val="-1"/>
                <w:sz w:val="21"/>
                <w:szCs w:val="21"/>
              </w:rPr>
            </w:pPr>
            <w:r>
              <w:rPr>
                <w:rFonts w:ascii="Times New Roman" w:hAnsi="Times New Roman" w:cs="Times New Roman"/>
                <w:spacing w:val="-1"/>
                <w:sz w:val="21"/>
                <w:szCs w:val="21"/>
              </w:rPr>
              <w:t>2,151</w:t>
            </w:r>
          </w:p>
        </w:tc>
      </w:tr>
    </w:tbl>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公司依据现行《大宗商品购销协议》与山东能源进行大宗商品购销的实际执行金额小于年度交易上限金额，差额占公司最近一期经审计净资产0.5%以上，主要原因是：受煤炭市场供需形势频繁变化及煤炭保供政策调整影响，煤炭市场价格及供给情况大幅波动，部分贸易业务未能按计划开展。</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公司依据现行《融资租赁协议》向山东能源提供融资租赁服务的实际执行金额小于年度交易上限金额，差额占公司最近一期经审计净资产0.5%以上，主要原因是：原计划合作建设项目因不可抗力或行政审批因素未及时开工，融资租赁业务无法开展。</w:t>
      </w:r>
    </w:p>
    <w:p>
      <w:pPr>
        <w:pStyle w:val="3"/>
        <w:keepNext w:val="0"/>
        <w:keepLines w:val="0"/>
        <w:pageBreakBefore w:val="0"/>
        <w:widowControl w:val="0"/>
        <w:kinsoku/>
        <w:wordWrap/>
        <w:overflowPunct/>
        <w:topLinePunct w:val="0"/>
        <w:autoSpaceDE w:val="0"/>
        <w:autoSpaceDN w:val="0"/>
        <w:bidi w:val="0"/>
        <w:adjustRightInd/>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（三）调整</w:t>
      </w:r>
      <w:r>
        <w:rPr>
          <w:rFonts w:hint="eastAsia" w:ascii="楷体_GB2312" w:hAnsi="楷体_GB2312" w:eastAsia="楷体_GB2312" w:cs="楷体_GB2312"/>
          <w:sz w:val="28"/>
          <w:szCs w:val="28"/>
          <w:lang w:val="en-US"/>
        </w:rPr>
        <w:t>《大宗商品购销协议》项下大宗商品购销持续性关联交易</w:t>
      </w:r>
      <w:r>
        <w:rPr>
          <w:rFonts w:hint="eastAsia" w:ascii="楷体_GB2312" w:hAnsi="楷体_GB2312" w:eastAsia="楷体_GB2312" w:cs="楷体_GB2312"/>
          <w:sz w:val="28"/>
          <w:szCs w:val="28"/>
        </w:rPr>
        <w:t>2023年度交易上限额度</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ascii="Times New Roman" w:hAnsi="Times New Roman" w:cs="Times New Roman"/>
          <w:i/>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由于山东能源附属贸易公司具有经营煤炭进口业务的相关资质与下游客户资源，公司境外附属公司拟通过山东能源附属贸易公司拓展煤炭销售渠道、</w:t>
      </w:r>
      <w:r>
        <w:rPr>
          <w:rFonts w:hint="eastAsia" w:ascii="宋体" w:hAnsi="宋体" w:eastAsia="宋体" w:cs="宋体"/>
          <w:bCs/>
          <w:color w:val="000000" w:themeColor="text1"/>
          <w:spacing w:val="-1"/>
          <w:sz w:val="28"/>
          <w:szCs w:val="28"/>
          <w:lang w:val="en-US"/>
          <w14:textFill>
            <w14:solidFill>
              <w14:schemeClr w14:val="tx1"/>
            </w14:solidFill>
          </w14:textFill>
        </w:rPr>
        <w:t>扩大销售规模，并利用中国境内外煤炭市场价格走势的差异，提高盈利能力、规避市场风险</w:t>
      </w:r>
      <w:r>
        <w:rPr>
          <w:rFonts w:hint="eastAsia" w:ascii="宋体" w:hAnsi="宋体" w:eastAsia="宋体" w:cs="宋体"/>
          <w:bCs/>
          <w:color w:val="000000"/>
          <w:sz w:val="28"/>
          <w:szCs w:val="28"/>
          <w:lang w:val="en-US"/>
        </w:rPr>
        <w:t>，预计在现行《大宗商品购销协议》项下，2023年度公司向山东能源销售大宗商品持续性关联交易的发生额可能超过现行2023年度交易上限金额。具体调整情况如下：</w:t>
      </w:r>
    </w:p>
    <w:p>
      <w:pPr>
        <w:ind w:firstLine="416" w:firstLineChars="200"/>
        <w:jc w:val="right"/>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单位：人民币千元</w:t>
      </w:r>
    </w:p>
    <w:tbl>
      <w:tblPr>
        <w:tblStyle w:val="11"/>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2621"/>
        <w:gridCol w:w="262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交易协议</w:t>
            </w:r>
          </w:p>
        </w:tc>
        <w:tc>
          <w:tcPr>
            <w:tcW w:w="2552" w:type="dxa"/>
            <w:vMerge w:val="restart"/>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交易类型</w:t>
            </w:r>
          </w:p>
        </w:tc>
        <w:tc>
          <w:tcPr>
            <w:tcW w:w="4962" w:type="dxa"/>
            <w:gridSpan w:val="2"/>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w:t>
            </w:r>
            <w:r>
              <w:rPr>
                <w:rFonts w:ascii="Times New Roman" w:hAnsi="Times New Roman" w:cs="Times New Roman"/>
                <w:color w:val="000000" w:themeColor="text1"/>
                <w:spacing w:val="-1"/>
                <w:sz w:val="21"/>
                <w:szCs w:val="21"/>
                <w14:textFill>
                  <w14:solidFill>
                    <w14:schemeClr w14:val="tx1"/>
                  </w14:solidFill>
                </w14:textFill>
              </w:rPr>
              <w:t>2023</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2</w:t>
            </w:r>
            <w:r>
              <w:rPr>
                <w:rFonts w:hint="eastAsia" w:ascii="Times New Roman" w:hAnsi="Times New Roman" w:cs="Times New Roman"/>
                <w:color w:val="000000" w:themeColor="text1"/>
                <w:spacing w:val="-1"/>
                <w:sz w:val="21"/>
                <w:szCs w:val="21"/>
                <w14:textFill>
                  <w14:solidFill>
                    <w14:schemeClr w14:val="tx1"/>
                  </w14:solidFill>
                </w14:textFill>
              </w:rPr>
              <w:t>月3</w:t>
            </w:r>
            <w:r>
              <w:rPr>
                <w:rFonts w:ascii="Times New Roman" w:hAnsi="Times New Roman" w:cs="Times New Roman"/>
                <w:color w:val="000000" w:themeColor="text1"/>
                <w:spacing w:val="-1"/>
                <w:sz w:val="21"/>
                <w:szCs w:val="21"/>
                <w14:textFill>
                  <w14:solidFill>
                    <w14:schemeClr w14:val="tx1"/>
                  </w14:solidFill>
                </w14:textFill>
              </w:rPr>
              <w:t>1</w:t>
            </w:r>
            <w:r>
              <w:rPr>
                <w:rFonts w:hint="eastAsia" w:ascii="Times New Roman" w:hAnsi="Times New Roman" w:cs="Times New Roman"/>
                <w:color w:val="000000" w:themeColor="text1"/>
                <w:spacing w:val="-1"/>
                <w:sz w:val="21"/>
                <w:szCs w:val="21"/>
                <w14:textFill>
                  <w14:solidFill>
                    <w14:schemeClr w14:val="tx1"/>
                  </w14:solidFill>
                </w14:textFill>
              </w:rPr>
              <w:t>日止交易上限金额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p>
        </w:tc>
        <w:tc>
          <w:tcPr>
            <w:tcW w:w="2552" w:type="dxa"/>
            <w:vMerge w:val="continue"/>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p>
        </w:tc>
        <w:tc>
          <w:tcPr>
            <w:tcW w:w="2551"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调整前</w:t>
            </w:r>
          </w:p>
        </w:tc>
        <w:tc>
          <w:tcPr>
            <w:tcW w:w="2411"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大宗商品购销协议</w:t>
            </w:r>
          </w:p>
        </w:tc>
        <w:tc>
          <w:tcPr>
            <w:tcW w:w="2552" w:type="dxa"/>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向控股股东采购大宗商品</w:t>
            </w:r>
          </w:p>
        </w:tc>
        <w:tc>
          <w:tcPr>
            <w:tcW w:w="2551" w:type="dxa"/>
            <w:vAlign w:val="center"/>
          </w:tcPr>
          <w:p>
            <w:pPr>
              <w:jc w:val="center"/>
              <w:rPr>
                <w:rFonts w:ascii="Times New Roman" w:hAnsi="Times New Roman" w:cs="Times New Roman"/>
                <w:color w:val="FF0000"/>
                <w:spacing w:val="-1"/>
                <w:sz w:val="21"/>
                <w:szCs w:val="21"/>
              </w:rPr>
            </w:pPr>
            <w:r>
              <w:rPr>
                <w:rFonts w:ascii="Times New Roman" w:hAnsi="Times New Roman" w:cs="Times New Roman"/>
                <w:color w:val="000000" w:themeColor="text1"/>
                <w:spacing w:val="-1"/>
                <w:sz w:val="21"/>
                <w:szCs w:val="21"/>
                <w14:textFill>
                  <w14:solidFill>
                    <w14:schemeClr w14:val="tx1"/>
                  </w14:solidFill>
                </w14:textFill>
              </w:rPr>
              <w:t>2,000</w:t>
            </w:r>
            <w:r>
              <w:rPr>
                <w:rFonts w:hint="eastAsia" w:ascii="Times New Roman" w:hAnsi="Times New Roman" w:cs="Times New Roman"/>
                <w:color w:val="000000" w:themeColor="text1"/>
                <w:spacing w:val="-1"/>
                <w:sz w:val="21"/>
                <w:szCs w:val="21"/>
                <w14:textFill>
                  <w14:solidFill>
                    <w14:schemeClr w14:val="tx1"/>
                  </w14:solidFill>
                </w14:textFill>
              </w:rPr>
              <w:t>,</w:t>
            </w:r>
            <w:r>
              <w:rPr>
                <w:rFonts w:ascii="Times New Roman" w:hAnsi="Times New Roman" w:cs="Times New Roman"/>
                <w:color w:val="000000" w:themeColor="text1"/>
                <w:spacing w:val="-1"/>
                <w:sz w:val="21"/>
                <w:szCs w:val="21"/>
                <w14:textFill>
                  <w14:solidFill>
                    <w14:schemeClr w14:val="tx1"/>
                  </w14:solidFill>
                </w14:textFill>
              </w:rPr>
              <w:t>000</w:t>
            </w:r>
          </w:p>
        </w:tc>
        <w:tc>
          <w:tcPr>
            <w:tcW w:w="2411"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ascii="Times New Roman" w:hAnsi="Times New Roman" w:cs="Times New Roman"/>
                <w:color w:val="000000" w:themeColor="text1"/>
                <w:spacing w:val="-1"/>
                <w:sz w:val="21"/>
                <w:szCs w:val="21"/>
                <w14:textFill>
                  <w14:solidFill>
                    <w14:schemeClr w14:val="tx1"/>
                  </w14:solidFill>
                </w14:textFill>
              </w:rPr>
              <w:t>2,000</w:t>
            </w:r>
            <w:r>
              <w:rPr>
                <w:rFonts w:hint="eastAsia" w:ascii="Times New Roman" w:hAnsi="Times New Roman" w:cs="Times New Roman"/>
                <w:color w:val="000000" w:themeColor="text1"/>
                <w:spacing w:val="-1"/>
                <w:sz w:val="21"/>
                <w:szCs w:val="21"/>
                <w14:textFill>
                  <w14:solidFill>
                    <w14:schemeClr w14:val="tx1"/>
                  </w14:solidFill>
                </w14:textFill>
              </w:rPr>
              <w:t>,</w:t>
            </w:r>
            <w:r>
              <w:rPr>
                <w:rFonts w:ascii="Times New Roman" w:hAnsi="Times New Roman" w:cs="Times New Roman"/>
                <w:color w:val="000000" w:themeColor="text1"/>
                <w:spacing w:val="-1"/>
                <w:sz w:val="2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jc w:val="both"/>
              <w:rPr>
                <w:rFonts w:ascii="Times New Roman" w:hAnsi="Times New Roman" w:cs="Times New Roman"/>
                <w:bCs/>
                <w:color w:val="000000" w:themeColor="text1"/>
                <w:spacing w:val="-1"/>
                <w:sz w:val="21"/>
                <w:szCs w:val="21"/>
                <w:lang w:val="en-US"/>
                <w14:textFill>
                  <w14:solidFill>
                    <w14:schemeClr w14:val="tx1"/>
                  </w14:solidFill>
                </w14:textFill>
              </w:rPr>
            </w:pPr>
          </w:p>
        </w:tc>
        <w:tc>
          <w:tcPr>
            <w:tcW w:w="2552" w:type="dxa"/>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向控股股东销售大宗商品</w:t>
            </w:r>
          </w:p>
        </w:tc>
        <w:tc>
          <w:tcPr>
            <w:tcW w:w="2551"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ascii="Times New Roman" w:hAnsi="Times New Roman" w:cs="Times New Roman"/>
                <w:color w:val="000000" w:themeColor="text1"/>
                <w:spacing w:val="-1"/>
                <w:sz w:val="21"/>
                <w:szCs w:val="21"/>
                <w14:textFill>
                  <w14:solidFill>
                    <w14:schemeClr w14:val="tx1"/>
                  </w14:solidFill>
                </w14:textFill>
              </w:rPr>
              <w:t>3,270,000</w:t>
            </w:r>
          </w:p>
        </w:tc>
        <w:tc>
          <w:tcPr>
            <w:tcW w:w="2411"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6</w:t>
            </w:r>
            <w:r>
              <w:rPr>
                <w:rFonts w:ascii="Times New Roman" w:hAnsi="Times New Roman" w:cs="Times New Roman"/>
                <w:color w:val="000000" w:themeColor="text1"/>
                <w:spacing w:val="-1"/>
                <w:sz w:val="21"/>
                <w:szCs w:val="21"/>
                <w14:textFill>
                  <w14:solidFill>
                    <w14:schemeClr w14:val="tx1"/>
                  </w14:solidFill>
                </w14:textFill>
              </w:rPr>
              <w:t>,000</w:t>
            </w:r>
            <w:r>
              <w:rPr>
                <w:rFonts w:hint="eastAsia" w:ascii="Times New Roman" w:hAnsi="Times New Roman" w:cs="Times New Roman"/>
                <w:color w:val="000000" w:themeColor="text1"/>
                <w:spacing w:val="-1"/>
                <w:sz w:val="21"/>
                <w:szCs w:val="21"/>
                <w14:textFill>
                  <w14:solidFill>
                    <w14:schemeClr w14:val="tx1"/>
                  </w14:solidFill>
                </w14:textFill>
              </w:rPr>
              <w:t>,</w:t>
            </w:r>
            <w:r>
              <w:rPr>
                <w:rFonts w:ascii="Times New Roman" w:hAnsi="Times New Roman" w:cs="Times New Roman"/>
                <w:color w:val="000000" w:themeColor="text1"/>
                <w:spacing w:val="-1"/>
                <w:sz w:val="21"/>
                <w:szCs w:val="21"/>
                <w14:textFill>
                  <w14:solidFill>
                    <w14:schemeClr w14:val="tx1"/>
                  </w14:solidFill>
                </w14:textFill>
              </w:rPr>
              <w:t>000</w:t>
            </w:r>
          </w:p>
        </w:tc>
      </w:tr>
    </w:tbl>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宋体" w:hAnsi="宋体" w:eastAsia="宋体" w:cs="宋体"/>
          <w:bCs/>
          <w:color w:val="000000"/>
          <w:sz w:val="28"/>
          <w:szCs w:val="28"/>
          <w:lang w:val="en-US"/>
        </w:rPr>
      </w:pPr>
      <w:r>
        <w:rPr>
          <w:rFonts w:hint="eastAsia" w:ascii="宋体" w:hAnsi="宋体" w:eastAsia="宋体" w:cs="宋体"/>
          <w:bCs/>
          <w:color w:val="000000"/>
          <w:sz w:val="28"/>
          <w:szCs w:val="28"/>
          <w:lang w:val="en-US"/>
        </w:rPr>
        <w:t>现行《大宗商品购销协议》的条款将维持不变，有效期至2023年12月31日。截至本公告披露日，现行《大宗商品购销协议》项下公司向控股股东销售大宗商品持续关联交易的实际执行金额尚未超过现行2023年度交易上限金额。</w:t>
      </w:r>
    </w:p>
    <w:p>
      <w:pPr>
        <w:pStyle w:val="3"/>
        <w:keepNext w:val="0"/>
        <w:keepLines w:val="0"/>
        <w:pageBreakBefore w:val="0"/>
        <w:widowControl w:val="0"/>
        <w:kinsoku/>
        <w:wordWrap/>
        <w:overflowPunct/>
        <w:topLinePunct w:val="0"/>
        <w:autoSpaceDE w:val="0"/>
        <w:autoSpaceDN w:val="0"/>
        <w:bidi w:val="0"/>
        <w:adjustRightInd/>
        <w:snapToGrid/>
        <w:spacing w:line="520" w:lineRule="exact"/>
        <w:ind w:left="0" w:firstLine="562" w:firstLineChars="200"/>
        <w:jc w:val="both"/>
        <w:textAlignment w:val="auto"/>
        <w:rPr>
          <w:rFonts w:hint="eastAsia" w:ascii="楷体_GB2312" w:hAnsi="楷体_GB2312" w:eastAsia="楷体_GB2312" w:cs="楷体_GB2312"/>
          <w:bCs w:val="0"/>
          <w:color w:val="000000"/>
          <w:sz w:val="28"/>
          <w:szCs w:val="28"/>
          <w:lang w:val="en-US"/>
        </w:rPr>
      </w:pPr>
      <w:r>
        <w:rPr>
          <w:rFonts w:hint="eastAsia" w:ascii="楷体_GB2312" w:hAnsi="楷体_GB2312" w:eastAsia="楷体_GB2312" w:cs="楷体_GB2312"/>
          <w:sz w:val="28"/>
          <w:szCs w:val="28"/>
        </w:rPr>
        <w:t>（四）</w:t>
      </w:r>
      <w:r>
        <w:rPr>
          <w:rFonts w:hint="eastAsia" w:ascii="楷体_GB2312" w:hAnsi="楷体_GB2312" w:eastAsia="楷体_GB2312" w:cs="楷体_GB2312"/>
          <w:bCs w:val="0"/>
          <w:color w:val="000000"/>
          <w:sz w:val="28"/>
          <w:szCs w:val="28"/>
          <w:lang w:val="en-US"/>
        </w:rPr>
        <w:t>新的《大宗商品购销协议》《融资租赁协议》《委托管理服务框架协议》以及各协议于各年度交易上限金额</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宋体" w:hAnsi="宋体" w:eastAsia="宋体" w:cs="宋体"/>
          <w:bCs/>
          <w:color w:val="000000"/>
          <w:sz w:val="28"/>
          <w:szCs w:val="28"/>
          <w:lang w:val="en-US"/>
        </w:rPr>
      </w:pPr>
      <w:r>
        <w:rPr>
          <w:rFonts w:hint="eastAsia" w:ascii="宋体" w:hAnsi="宋体" w:eastAsia="宋体" w:cs="宋体"/>
          <w:bCs/>
          <w:color w:val="000000"/>
          <w:sz w:val="28"/>
          <w:szCs w:val="28"/>
          <w:lang w:val="en-US"/>
        </w:rPr>
        <w:t>经公司2021年度第一次临时股东大会审议批准的现行《委托管理专项协议》以及其于2021-2023年度交易上限金额将于2023年12月31日期限届满，公司拟对委托管理持续性关联交易进行整合。待现行《委托管理专项协议》期限届满后，公司与山东能源拟不再续签，并拟将相关业务纳入现行《委托管理服务框架协议》和新的《委托管理服务框架协议》以及各协议于各年度交易上限金额内。</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新的《大宗商品购销协议》《融资租赁协议》及《委托管理服务框架协议》项下，公司与山东能源2024-2025年度各类别持续性关联交易的交易上限金额预测数据如下表：</w:t>
      </w:r>
    </w:p>
    <w:p>
      <w:pPr>
        <w:ind w:firstLine="416" w:firstLineChars="200"/>
        <w:jc w:val="right"/>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单位：人民币千元</w:t>
      </w:r>
    </w:p>
    <w:tbl>
      <w:tblPr>
        <w:tblStyle w:val="11"/>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47"/>
        <w:gridCol w:w="1311"/>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4"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交易协议</w:t>
            </w:r>
          </w:p>
        </w:tc>
        <w:tc>
          <w:tcPr>
            <w:tcW w:w="2977" w:type="dxa"/>
            <w:gridSpan w:val="2"/>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交易类型</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w:t>
            </w:r>
            <w:r>
              <w:rPr>
                <w:rFonts w:ascii="Times New Roman" w:hAnsi="Times New Roman" w:cs="Times New Roman"/>
                <w:color w:val="000000" w:themeColor="text1"/>
                <w:spacing w:val="-1"/>
                <w:sz w:val="21"/>
                <w:szCs w:val="21"/>
                <w14:textFill>
                  <w14:solidFill>
                    <w14:schemeClr w14:val="tx1"/>
                  </w14:solidFill>
                </w14:textFill>
              </w:rPr>
              <w:t>2024年12月31日止年度交易上限金额</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w:t>
            </w:r>
            <w:r>
              <w:rPr>
                <w:rFonts w:ascii="Times New Roman" w:hAnsi="Times New Roman" w:cs="Times New Roman"/>
                <w:color w:val="000000" w:themeColor="text1"/>
                <w:spacing w:val="-1"/>
                <w:sz w:val="21"/>
                <w:szCs w:val="21"/>
                <w14:textFill>
                  <w14:solidFill>
                    <w14:schemeClr w14:val="tx1"/>
                  </w14:solidFill>
                </w14:textFill>
              </w:rPr>
              <w:t>2025年12月31日止年度交易上限金额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vAlign w:val="center"/>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大宗商品购销协议</w:t>
            </w:r>
          </w:p>
        </w:tc>
        <w:tc>
          <w:tcPr>
            <w:tcW w:w="2977" w:type="dxa"/>
            <w:gridSpan w:val="2"/>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向控股股东采购大宗商品</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,800,000</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ascii="Times New Roman" w:hAnsi="Times New Roman" w:cs="Times New Roman"/>
                <w:color w:val="000000" w:themeColor="text1"/>
                <w:spacing w:val="-1"/>
                <w:sz w:val="21"/>
                <w:szCs w:val="21"/>
                <w14:textFill>
                  <w14:solidFill>
                    <w14:schemeClr w14:val="tx1"/>
                  </w14:solidFill>
                </w14:textFill>
              </w:rPr>
              <w:t>2,800,000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pPr>
              <w:jc w:val="both"/>
              <w:rPr>
                <w:rFonts w:ascii="Times New Roman" w:hAnsi="Times New Roman" w:cs="Times New Roman"/>
                <w:bCs/>
                <w:color w:val="000000" w:themeColor="text1"/>
                <w:spacing w:val="-1"/>
                <w:sz w:val="21"/>
                <w:szCs w:val="21"/>
                <w:lang w:val="en-US"/>
                <w14:textFill>
                  <w14:solidFill>
                    <w14:schemeClr w14:val="tx1"/>
                  </w14:solidFill>
                </w14:textFill>
              </w:rPr>
            </w:pPr>
          </w:p>
        </w:tc>
        <w:tc>
          <w:tcPr>
            <w:tcW w:w="2977" w:type="dxa"/>
            <w:gridSpan w:val="2"/>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向控股股东销售大宗商品</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8</w:t>
            </w:r>
            <w:r>
              <w:rPr>
                <w:rFonts w:ascii="Times New Roman" w:hAnsi="Times New Roman" w:cs="Times New Roman"/>
                <w:color w:val="000000" w:themeColor="text1"/>
                <w:spacing w:val="-1"/>
                <w:sz w:val="21"/>
                <w:szCs w:val="21"/>
                <w14:textFill>
                  <w14:solidFill>
                    <w14:schemeClr w14:val="tx1"/>
                  </w14:solidFill>
                </w14:textFill>
              </w:rPr>
              <w:t>,000,000</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8,</w:t>
            </w:r>
            <w:r>
              <w:rPr>
                <w:rFonts w:ascii="Times New Roman" w:hAnsi="Times New Roman" w:cs="Times New Roman"/>
                <w:color w:val="000000" w:themeColor="text1"/>
                <w:spacing w:val="-1"/>
                <w:sz w:val="21"/>
                <w:szCs w:val="21"/>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vAlign w:val="center"/>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融资租赁协议</w:t>
            </w:r>
          </w:p>
        </w:tc>
        <w:tc>
          <w:tcPr>
            <w:tcW w:w="1701" w:type="dxa"/>
            <w:vMerge w:val="restart"/>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向控股股东提供融资租赁服务</w:t>
            </w:r>
          </w:p>
        </w:tc>
        <w:tc>
          <w:tcPr>
            <w:tcW w:w="1276" w:type="dxa"/>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融资总额</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ascii="Times New Roman" w:hAnsi="Times New Roman" w:cs="Times New Roman"/>
                <w:color w:val="000000" w:themeColor="text1"/>
                <w:spacing w:val="-1"/>
                <w:sz w:val="21"/>
                <w:szCs w:val="21"/>
                <w14:textFill>
                  <w14:solidFill>
                    <w14:schemeClr w14:val="tx1"/>
                  </w14:solidFill>
                </w14:textFill>
              </w:rPr>
              <w:t>1,000,000</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ascii="Times New Roman" w:hAnsi="Times New Roman" w:cs="Times New Roman"/>
                <w:color w:val="000000" w:themeColor="text1"/>
                <w:spacing w:val="-1"/>
                <w:sz w:val="21"/>
                <w:szCs w:val="21"/>
                <w14:textFill>
                  <w14:solidFill>
                    <w14:schemeClr w14:val="tx1"/>
                  </w14:solidFill>
                </w14:textFill>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pPr>
              <w:jc w:val="both"/>
              <w:rPr>
                <w:rFonts w:ascii="Times New Roman" w:hAnsi="Times New Roman" w:cs="Times New Roman"/>
                <w:bCs/>
                <w:color w:val="000000" w:themeColor="text1"/>
                <w:spacing w:val="-1"/>
                <w:sz w:val="21"/>
                <w:szCs w:val="21"/>
                <w:lang w:val="en-US"/>
                <w14:textFill>
                  <w14:solidFill>
                    <w14:schemeClr w14:val="tx1"/>
                  </w14:solidFill>
                </w14:textFill>
              </w:rPr>
            </w:pPr>
          </w:p>
        </w:tc>
        <w:tc>
          <w:tcPr>
            <w:tcW w:w="1701" w:type="dxa"/>
            <w:vMerge w:val="continue"/>
          </w:tcPr>
          <w:p>
            <w:pPr>
              <w:jc w:val="both"/>
              <w:rPr>
                <w:rFonts w:ascii="Times New Roman" w:hAnsi="Times New Roman" w:cs="Times New Roman"/>
                <w:color w:val="000000" w:themeColor="text1"/>
                <w:spacing w:val="-1"/>
                <w:sz w:val="21"/>
                <w:szCs w:val="21"/>
                <w14:textFill>
                  <w14:solidFill>
                    <w14:schemeClr w14:val="tx1"/>
                  </w14:solidFill>
                </w14:textFill>
              </w:rPr>
            </w:pPr>
          </w:p>
        </w:tc>
        <w:tc>
          <w:tcPr>
            <w:tcW w:w="1276" w:type="dxa"/>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利息及费用</w:t>
            </w:r>
          </w:p>
        </w:tc>
        <w:tc>
          <w:tcPr>
            <w:tcW w:w="2126" w:type="dxa"/>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ascii="Times New Roman" w:hAnsi="Times New Roman" w:cs="Times New Roman"/>
                <w:color w:val="000000" w:themeColor="text1"/>
                <w:spacing w:val="-1"/>
                <w:sz w:val="21"/>
                <w:szCs w:val="21"/>
                <w14:textFill>
                  <w14:solidFill>
                    <w14:schemeClr w14:val="tx1"/>
                  </w14:solidFill>
                </w14:textFill>
              </w:rPr>
              <w:t>85,000</w:t>
            </w:r>
          </w:p>
        </w:tc>
        <w:tc>
          <w:tcPr>
            <w:tcW w:w="2126" w:type="dxa"/>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ascii="Times New Roman" w:hAnsi="Times New Roman" w:cs="Times New Roman"/>
                <w:color w:val="000000" w:themeColor="text1"/>
                <w:spacing w:val="-1"/>
                <w:sz w:val="21"/>
                <w:szCs w:val="21"/>
                <w14:textFill>
                  <w14:solidFill>
                    <w14:schemeClr w14:val="tx1"/>
                  </w14:solidFill>
                </w14:textFill>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委托管理服务框架协议</w:t>
            </w:r>
          </w:p>
        </w:tc>
        <w:tc>
          <w:tcPr>
            <w:tcW w:w="2977" w:type="dxa"/>
            <w:gridSpan w:val="2"/>
          </w:tcPr>
          <w:p>
            <w:pPr>
              <w:jc w:val="both"/>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向控股股东提供委托管理服务</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w:t>
            </w:r>
            <w:r>
              <w:rPr>
                <w:rFonts w:hint="eastAsia" w:ascii="Times New Roman" w:hAnsi="Times New Roman" w:cs="Times New Roman"/>
                <w:i/>
                <w:color w:val="000000" w:themeColor="text1"/>
                <w:spacing w:val="-1"/>
                <w:sz w:val="21"/>
                <w:szCs w:val="21"/>
                <w:vertAlign w:val="superscript"/>
                <w14:textFill>
                  <w14:solidFill>
                    <w14:schemeClr w14:val="tx1"/>
                  </w14:solidFill>
                </w14:textFill>
              </w:rPr>
              <w:t>注</w:t>
            </w:r>
          </w:p>
        </w:tc>
        <w:tc>
          <w:tcPr>
            <w:tcW w:w="212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6</w:t>
            </w:r>
            <w:r>
              <w:rPr>
                <w:rFonts w:ascii="Times New Roman" w:hAnsi="Times New Roman" w:cs="Times New Roman"/>
                <w:color w:val="000000" w:themeColor="text1"/>
                <w:spacing w:val="-1"/>
                <w:sz w:val="21"/>
                <w:szCs w:val="21"/>
                <w14:textFill>
                  <w14:solidFill>
                    <w14:schemeClr w14:val="tx1"/>
                  </w14:solidFill>
                </w14:textFill>
              </w:rPr>
              <w:t>0,000</w:t>
            </w:r>
          </w:p>
        </w:tc>
      </w:tr>
    </w:tbl>
    <w:p>
      <w:pPr>
        <w:ind w:firstLine="416" w:firstLineChars="200"/>
        <w:jc w:val="both"/>
        <w:rPr>
          <w:rFonts w:ascii="Times New Roman" w:hAnsi="Times New Roman" w:cs="Times New Roman"/>
          <w:bCs/>
          <w:color w:val="000000"/>
          <w:sz w:val="21"/>
          <w:szCs w:val="21"/>
          <w:lang w:val="en-US"/>
        </w:rPr>
      </w:pPr>
      <w:r>
        <w:rPr>
          <w:rFonts w:hint="eastAsia" w:ascii="Times New Roman" w:hAnsi="Times New Roman" w:cs="Times New Roman"/>
          <w:bCs/>
          <w:color w:val="000000" w:themeColor="text1"/>
          <w:spacing w:val="-1"/>
          <w:sz w:val="21"/>
          <w:szCs w:val="21"/>
          <w:lang w:val="en-US"/>
          <w14:textFill>
            <w14:solidFill>
              <w14:schemeClr w14:val="tx1"/>
            </w14:solidFill>
          </w14:textFill>
        </w:rPr>
        <w:t>注：2</w:t>
      </w:r>
      <w:r>
        <w:rPr>
          <w:rFonts w:ascii="Times New Roman" w:hAnsi="Times New Roman" w:cs="Times New Roman"/>
          <w:bCs/>
          <w:color w:val="000000" w:themeColor="text1"/>
          <w:spacing w:val="-1"/>
          <w:sz w:val="21"/>
          <w:szCs w:val="21"/>
          <w:lang w:val="en-US"/>
          <w14:textFill>
            <w14:solidFill>
              <w14:schemeClr w14:val="tx1"/>
            </w14:solidFill>
          </w14:textFill>
        </w:rPr>
        <w:t>024</w:t>
      </w:r>
      <w:r>
        <w:rPr>
          <w:rFonts w:hint="eastAsia" w:ascii="Times New Roman" w:hAnsi="Times New Roman" w:cs="Times New Roman"/>
          <w:bCs/>
          <w:color w:val="000000" w:themeColor="text1"/>
          <w:spacing w:val="-1"/>
          <w:sz w:val="21"/>
          <w:szCs w:val="21"/>
          <w:lang w:val="en-US"/>
          <w14:textFill>
            <w14:solidFill>
              <w14:schemeClr w14:val="tx1"/>
            </w14:solidFill>
          </w14:textFill>
        </w:rPr>
        <w:t>年度公司向控股股东提供委托管理服务持续性关联交易，按照已经公司第八届董事会第二十次会议审议批准的现行</w:t>
      </w:r>
      <w:r>
        <w:rPr>
          <w:rFonts w:hint="eastAsia" w:ascii="Times New Roman" w:hAnsi="Times New Roman" w:cs="Times New Roman"/>
          <w:bCs/>
          <w:color w:val="000000"/>
          <w:sz w:val="21"/>
          <w:szCs w:val="21"/>
          <w:lang w:val="en-US"/>
        </w:rPr>
        <w:t>《</w:t>
      </w:r>
      <w:r>
        <w:rPr>
          <w:rFonts w:hint="eastAsia" w:ascii="Times New Roman" w:hAnsi="Times New Roman" w:cs="Times New Roman"/>
          <w:bCs/>
          <w:color w:val="000000" w:themeColor="text1"/>
          <w:spacing w:val="-1"/>
          <w:sz w:val="21"/>
          <w:szCs w:val="21"/>
          <w:lang w:val="en-US"/>
          <w14:textFill>
            <w14:solidFill>
              <w14:schemeClr w14:val="tx1"/>
            </w14:solidFill>
          </w14:textFill>
        </w:rPr>
        <w:t>委托管理服务框架协议》以及其于2</w:t>
      </w:r>
      <w:r>
        <w:rPr>
          <w:rFonts w:ascii="Times New Roman" w:hAnsi="Times New Roman" w:cs="Times New Roman"/>
          <w:bCs/>
          <w:color w:val="000000" w:themeColor="text1"/>
          <w:spacing w:val="-1"/>
          <w:sz w:val="21"/>
          <w:szCs w:val="21"/>
          <w:lang w:val="en-US"/>
          <w14:textFill>
            <w14:solidFill>
              <w14:schemeClr w14:val="tx1"/>
            </w14:solidFill>
          </w14:textFill>
        </w:rPr>
        <w:t>024</w:t>
      </w:r>
      <w:r>
        <w:rPr>
          <w:rFonts w:hint="eastAsia" w:ascii="Times New Roman" w:hAnsi="Times New Roman" w:cs="Times New Roman"/>
          <w:bCs/>
          <w:color w:val="000000" w:themeColor="text1"/>
          <w:spacing w:val="-1"/>
          <w:sz w:val="21"/>
          <w:szCs w:val="21"/>
          <w:lang w:val="en-US"/>
          <w14:textFill>
            <w14:solidFill>
              <w14:schemeClr w14:val="tx1"/>
            </w14:solidFill>
          </w14:textFill>
        </w:rPr>
        <w:t>年度交易上限金额执行。</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宋体" w:hAnsi="宋体" w:eastAsia="宋体" w:cs="宋体"/>
          <w:bCs/>
          <w:i/>
          <w:color w:val="000000"/>
          <w:sz w:val="28"/>
          <w:szCs w:val="28"/>
          <w:lang w:val="en-US"/>
        </w:rPr>
      </w:pPr>
      <w:r>
        <w:rPr>
          <w:rFonts w:hint="eastAsia" w:ascii="宋体" w:hAnsi="宋体" w:eastAsia="宋体" w:cs="宋体"/>
          <w:bCs/>
          <w:color w:val="000000"/>
          <w:sz w:val="28"/>
          <w:szCs w:val="28"/>
          <w:lang w:val="en-US"/>
        </w:rPr>
        <w:t>《大宗商品购销协议》项下向控股股东采购大宗商品2024年度交易上限金额大于2023年度预计交易上限金额，差额占公司最近一期经审计净资产 0.5%以上，主要原因是：公司拟扩大与山东能源贸易业务规模；向控股股东销售大宗商品2024年度交易上限金额大于调整后2023年度预计交易上限金额，差额占公司最近一期经审计净资产0.5%以上，主要原因是：公司境外附属公司拟通过山东能源附属贸易公司拓展煤炭销售渠道。</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bCs/>
          <w:color w:val="000000"/>
          <w:sz w:val="28"/>
          <w:szCs w:val="28"/>
          <w:lang w:val="en-US"/>
        </w:rPr>
        <w:t>《融资租赁协议》项下向控股股东提供融资租赁服务2024年度融资总额、利息及费用交易上限金额小于2023年度预计交易上限金额，差额占公司近一期经审计净资产0.5%以上，主要原因是：部分</w:t>
      </w:r>
      <w:r>
        <w:rPr>
          <w:rFonts w:hint="eastAsia" w:ascii="宋体" w:hAnsi="宋体" w:eastAsia="宋体" w:cs="宋体"/>
          <w:color w:val="000000" w:themeColor="text1"/>
          <w:spacing w:val="-1"/>
          <w:sz w:val="28"/>
          <w:szCs w:val="28"/>
          <w14:textFill>
            <w14:solidFill>
              <w14:schemeClr w14:val="tx1"/>
            </w14:solidFill>
          </w14:textFill>
        </w:rPr>
        <w:t>原计划合作项目已不具备业务开展条件，公司根据当前实际情况调整了业务规划</w:t>
      </w:r>
      <w:r>
        <w:rPr>
          <w:rFonts w:hint="eastAsia" w:ascii="宋体" w:hAnsi="宋体" w:eastAsia="宋体" w:cs="宋体"/>
          <w:bCs/>
          <w:color w:val="000000"/>
          <w:sz w:val="28"/>
          <w:szCs w:val="28"/>
          <w:lang w:val="en-US"/>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由于公司与山东能源</w:t>
      </w:r>
      <w:r>
        <w:rPr>
          <w:rFonts w:hint="eastAsia" w:ascii="宋体" w:hAnsi="宋体" w:eastAsia="宋体" w:cs="宋体"/>
          <w:bCs/>
          <w:color w:val="000000"/>
          <w:sz w:val="28"/>
          <w:szCs w:val="28"/>
          <w:lang w:val="en-US"/>
        </w:rPr>
        <w:t>于2020年12月9日签署的《大宗商品购销协议》《融资租赁协议》将于2023年12月31日期限届满，《委托管理服务框架协议》将于2024年12月31日期限届满，公司与山东能源续签了新的《大宗商品购销协议》《融资租赁协议》，期限两年，有效期</w:t>
      </w:r>
      <w:r>
        <w:rPr>
          <w:rFonts w:hint="eastAsia" w:ascii="宋体" w:hAnsi="宋体" w:eastAsia="宋体" w:cs="宋体"/>
          <w:bCs/>
          <w:color w:val="000000"/>
          <w:sz w:val="28"/>
          <w:szCs w:val="28"/>
          <w:lang w:val="en-US" w:bidi="zh-TW"/>
        </w:rPr>
        <w:t>自2024年1月1日至2025年12月31日，并续签了新的</w:t>
      </w:r>
      <w:r>
        <w:rPr>
          <w:rFonts w:hint="eastAsia" w:ascii="宋体" w:hAnsi="宋体" w:eastAsia="宋体" w:cs="宋体"/>
          <w:bCs/>
          <w:color w:val="000000"/>
          <w:sz w:val="28"/>
          <w:szCs w:val="28"/>
          <w:lang w:val="en-US"/>
        </w:rPr>
        <w:t>《委托管理服务框架协议》</w:t>
      </w:r>
      <w:r>
        <w:rPr>
          <w:rFonts w:hint="eastAsia" w:ascii="宋体" w:hAnsi="宋体" w:eastAsia="宋体" w:cs="宋体"/>
          <w:color w:val="000000" w:themeColor="text1"/>
          <w:spacing w:val="-1"/>
          <w:sz w:val="28"/>
          <w:szCs w:val="28"/>
          <w14:textFill>
            <w14:solidFill>
              <w14:schemeClr w14:val="tx1"/>
            </w14:solidFill>
          </w14:textFill>
        </w:rPr>
        <w:t>，期限一年，有效期自2025年1月1日至2025年12月31日。前述协议主要条款详见本公告“三、持续性关联交易协议主要内容和定价政策”部分。</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新的</w:t>
      </w:r>
      <w:r>
        <w:rPr>
          <w:rFonts w:hint="eastAsia" w:ascii="宋体" w:hAnsi="宋体" w:eastAsia="宋体" w:cs="宋体"/>
          <w:bCs/>
          <w:color w:val="000000"/>
          <w:sz w:val="28"/>
          <w:szCs w:val="28"/>
          <w:lang w:val="en-US"/>
        </w:rPr>
        <w:t>《大宗商品购销协议》《融资租赁协议》《委托管理服务框架协议》项下，</w:t>
      </w:r>
      <w:r>
        <w:rPr>
          <w:rFonts w:hint="eastAsia" w:ascii="宋体" w:hAnsi="宋体" w:eastAsia="宋体" w:cs="宋体"/>
          <w:color w:val="000000" w:themeColor="text1"/>
          <w:spacing w:val="-1"/>
          <w:sz w:val="28"/>
          <w:szCs w:val="28"/>
          <w14:textFill>
            <w14:solidFill>
              <w14:schemeClr w14:val="tx1"/>
            </w14:solidFill>
          </w14:textFill>
        </w:rPr>
        <w:t>公司与山东能源2024-2025年度各类别持续性关联交易的交易上限金额主要预测依据如下：</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1.《大宗商品购销协议》项下的公司向山东能源采购大宗商品的持续性关联交易于2024-2025年度交易上限金额预测依据为：相关大宗商品于2023年的平均价格，以及本公司附属公司的贸易及物流创新、业务发展及就向山东能源购买煤炭、铁矿石、橡胶及其他种类的大宗商品采购计划，预计2024-2025年度交易上限金额分别不超过2,800,000千元及2,800,000千元。</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color w:val="000000" w:themeColor="text1"/>
          <w:spacing w:val="-1"/>
          <w:sz w:val="28"/>
          <w:szCs w:val="28"/>
          <w:lang w:bidi="zh-TW"/>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2.《大宗商品购销协议》项下的公司向山东能源销售大宗商品的持续性关联交易于2024-2025年度交易上限金额预测依据为：相关大</w:t>
      </w:r>
      <w:r>
        <w:rPr>
          <w:rFonts w:hint="eastAsia" w:ascii="宋体" w:hAnsi="宋体" w:eastAsia="宋体" w:cs="宋体"/>
          <w:color w:val="000000" w:themeColor="text1"/>
          <w:spacing w:val="-1"/>
          <w:sz w:val="28"/>
          <w:szCs w:val="28"/>
          <w:lang w:bidi="zh-TW"/>
          <w14:textFill>
            <w14:solidFill>
              <w14:schemeClr w14:val="tx1"/>
            </w14:solidFill>
          </w14:textFill>
        </w:rPr>
        <w:t>宗商品于2023年的平均价格，以及本公司于2023年向山东能源销售煤炭、铁矿石、橡胶及其他种类的大宗商品的销售计划、山东能源拟定的采购需求和本公司业务发展计划，预计2024-2025年度交易上限金额分别不超过8,000,000千元及8,000,000千元。</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i/>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3.《融资租赁协议》项下公司为山东能源提供融资租赁服务的持续性关联交易于2024-2025年度交易上限金额的预测依据为：根据山东能源集团鲁西矿业有限公司、兖矿新疆能化有限公司等关连附属公司每年新增设备采购需求、新建项目投资金额等预测，</w:t>
      </w:r>
      <w:r>
        <w:rPr>
          <w:rFonts w:hint="eastAsia" w:ascii="宋体" w:hAnsi="宋体" w:eastAsia="宋体" w:cs="宋体"/>
          <w:color w:val="000000" w:themeColor="text1"/>
          <w:spacing w:val="-1"/>
          <w:sz w:val="28"/>
          <w:szCs w:val="28"/>
          <w:lang w:bidi="zh-TW"/>
          <w14:textFill>
            <w14:solidFill>
              <w14:schemeClr w14:val="tx1"/>
            </w14:solidFill>
          </w14:textFill>
        </w:rPr>
        <w:t>预计</w:t>
      </w:r>
      <w:r>
        <w:rPr>
          <w:rFonts w:hint="eastAsia" w:ascii="宋体" w:hAnsi="宋体" w:eastAsia="宋体" w:cs="宋体"/>
          <w:color w:val="000000" w:themeColor="text1"/>
          <w:spacing w:val="-1"/>
          <w:sz w:val="28"/>
          <w:szCs w:val="28"/>
          <w14:textFill>
            <w14:solidFill>
              <w14:schemeClr w14:val="tx1"/>
            </w14:solidFill>
          </w14:textFill>
        </w:rPr>
        <w:t>2024-2025年度</w:t>
      </w:r>
      <w:r>
        <w:rPr>
          <w:rFonts w:hint="eastAsia" w:ascii="宋体" w:hAnsi="宋体" w:eastAsia="宋体" w:cs="宋体"/>
          <w:color w:val="000000" w:themeColor="text1"/>
          <w:spacing w:val="-1"/>
          <w:sz w:val="28"/>
          <w:szCs w:val="28"/>
          <w:lang w:bidi="zh-TW"/>
          <w14:textFill>
            <w14:solidFill>
              <w14:schemeClr w14:val="tx1"/>
            </w14:solidFill>
          </w14:textFill>
        </w:rPr>
        <w:t>交易上限金额分别不超过</w:t>
      </w:r>
      <w:r>
        <w:rPr>
          <w:rFonts w:hint="eastAsia" w:ascii="宋体" w:hAnsi="宋体" w:eastAsia="宋体" w:cs="宋体"/>
          <w:spacing w:val="-6"/>
          <w:sz w:val="28"/>
          <w:szCs w:val="28"/>
        </w:rPr>
        <w:t>1,085,000</w:t>
      </w:r>
      <w:r>
        <w:rPr>
          <w:rFonts w:hint="eastAsia" w:ascii="宋体" w:hAnsi="宋体" w:eastAsia="宋体" w:cs="宋体"/>
          <w:spacing w:val="-1"/>
          <w:sz w:val="28"/>
          <w:szCs w:val="28"/>
          <w:lang w:bidi="zh-TW"/>
        </w:rPr>
        <w:t>千元及</w:t>
      </w:r>
      <w:r>
        <w:rPr>
          <w:rFonts w:hint="eastAsia" w:ascii="宋体" w:hAnsi="宋体" w:eastAsia="宋体" w:cs="宋体"/>
          <w:spacing w:val="-6"/>
          <w:sz w:val="28"/>
          <w:szCs w:val="28"/>
        </w:rPr>
        <w:t>2,170,000</w:t>
      </w:r>
      <w:r>
        <w:rPr>
          <w:rFonts w:hint="eastAsia" w:ascii="宋体" w:hAnsi="宋体" w:eastAsia="宋体" w:cs="宋体"/>
          <w:spacing w:val="-1"/>
          <w:sz w:val="28"/>
          <w:szCs w:val="28"/>
          <w:lang w:bidi="zh-TW"/>
        </w:rPr>
        <w:t>千元。</w:t>
      </w:r>
    </w:p>
    <w:p>
      <w:pPr>
        <w:keepNext w:val="0"/>
        <w:keepLines w:val="0"/>
        <w:pageBreakBefore w:val="0"/>
        <w:widowControl w:val="0"/>
        <w:kinsoku/>
        <w:wordWrap/>
        <w:overflowPunct/>
        <w:topLinePunct w:val="0"/>
        <w:autoSpaceDE w:val="0"/>
        <w:autoSpaceDN w:val="0"/>
        <w:bidi w:val="0"/>
        <w:adjustRightInd/>
        <w:snapToGrid/>
        <w:spacing w:line="520" w:lineRule="exact"/>
        <w:ind w:firstLine="556" w:firstLineChars="200"/>
        <w:jc w:val="both"/>
        <w:textAlignment w:val="auto"/>
        <w:rPr>
          <w:rFonts w:hint="eastAsia" w:ascii="宋体" w:hAnsi="宋体" w:eastAsia="宋体" w:cs="宋体"/>
          <w:i/>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4.《委托管理服务框架协议》项下的公司向山东能源提供委托管理服务的持续性关联交易于2025年度交易上限金额预测依据为：考虑委托管理标的公司资产规模及业务模式，2025年度交易上限金额为60,000千元/年。</w:t>
      </w:r>
    </w:p>
    <w:p>
      <w:pPr>
        <w:pStyle w:val="3"/>
        <w:keepNext w:val="0"/>
        <w:keepLines w:val="0"/>
        <w:pageBreakBefore w:val="0"/>
        <w:widowControl w:val="0"/>
        <w:kinsoku/>
        <w:wordWrap/>
        <w:overflowPunct/>
        <w:topLinePunct w:val="0"/>
        <w:autoSpaceDE w:val="0"/>
        <w:autoSpaceDN w:val="0"/>
        <w:bidi w:val="0"/>
        <w:adjustRightInd/>
        <w:snapToGrid/>
        <w:spacing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rPr>
        <w:t>二</w:t>
      </w:r>
      <w:r>
        <w:rPr>
          <w:rFonts w:hint="eastAsia" w:ascii="黑体" w:hAnsi="黑体" w:eastAsia="黑体" w:cs="黑体"/>
          <w:b w:val="0"/>
          <w:bCs w:val="0"/>
          <w:sz w:val="28"/>
          <w:szCs w:val="28"/>
        </w:rPr>
        <w:t>、关联方介绍和关联关系</w:t>
      </w:r>
    </w:p>
    <w:p>
      <w:pPr>
        <w:pStyle w:val="3"/>
        <w:keepNext w:val="0"/>
        <w:keepLines w:val="0"/>
        <w:pageBreakBefore w:val="0"/>
        <w:widowControl w:val="0"/>
        <w:kinsoku/>
        <w:wordWrap/>
        <w:overflowPunct/>
        <w:topLinePunct w:val="0"/>
        <w:autoSpaceDE w:val="0"/>
        <w:autoSpaceDN w:val="0"/>
        <w:bidi w:val="0"/>
        <w:adjustRightInd/>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（一）关联方的基本情况</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公司名称：山东能源集团有限公司</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统一社会信用代码：91370000166120002R</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注册地址：山东省济南市高新区舜华路28号</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法定代表人：李伟</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注册资本：3,020,000万元人民币</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成立日期：1996年3月12日</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经营范围：山东能源主要从事煤炭、煤电、煤化工、高端装备制造、新能源新材料、现代物流贸易等业务，</w:t>
      </w:r>
    </w:p>
    <w:p>
      <w:pPr>
        <w:pStyle w:val="3"/>
        <w:keepNext w:val="0"/>
        <w:keepLines w:val="0"/>
        <w:pageBreakBefore w:val="0"/>
        <w:widowControl w:val="0"/>
        <w:kinsoku/>
        <w:wordWrap/>
        <w:overflowPunct/>
        <w:topLinePunct w:val="0"/>
        <w:autoSpaceDE w:val="0"/>
        <w:autoSpaceDN w:val="0"/>
        <w:bidi w:val="0"/>
        <w:adjustRightInd/>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（二）股权结构</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39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序号</w:t>
            </w:r>
          </w:p>
        </w:tc>
        <w:tc>
          <w:tcPr>
            <w:tcW w:w="4394"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股东名称</w:t>
            </w:r>
          </w:p>
        </w:tc>
        <w:tc>
          <w:tcPr>
            <w:tcW w:w="2410"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1</w:t>
            </w:r>
          </w:p>
        </w:tc>
        <w:tc>
          <w:tcPr>
            <w:tcW w:w="4394"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山东省人民政府国有资产监督管理委员会</w:t>
            </w:r>
          </w:p>
        </w:tc>
        <w:tc>
          <w:tcPr>
            <w:tcW w:w="2410"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7</w:t>
            </w:r>
            <w:r>
              <w:rPr>
                <w:rFonts w:ascii="Times New Roman" w:hAnsi="Times New Roman" w:cs="Times New Roman"/>
                <w:color w:val="000000" w:themeColor="text1"/>
                <w:spacing w:val="-1"/>
                <w:sz w:val="21"/>
                <w:szCs w:val="21"/>
                <w14:textFill>
                  <w14:solidFill>
                    <w14:schemeClr w14:val="tx1"/>
                  </w14:solidFill>
                </w14:textFill>
              </w:rPr>
              <w:t>0</w:t>
            </w:r>
            <w:r>
              <w:rPr>
                <w:rFonts w:hint="eastAsia" w:ascii="Times New Roman" w:hAnsi="Times New Roman" w:cs="Times New Roman"/>
                <w:color w:val="000000" w:themeColor="text1"/>
                <w:spacing w:val="-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2</w:t>
            </w:r>
          </w:p>
        </w:tc>
        <w:tc>
          <w:tcPr>
            <w:tcW w:w="4394"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山东国惠投资控股集团有限公司</w:t>
            </w:r>
          </w:p>
        </w:tc>
        <w:tc>
          <w:tcPr>
            <w:tcW w:w="2410" w:type="dxa"/>
            <w:vAlign w:val="center"/>
          </w:tcPr>
          <w:p>
            <w:pPr>
              <w:jc w:val="cente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0</w:t>
            </w:r>
            <w:r>
              <w:rPr>
                <w:rFonts w:hint="eastAsia" w:ascii="Times New Roman" w:hAnsi="Times New Roman" w:cs="Times New Roman"/>
                <w:color w:val="000000" w:themeColor="text1"/>
                <w:spacing w:val="-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3</w:t>
            </w:r>
          </w:p>
        </w:tc>
        <w:tc>
          <w:tcPr>
            <w:tcW w:w="4394"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山东省财欣资产运营有限公司</w:t>
            </w:r>
          </w:p>
        </w:tc>
        <w:tc>
          <w:tcPr>
            <w:tcW w:w="2410"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1</w:t>
            </w:r>
            <w:r>
              <w:rPr>
                <w:rFonts w:ascii="Times New Roman" w:hAnsi="Times New Roman" w:cs="Times New Roman"/>
                <w:color w:val="000000" w:themeColor="text1"/>
                <w:spacing w:val="-1"/>
                <w:sz w:val="21"/>
                <w:szCs w:val="21"/>
                <w14:textFill>
                  <w14:solidFill>
                    <w14:schemeClr w14:val="tx1"/>
                  </w14:solidFill>
                </w14:textFill>
              </w:rPr>
              <w:t>0</w:t>
            </w:r>
            <w:r>
              <w:rPr>
                <w:rFonts w:hint="eastAsia" w:ascii="Times New Roman" w:hAnsi="Times New Roman" w:cs="Times New Roman"/>
                <w:color w:val="000000" w:themeColor="text1"/>
                <w:spacing w:val="-1"/>
                <w:sz w:val="21"/>
                <w:szCs w:val="21"/>
                <w14:textFill>
                  <w14:solidFill>
                    <w14:schemeClr w14:val="tx1"/>
                  </w14:solidFill>
                </w14:textFill>
              </w:rPr>
              <w:t>%</w:t>
            </w:r>
          </w:p>
        </w:tc>
      </w:tr>
    </w:tbl>
    <w:p>
      <w:pPr>
        <w:pStyle w:val="3"/>
        <w:keepNext w:val="0"/>
        <w:keepLines w:val="0"/>
        <w:pageBreakBefore w:val="0"/>
        <w:widowControl w:val="0"/>
        <w:kinsoku/>
        <w:wordWrap/>
        <w:overflowPunct/>
        <w:topLinePunct w:val="0"/>
        <w:autoSpaceDE w:val="0"/>
        <w:autoSpaceDN w:val="0"/>
        <w:bidi w:val="0"/>
        <w:adjustRightInd/>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（三）财务数据</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100" w:right="237" w:firstLine="556" w:firstLineChars="200"/>
        <w:textAlignment w:val="auto"/>
        <w:rPr>
          <w:rFonts w:ascii="Times New Roman" w:hAnsi="Times New Roman" w:cs="Times New Roman"/>
          <w:color w:val="000000" w:themeColor="text1"/>
          <w:spacing w:val="-1"/>
          <w:sz w:val="28"/>
          <w:szCs w:val="28"/>
          <w14:textFill>
            <w14:solidFill>
              <w14:schemeClr w14:val="tx1"/>
            </w14:solidFill>
          </w14:textFill>
        </w:rPr>
      </w:pPr>
      <w:r>
        <w:rPr>
          <w:rFonts w:hint="eastAsia" w:ascii="Times New Roman" w:hAnsi="Times New Roman" w:cs="Times New Roman"/>
          <w:color w:val="000000" w:themeColor="text1"/>
          <w:spacing w:val="-1"/>
          <w:sz w:val="28"/>
          <w:szCs w:val="28"/>
          <w14:textFill>
            <w14:solidFill>
              <w14:schemeClr w14:val="tx1"/>
            </w14:solidFill>
          </w14:textFill>
        </w:rPr>
        <w:t>山东能源最近一年及一期的主要财务指标见下表：</w:t>
      </w:r>
    </w:p>
    <w:p>
      <w:pPr>
        <w:pStyle w:val="5"/>
        <w:spacing w:before="0"/>
        <w:ind w:left="100" w:right="237" w:firstLine="416" w:firstLineChars="200"/>
        <w:jc w:val="right"/>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单位：人民币亿元</w:t>
      </w:r>
    </w:p>
    <w:tbl>
      <w:tblPr>
        <w:tblStyle w:val="11"/>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4"/>
        <w:gridCol w:w="2475"/>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项目</w:t>
            </w:r>
          </w:p>
        </w:tc>
        <w:tc>
          <w:tcPr>
            <w:tcW w:w="2409"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截至2</w:t>
            </w:r>
            <w:r>
              <w:rPr>
                <w:rFonts w:ascii="Times New Roman" w:hAnsi="Times New Roman" w:cs="Times New Roman"/>
                <w:color w:val="000000" w:themeColor="text1"/>
                <w:spacing w:val="-1"/>
                <w:sz w:val="21"/>
                <w:szCs w:val="21"/>
                <w14:textFill>
                  <w14:solidFill>
                    <w14:schemeClr w14:val="tx1"/>
                  </w14:solidFill>
                </w14:textFill>
              </w:rPr>
              <w:t>022</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2</w:t>
            </w:r>
            <w:r>
              <w:rPr>
                <w:rFonts w:hint="eastAsia" w:ascii="Times New Roman" w:hAnsi="Times New Roman" w:cs="Times New Roman"/>
                <w:color w:val="000000" w:themeColor="text1"/>
                <w:spacing w:val="-1"/>
                <w:sz w:val="21"/>
                <w:szCs w:val="21"/>
                <w14:textFill>
                  <w14:solidFill>
                    <w14:schemeClr w14:val="tx1"/>
                  </w14:solidFill>
                </w14:textFill>
              </w:rPr>
              <w:t>月3</w:t>
            </w:r>
            <w:r>
              <w:rPr>
                <w:rFonts w:ascii="Times New Roman" w:hAnsi="Times New Roman" w:cs="Times New Roman"/>
                <w:color w:val="000000" w:themeColor="text1"/>
                <w:spacing w:val="-1"/>
                <w:sz w:val="21"/>
                <w:szCs w:val="21"/>
                <w14:textFill>
                  <w14:solidFill>
                    <w14:schemeClr w14:val="tx1"/>
                  </w14:solidFill>
                </w14:textFill>
              </w:rPr>
              <w:t>1</w:t>
            </w:r>
            <w:r>
              <w:rPr>
                <w:rFonts w:hint="eastAsia" w:ascii="Times New Roman" w:hAnsi="Times New Roman" w:cs="Times New Roman"/>
                <w:color w:val="000000" w:themeColor="text1"/>
                <w:spacing w:val="-1"/>
                <w:sz w:val="21"/>
                <w:szCs w:val="21"/>
                <w14:textFill>
                  <w14:solidFill>
                    <w14:schemeClr w14:val="tx1"/>
                  </w14:solidFill>
                </w14:textFill>
              </w:rPr>
              <w:t>日（经审计）</w:t>
            </w:r>
          </w:p>
        </w:tc>
        <w:tc>
          <w:tcPr>
            <w:tcW w:w="2410"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截至2</w:t>
            </w:r>
            <w:r>
              <w:rPr>
                <w:rFonts w:ascii="Times New Roman" w:hAnsi="Times New Roman" w:cs="Times New Roman"/>
                <w:color w:val="000000" w:themeColor="text1"/>
                <w:spacing w:val="-1"/>
                <w:sz w:val="21"/>
                <w:szCs w:val="21"/>
                <w14:textFill>
                  <w14:solidFill>
                    <w14:schemeClr w14:val="tx1"/>
                  </w14:solidFill>
                </w14:textFill>
              </w:rPr>
              <w:t>023</w:t>
            </w:r>
            <w:r>
              <w:rPr>
                <w:rFonts w:hint="eastAsia" w:ascii="Times New Roman" w:hAnsi="Times New Roman" w:cs="Times New Roman"/>
                <w:color w:val="000000" w:themeColor="text1"/>
                <w:spacing w:val="-1"/>
                <w:sz w:val="21"/>
                <w:szCs w:val="21"/>
                <w14:textFill>
                  <w14:solidFill>
                    <w14:schemeClr w14:val="tx1"/>
                  </w14:solidFill>
                </w14:textFill>
              </w:rPr>
              <w:t>年6月3</w:t>
            </w:r>
            <w:r>
              <w:rPr>
                <w:rFonts w:ascii="Times New Roman" w:hAnsi="Times New Roman" w:cs="Times New Roman"/>
                <w:color w:val="000000" w:themeColor="text1"/>
                <w:spacing w:val="-1"/>
                <w:sz w:val="21"/>
                <w:szCs w:val="21"/>
                <w14:textFill>
                  <w14:solidFill>
                    <w14:schemeClr w14:val="tx1"/>
                  </w14:solidFill>
                </w14:textFill>
              </w:rPr>
              <w:t>0</w:t>
            </w:r>
            <w:r>
              <w:rPr>
                <w:rFonts w:hint="eastAsia" w:ascii="Times New Roman" w:hAnsi="Times New Roman" w:cs="Times New Roman"/>
                <w:color w:val="000000" w:themeColor="text1"/>
                <w:spacing w:val="-1"/>
                <w:sz w:val="21"/>
                <w:szCs w:val="21"/>
                <w14:textFill>
                  <w14:solidFill>
                    <w14:schemeClr w14:val="tx1"/>
                  </w14:solidFill>
                </w14:textFill>
              </w:rPr>
              <w:t>日</w:t>
            </w:r>
            <w:r>
              <w:rPr>
                <w:rFonts w:ascii="Times New Roman" w:hAnsi="Times New Roman" w:cs="Times New Roman"/>
                <w:color w:val="000000" w:themeColor="text1"/>
                <w:spacing w:val="-1"/>
                <w:sz w:val="21"/>
                <w:szCs w:val="21"/>
                <w14:textFill>
                  <w14:solidFill>
                    <w14:schemeClr w14:val="tx1"/>
                  </w14:solidFill>
                </w14:textFill>
              </w:rPr>
              <w:br w:type="textWrapping"/>
            </w:r>
            <w:r>
              <w:rPr>
                <w:rFonts w:hint="eastAsia" w:ascii="Times New Roman" w:hAnsi="Times New Roman" w:cs="Times New Roman"/>
                <w:color w:val="000000" w:themeColor="text1"/>
                <w:spacing w:val="-1"/>
                <w:sz w:val="21"/>
                <w:szCs w:val="21"/>
                <w14:textFill>
                  <w14:solidFill>
                    <w14:schemeClr w14:val="tx1"/>
                  </w14:solidFill>
                </w14:textFill>
              </w:rPr>
              <w:t>（未经审计）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资产总额</w:t>
            </w:r>
          </w:p>
        </w:tc>
        <w:tc>
          <w:tcPr>
            <w:tcW w:w="2409" w:type="dxa"/>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9,511.20</w:t>
            </w:r>
          </w:p>
        </w:tc>
        <w:tc>
          <w:tcPr>
            <w:tcW w:w="2410" w:type="dxa"/>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9,904.95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净资产</w:t>
            </w:r>
          </w:p>
        </w:tc>
        <w:tc>
          <w:tcPr>
            <w:tcW w:w="2409" w:type="dxa"/>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2,854.98</w:t>
            </w:r>
          </w:p>
        </w:tc>
        <w:tc>
          <w:tcPr>
            <w:tcW w:w="2410" w:type="dxa"/>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2,976.03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项目</w:t>
            </w:r>
          </w:p>
        </w:tc>
        <w:tc>
          <w:tcPr>
            <w:tcW w:w="2409"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022</w:t>
            </w:r>
            <w:r>
              <w:rPr>
                <w:rFonts w:hint="eastAsia" w:ascii="Times New Roman" w:hAnsi="Times New Roman" w:cs="Times New Roman"/>
                <w:color w:val="000000" w:themeColor="text1"/>
                <w:spacing w:val="-1"/>
                <w:sz w:val="21"/>
                <w:szCs w:val="21"/>
                <w14:textFill>
                  <w14:solidFill>
                    <w14:schemeClr w14:val="tx1"/>
                  </w14:solidFill>
                </w14:textFill>
              </w:rPr>
              <w:t>年度</w:t>
            </w:r>
            <w:r>
              <w:rPr>
                <w:rFonts w:ascii="Times New Roman" w:hAnsi="Times New Roman" w:cs="Times New Roman"/>
                <w:color w:val="000000" w:themeColor="text1"/>
                <w:spacing w:val="-1"/>
                <w:sz w:val="21"/>
                <w:szCs w:val="21"/>
                <w14:textFill>
                  <w14:solidFill>
                    <w14:schemeClr w14:val="tx1"/>
                  </w14:solidFill>
                </w14:textFill>
              </w:rPr>
              <w:br w:type="textWrapping"/>
            </w:r>
            <w:r>
              <w:rPr>
                <w:rFonts w:hint="eastAsia" w:ascii="Times New Roman" w:hAnsi="Times New Roman" w:cs="Times New Roman"/>
                <w:color w:val="000000" w:themeColor="text1"/>
                <w:spacing w:val="-1"/>
                <w:sz w:val="21"/>
                <w:szCs w:val="21"/>
                <w14:textFill>
                  <w14:solidFill>
                    <w14:schemeClr w14:val="tx1"/>
                  </w14:solidFill>
                </w14:textFill>
              </w:rPr>
              <w:t>（经审计）</w:t>
            </w:r>
          </w:p>
        </w:tc>
        <w:tc>
          <w:tcPr>
            <w:tcW w:w="2410" w:type="dxa"/>
            <w:vAlign w:val="center"/>
          </w:tcPr>
          <w:p>
            <w:pPr>
              <w:jc w:val="center"/>
              <w:rPr>
                <w:rFonts w:ascii="Times New Roman" w:hAnsi="Times New Roman"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14:textFill>
                  <w14:solidFill>
                    <w14:schemeClr w14:val="tx1"/>
                  </w14:solidFill>
                </w14:textFill>
              </w:rPr>
              <w:t>2</w:t>
            </w:r>
            <w:r>
              <w:rPr>
                <w:rFonts w:ascii="Times New Roman" w:hAnsi="Times New Roman" w:cs="Times New Roman"/>
                <w:color w:val="000000" w:themeColor="text1"/>
                <w:spacing w:val="-1"/>
                <w:sz w:val="21"/>
                <w:szCs w:val="21"/>
                <w14:textFill>
                  <w14:solidFill>
                    <w14:schemeClr w14:val="tx1"/>
                  </w14:solidFill>
                </w14:textFill>
              </w:rPr>
              <w:t>023</w:t>
            </w:r>
            <w:r>
              <w:rPr>
                <w:rFonts w:hint="eastAsia" w:ascii="Times New Roman" w:hAnsi="Times New Roman" w:cs="Times New Roman"/>
                <w:color w:val="000000" w:themeColor="text1"/>
                <w:spacing w:val="-1"/>
                <w:sz w:val="21"/>
                <w:szCs w:val="21"/>
                <w14:textFill>
                  <w14:solidFill>
                    <w14:schemeClr w14:val="tx1"/>
                  </w14:solidFill>
                </w14:textFill>
              </w:rPr>
              <w:t>年1-</w:t>
            </w:r>
            <w:r>
              <w:rPr>
                <w:rFonts w:ascii="Times New Roman" w:hAnsi="Times New Roman" w:cs="Times New Roman"/>
                <w:color w:val="000000" w:themeColor="text1"/>
                <w:spacing w:val="-1"/>
                <w:sz w:val="21"/>
                <w:szCs w:val="21"/>
                <w14:textFill>
                  <w14:solidFill>
                    <w14:schemeClr w14:val="tx1"/>
                  </w14:solidFill>
                </w14:textFill>
              </w:rPr>
              <w:t>6</w:t>
            </w:r>
            <w:r>
              <w:rPr>
                <w:rFonts w:hint="eastAsia" w:ascii="Times New Roman" w:hAnsi="Times New Roman" w:cs="Times New Roman"/>
                <w:color w:val="000000" w:themeColor="text1"/>
                <w:spacing w:val="-1"/>
                <w:sz w:val="21"/>
                <w:szCs w:val="21"/>
                <w14:textFill>
                  <w14:solidFill>
                    <w14:schemeClr w14:val="tx1"/>
                  </w14:solidFill>
                </w14:textFill>
              </w:rPr>
              <w:t>月</w:t>
            </w:r>
            <w:r>
              <w:rPr>
                <w:rFonts w:ascii="Times New Roman" w:hAnsi="Times New Roman" w:cs="Times New Roman"/>
                <w:color w:val="000000" w:themeColor="text1"/>
                <w:spacing w:val="-1"/>
                <w:sz w:val="21"/>
                <w:szCs w:val="21"/>
                <w14:textFill>
                  <w14:solidFill>
                    <w14:schemeClr w14:val="tx1"/>
                  </w14:solidFill>
                </w14:textFill>
              </w:rPr>
              <w:br w:type="textWrapping"/>
            </w:r>
            <w:r>
              <w:rPr>
                <w:rFonts w:hint="eastAsia" w:ascii="Times New Roman" w:hAnsi="Times New Roman" w:cs="Times New Roman"/>
                <w:color w:val="000000" w:themeColor="text1"/>
                <w:spacing w:val="-1"/>
                <w:sz w:val="21"/>
                <w:szCs w:val="21"/>
                <w14:textFill>
                  <w14:solidFill>
                    <w14:schemeClr w14:val="tx1"/>
                  </w14:solidFill>
                </w14:textFill>
              </w:rPr>
              <w:t>（未经审计）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营业收入</w:t>
            </w:r>
          </w:p>
        </w:tc>
        <w:tc>
          <w:tcPr>
            <w:tcW w:w="2409" w:type="dxa"/>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8,347.15</w:t>
            </w:r>
          </w:p>
        </w:tc>
        <w:tc>
          <w:tcPr>
            <w:tcW w:w="2410" w:type="dxa"/>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4,330.63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hint="eastAsia" w:ascii="Times New Roman" w:hAnsi="Times New Roman" w:cs="Times New Roman"/>
                <w:bCs/>
                <w:color w:val="000000" w:themeColor="text1"/>
                <w:spacing w:val="-1"/>
                <w:sz w:val="21"/>
                <w:szCs w:val="21"/>
                <w:lang w:val="en-US"/>
                <w14:textFill>
                  <w14:solidFill>
                    <w14:schemeClr w14:val="tx1"/>
                  </w14:solidFill>
                </w14:textFill>
              </w:rPr>
              <w:t>净利润</w:t>
            </w:r>
          </w:p>
        </w:tc>
        <w:tc>
          <w:tcPr>
            <w:tcW w:w="2409" w:type="dxa"/>
            <w:vAlign w:val="center"/>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240.41</w:t>
            </w:r>
          </w:p>
        </w:tc>
        <w:tc>
          <w:tcPr>
            <w:tcW w:w="2410" w:type="dxa"/>
          </w:tcPr>
          <w:p>
            <w:pPr>
              <w:jc w:val="center"/>
              <w:rPr>
                <w:rFonts w:ascii="Times New Roman" w:hAnsi="Times New Roman" w:cs="Times New Roman"/>
                <w:bCs/>
                <w:color w:val="000000" w:themeColor="text1"/>
                <w:spacing w:val="-1"/>
                <w:sz w:val="21"/>
                <w:szCs w:val="21"/>
                <w:lang w:val="en-US"/>
                <w14:textFill>
                  <w14:solidFill>
                    <w14:schemeClr w14:val="tx1"/>
                  </w14:solidFill>
                </w14:textFill>
              </w:rPr>
            </w:pPr>
            <w:r>
              <w:rPr>
                <w:rFonts w:ascii="Times New Roman" w:hAnsi="Times New Roman" w:cs="Times New Roman"/>
                <w:bCs/>
                <w:color w:val="000000" w:themeColor="text1"/>
                <w:spacing w:val="-1"/>
                <w:sz w:val="21"/>
                <w:szCs w:val="21"/>
                <w:lang w:val="en-US"/>
                <w14:textFill>
                  <w14:solidFill>
                    <w14:schemeClr w14:val="tx1"/>
                  </w14:solidFill>
                </w14:textFill>
              </w:rPr>
              <w:t>147.83</w:t>
            </w:r>
          </w:p>
        </w:tc>
      </w:tr>
    </w:tbl>
    <w:p>
      <w:pPr>
        <w:pStyle w:val="3"/>
        <w:keepNext w:val="0"/>
        <w:keepLines w:val="0"/>
        <w:pageBreakBefore w:val="0"/>
        <w:kinsoku/>
        <w:wordWrap/>
        <w:overflowPunct/>
        <w:topLinePunct w:val="0"/>
        <w:bidi w:val="0"/>
        <w:adjustRightInd/>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（四）关联关系说明</w:t>
      </w:r>
    </w:p>
    <w:p>
      <w:pPr>
        <w:pStyle w:val="5"/>
        <w:keepNext w:val="0"/>
        <w:keepLines w:val="0"/>
        <w:pageBreakBefore w:val="0"/>
        <w:kinsoku/>
        <w:wordWrap/>
        <w:overflowPunct/>
        <w:topLinePunct w:val="0"/>
        <w:bidi w:val="0"/>
        <w:adjustRightInd/>
        <w:snapToGrid/>
        <w:spacing w:before="0" w:line="520" w:lineRule="exact"/>
        <w:ind w:left="100" w:right="237"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山东能源是本公司的控股股东，截至本公告披露日，直接和间接持有本公司54.67%的股份。根据境内外上市地监管规定，山东能源为本公司的关联法人，公司与山东能源的交易构成关联交易。</w:t>
      </w:r>
    </w:p>
    <w:p>
      <w:pPr>
        <w:pStyle w:val="3"/>
        <w:keepNext w:val="0"/>
        <w:keepLines w:val="0"/>
        <w:pageBreakBefore w:val="0"/>
        <w:kinsoku/>
        <w:wordWrap/>
        <w:overflowPunct/>
        <w:topLinePunct w:val="0"/>
        <w:bidi w:val="0"/>
        <w:adjustRightInd/>
        <w:snapToGrid/>
        <w:spacing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rPr>
        <w:t>三</w:t>
      </w:r>
      <w:r>
        <w:rPr>
          <w:rFonts w:hint="eastAsia" w:ascii="黑体" w:hAnsi="黑体" w:eastAsia="黑体" w:cs="黑体"/>
          <w:b w:val="0"/>
          <w:bCs w:val="0"/>
          <w:sz w:val="28"/>
          <w:szCs w:val="28"/>
        </w:rPr>
        <w:t>、持续性关联交易协议主要内容和定价政策</w:t>
      </w:r>
    </w:p>
    <w:p>
      <w:pPr>
        <w:pStyle w:val="5"/>
        <w:keepNext w:val="0"/>
        <w:keepLines w:val="0"/>
        <w:pageBreakBefore w:val="0"/>
        <w:kinsoku/>
        <w:wordWrap/>
        <w:overflowPunct/>
        <w:topLinePunct w:val="0"/>
        <w:bidi w:val="0"/>
        <w:adjustRightInd/>
        <w:snapToGrid/>
        <w:spacing w:before="0" w:line="520" w:lineRule="exact"/>
        <w:ind w:left="100" w:right="237"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2023年8月25日，公司与山东能源分别签署新的《大宗商品购销协议》《融资租赁协议》及《委托管理服务框架协议》，在公司获得独立股东批准的条件下，《大宗商品购销协议》《融资租赁协议》自2024年1月1日起生效，《委托管理服务框架协议》自2025年1月1日起生效。该等协议主要内容及定价政策如下：</w:t>
      </w:r>
      <w:r>
        <w:rPr>
          <w:rFonts w:hint="eastAsia" w:ascii="宋体" w:hAnsi="宋体" w:eastAsia="宋体" w:cs="宋体"/>
          <w:i/>
          <w:sz w:val="28"/>
          <w:szCs w:val="28"/>
        </w:rPr>
        <w:t xml:space="preserve"> </w:t>
      </w:r>
    </w:p>
    <w:p>
      <w:pPr>
        <w:pStyle w:val="3"/>
        <w:keepNext w:val="0"/>
        <w:keepLines w:val="0"/>
        <w:pageBreakBefore w:val="0"/>
        <w:kinsoku/>
        <w:wordWrap/>
        <w:overflowPunct/>
        <w:topLinePunct w:val="0"/>
        <w:bidi w:val="0"/>
        <w:adjustRightInd/>
        <w:snapToGrid/>
        <w:spacing w:line="520" w:lineRule="exact"/>
        <w:ind w:left="0" w:firstLine="562" w:firstLineChars="200"/>
        <w:textAlignment w:val="auto"/>
        <w:rPr>
          <w:rFonts w:hint="eastAsia" w:ascii="楷体_GB2312" w:hAnsi="楷体_GB2312" w:eastAsia="楷体_GB2312" w:cs="楷体_GB2312"/>
          <w:b w:val="0"/>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sz w:val="28"/>
          <w:szCs w:val="28"/>
          <w:lang w:val="en-US"/>
        </w:rPr>
        <w:t>《大宗商品购销协议》</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1.协议主要内容</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（1）兖矿能源和山东能源互相采购和销售煤炭、铁矿石、橡胶及其他大宗商品。</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（2）山东能源承诺，向兖矿能源提供大宗商品的价格在任何情况下不得超过山东能源就同类大宗商品向任何独立第三方收取的价格。</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若任何第三方就同类大宗商品所提出的供应或购买条款及条件比山东能源的更优惠，或者山东能源提供的大宗商品在任何方面（包括数量上或质量上）不能满足兖矿能源的需要，则兖矿能源有权选择从第三方购买或向其销售该类大宗商品。</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lang w:bidi="zh-TW"/>
        </w:rPr>
      </w:pPr>
      <w:r>
        <w:rPr>
          <w:rFonts w:hint="eastAsia" w:ascii="宋体" w:hAnsi="宋体" w:eastAsia="宋体" w:cs="宋体"/>
          <w:sz w:val="28"/>
          <w:szCs w:val="28"/>
        </w:rPr>
        <w:t>（4）双方</w:t>
      </w:r>
      <w:r>
        <w:rPr>
          <w:rFonts w:hint="eastAsia" w:ascii="宋体" w:hAnsi="宋体" w:eastAsia="宋体" w:cs="宋体"/>
          <w:sz w:val="28"/>
          <w:szCs w:val="28"/>
          <w:lang w:val="en-US" w:bidi="zh-TW"/>
        </w:rPr>
        <w:t>可以于每年11月30日前向对方提交下一年度的协定购销需求计划或对本年度购销项目的调整计划，并应于该年12月31日前就该计划达成一致。双方及各自附属公司根据《</w:t>
      </w:r>
      <w:r>
        <w:rPr>
          <w:rFonts w:hint="eastAsia" w:ascii="宋体" w:hAnsi="宋体" w:eastAsia="宋体" w:cs="宋体"/>
          <w:sz w:val="28"/>
          <w:szCs w:val="28"/>
          <w:lang w:bidi="zh-TW"/>
        </w:rPr>
        <w:t>大宗商品购销协议》签订具体的协定购销合同。</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2.定价原则和依据等</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（1）有关煤炭、铁矿石、橡胶及其他大宗商品的价格应按照市场价格确定。</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协定购销的市场价格根据一般商务条款以及下列基准确定：在同类或类似产品的提供地或其附近地区的独立第三方，按照一般商务条款，在其日常业务过程中进行同类或类似协定购销当时收取的价格；若前述情形不适用时，在中国境内的独立第三方，按照一般商务条款，在其日常业务过程中，进行同类或类似协定购销当时收取的价格。</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（3）如果在任何时候，国家定价生效并适用于某项协定购销，双方同意该项协定购销价格应按国家定价确定。</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3.有效期：</w:t>
      </w:r>
      <w:r>
        <w:rPr>
          <w:rFonts w:hint="eastAsia" w:ascii="宋体" w:hAnsi="宋体" w:eastAsia="宋体" w:cs="宋体"/>
          <w:sz w:val="28"/>
          <w:szCs w:val="28"/>
          <w:lang w:val="en-US"/>
        </w:rPr>
        <w:t>协议有效期为两年，自2024年1月1日起至2025年12月31日止。</w:t>
      </w:r>
    </w:p>
    <w:p>
      <w:pPr>
        <w:pStyle w:val="3"/>
        <w:keepNext w:val="0"/>
        <w:keepLines w:val="0"/>
        <w:pageBreakBefore w:val="0"/>
        <w:kinsoku/>
        <w:wordWrap/>
        <w:overflowPunct/>
        <w:topLinePunct w:val="0"/>
        <w:bidi w:val="0"/>
        <w:adjustRightInd/>
        <w:snapToGrid/>
        <w:spacing w:line="520" w:lineRule="exact"/>
        <w:ind w:left="0" w:firstLine="562"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w:t>
      </w:r>
      <w:r>
        <w:rPr>
          <w:rFonts w:hint="eastAsia" w:ascii="楷体_GB2312" w:hAnsi="楷体_GB2312" w:eastAsia="楷体_GB2312" w:cs="楷体_GB2312"/>
          <w:sz w:val="28"/>
          <w:szCs w:val="28"/>
          <w:lang w:val="en-US"/>
        </w:rPr>
        <w:t>《融资租赁协议》</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1.协议主要内容</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rPr>
        <w:t>（1）兖矿能源</w:t>
      </w:r>
      <w:r>
        <w:rPr>
          <w:rFonts w:hint="eastAsia" w:ascii="宋体" w:hAnsi="宋体" w:eastAsia="宋体" w:cs="宋体"/>
          <w:sz w:val="28"/>
          <w:szCs w:val="28"/>
          <w:lang w:val="en-US"/>
        </w:rPr>
        <w:t>向山东能源提供融资租赁及有关服务，包括直租与售后回租等。</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（2）</w:t>
      </w:r>
      <w:r>
        <w:rPr>
          <w:rFonts w:hint="eastAsia" w:ascii="宋体" w:hAnsi="宋体" w:eastAsia="宋体" w:cs="宋体"/>
          <w:sz w:val="28"/>
          <w:szCs w:val="28"/>
        </w:rPr>
        <w:t>本协议项下的租赁物包括机器设备、设施等动产及不动产。</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2.定价原则和依据等</w:t>
      </w:r>
    </w:p>
    <w:p>
      <w:pPr>
        <w:keepNext w:val="0"/>
        <w:keepLines w:val="0"/>
        <w:pageBreakBefore w:val="0"/>
        <w:tabs>
          <w:tab w:val="left" w:pos="4253"/>
          <w:tab w:val="left" w:pos="5954"/>
          <w:tab w:val="left" w:pos="6379"/>
        </w:tabs>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兖矿能源向山东能源提供融资租赁服务执行的最低利率为在全国银行间同业拆借中心公布的同期贷款市场报价利率基础上上浮不低于5%，最高利率不超过7.5%；提供融资租赁服务的手续费或咨询费，按照不高于融资本金的1%/年收取。</w:t>
      </w:r>
    </w:p>
    <w:p>
      <w:pPr>
        <w:keepNext w:val="0"/>
        <w:keepLines w:val="0"/>
        <w:pageBreakBefore w:val="0"/>
        <w:tabs>
          <w:tab w:val="left" w:pos="4253"/>
          <w:tab w:val="left" w:pos="5954"/>
          <w:tab w:val="left" w:pos="6379"/>
        </w:tabs>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租金由山东能源按季以等额本金或等额本息方式向兖矿能源或其从事融资租赁业务的附属公司支付。手续费或咨询费在支付租赁物转让价款当日或之前一次性收取。</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3.有效期：协议有效期为两年，自2024年1月1日起至2025年12月31日止。</w:t>
      </w:r>
    </w:p>
    <w:p>
      <w:pPr>
        <w:pStyle w:val="3"/>
        <w:keepNext w:val="0"/>
        <w:keepLines w:val="0"/>
        <w:pageBreakBefore w:val="0"/>
        <w:kinsoku/>
        <w:wordWrap/>
        <w:overflowPunct/>
        <w:topLinePunct w:val="0"/>
        <w:bidi w:val="0"/>
        <w:adjustRightInd/>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w:t>
      </w:r>
      <w:r>
        <w:rPr>
          <w:rFonts w:hint="eastAsia" w:ascii="楷体_GB2312" w:hAnsi="楷体_GB2312" w:eastAsia="楷体_GB2312" w:cs="楷体_GB2312"/>
          <w:sz w:val="28"/>
          <w:szCs w:val="28"/>
          <w:lang w:val="en-US"/>
        </w:rPr>
        <w:t>《委托管理服务框架协议》</w:t>
      </w:r>
    </w:p>
    <w:p>
      <w:pPr>
        <w:pStyle w:val="5"/>
        <w:keepNext w:val="0"/>
        <w:keepLines w:val="0"/>
        <w:pageBreakBefore w:val="0"/>
        <w:kinsoku/>
        <w:wordWrap/>
        <w:overflowPunct/>
        <w:topLinePunct w:val="0"/>
        <w:bidi w:val="0"/>
        <w:adjustRightInd/>
        <w:snapToGrid/>
        <w:spacing w:before="0"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1.协议主要内容</w:t>
      </w:r>
    </w:p>
    <w:p>
      <w:pPr>
        <w:pStyle w:val="5"/>
        <w:keepNext w:val="0"/>
        <w:keepLines w:val="0"/>
        <w:pageBreakBefore w:val="0"/>
        <w:kinsoku/>
        <w:wordWrap/>
        <w:overflowPunct/>
        <w:topLinePunct w:val="0"/>
        <w:bidi w:val="0"/>
        <w:adjustRightInd/>
        <w:snapToGrid/>
        <w:spacing w:before="0"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兖矿能源接受山东能源委托，就本协议项下的资产或股权等标的资产进行管理。兖矿能源负责标的资产包括但不限于战略管理、产业发展、重大安全技术管理、相关生产经营管理及产品销售等，按照法律规定承担标的资产安全环保重大事项监管责任；委托管理期间，标的资产的产权隶属关系保持不变，产权权属及资产收益权由山东能源享有，山东能源参与对标的资产整体设计、规划布局、协同发展等方面的决策。</w:t>
      </w:r>
    </w:p>
    <w:p>
      <w:pPr>
        <w:pStyle w:val="5"/>
        <w:keepNext w:val="0"/>
        <w:keepLines w:val="0"/>
        <w:pageBreakBefore w:val="0"/>
        <w:kinsoku/>
        <w:wordWrap/>
        <w:overflowPunct/>
        <w:topLinePunct w:val="0"/>
        <w:bidi w:val="0"/>
        <w:adjustRightInd/>
        <w:snapToGrid/>
        <w:spacing w:before="0"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2.定价原则和依据等</w:t>
      </w:r>
    </w:p>
    <w:p>
      <w:pPr>
        <w:keepNext w:val="0"/>
        <w:keepLines w:val="0"/>
        <w:pageBreakBefore w:val="0"/>
        <w:tabs>
          <w:tab w:val="left" w:pos="4253"/>
          <w:tab w:val="left" w:pos="5954"/>
          <w:tab w:val="left" w:pos="6379"/>
        </w:tabs>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（1）具体标的资产的委托管理费用由双方根据相关标的资产的状况、兖矿能源进行委托管理的成本及相关标的资产的盈利情况确定。</w:t>
      </w:r>
    </w:p>
    <w:p>
      <w:pPr>
        <w:keepNext w:val="0"/>
        <w:keepLines w:val="0"/>
        <w:pageBreakBefore w:val="0"/>
        <w:tabs>
          <w:tab w:val="left" w:pos="4253"/>
          <w:tab w:val="left" w:pos="5954"/>
          <w:tab w:val="left" w:pos="6379"/>
        </w:tabs>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（2）如果在任何时候，国家定价生效并适用于本协议约定的委托管理事项，双方同意委托管理事项的价格应按国家定价确定。</w:t>
      </w:r>
    </w:p>
    <w:p>
      <w:pPr>
        <w:pStyle w:val="5"/>
        <w:keepNext w:val="0"/>
        <w:keepLines w:val="0"/>
        <w:pageBreakBefore w:val="0"/>
        <w:kinsoku/>
        <w:wordWrap/>
        <w:overflowPunct/>
        <w:topLinePunct w:val="0"/>
        <w:bidi w:val="0"/>
        <w:adjustRightInd/>
        <w:snapToGrid/>
        <w:spacing w:before="0"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（3）在委托管理期限内，山东能源按年度分期支付管理费用，具体由双方根据标的资产的情况另行协商确定。</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rPr>
        <w:t>（4）</w:t>
      </w:r>
      <w:r>
        <w:rPr>
          <w:rFonts w:hint="eastAsia" w:ascii="宋体" w:hAnsi="宋体" w:eastAsia="宋体" w:cs="宋体"/>
          <w:sz w:val="28"/>
          <w:szCs w:val="28"/>
          <w:lang w:val="en-US"/>
        </w:rPr>
        <w:t>双方将另行协商确定委托管理的标的资产的具体范围、具体资产的管理权限及委托管理费用等，签署委托管理实施文件进行明确，并可以在本协议确定的框架范围内经协商一致后对前述事项进行调整。</w:t>
      </w:r>
    </w:p>
    <w:p>
      <w:pPr>
        <w:pStyle w:val="5"/>
        <w:keepNext w:val="0"/>
        <w:keepLines w:val="0"/>
        <w:pageBreakBefore w:val="0"/>
        <w:kinsoku/>
        <w:wordWrap/>
        <w:overflowPunct/>
        <w:topLinePunct w:val="0"/>
        <w:bidi w:val="0"/>
        <w:adjustRightInd/>
        <w:snapToGrid/>
        <w:spacing w:before="0"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3.有效期：</w:t>
      </w:r>
      <w:r>
        <w:rPr>
          <w:rFonts w:hint="eastAsia" w:ascii="宋体" w:hAnsi="宋体" w:eastAsia="宋体" w:cs="宋体"/>
          <w:sz w:val="28"/>
          <w:szCs w:val="28"/>
          <w:lang w:val="en-US"/>
        </w:rPr>
        <w:t>协议有效期为一年，自2025年1月1日起至2025年12月31日止。</w:t>
      </w:r>
    </w:p>
    <w:p>
      <w:pPr>
        <w:pStyle w:val="3"/>
        <w:keepNext w:val="0"/>
        <w:keepLines w:val="0"/>
        <w:pageBreakBefore w:val="0"/>
        <w:kinsoku/>
        <w:wordWrap/>
        <w:overflowPunct/>
        <w:topLinePunct w:val="0"/>
        <w:bidi w:val="0"/>
        <w:adjustRightInd/>
        <w:snapToGrid/>
        <w:spacing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rPr>
        <w:t>四</w:t>
      </w:r>
      <w:r>
        <w:rPr>
          <w:rFonts w:hint="eastAsia" w:ascii="黑体" w:hAnsi="黑体" w:eastAsia="黑体" w:cs="黑体"/>
          <w:b w:val="0"/>
          <w:bCs w:val="0"/>
          <w:sz w:val="28"/>
          <w:szCs w:val="28"/>
        </w:rPr>
        <w:t>、持续性关联交易的目的和对公司的影响</w:t>
      </w:r>
    </w:p>
    <w:p>
      <w:pPr>
        <w:pStyle w:val="3"/>
        <w:keepNext w:val="0"/>
        <w:keepLines w:val="0"/>
        <w:pageBreakBefore w:val="0"/>
        <w:kinsoku/>
        <w:wordWrap/>
        <w:overflowPunct/>
        <w:topLinePunct w:val="0"/>
        <w:bidi w:val="0"/>
        <w:adjustRightInd/>
        <w:snapToGrid/>
        <w:spacing w:line="520" w:lineRule="exact"/>
        <w:ind w:left="0" w:firstLine="562" w:firstLineChars="200"/>
        <w:textAlignment w:val="auto"/>
        <w:rPr>
          <w:rFonts w:hint="eastAsia" w:ascii="楷体_GB2312" w:hAnsi="楷体_GB2312" w:eastAsia="楷体_GB2312" w:cs="楷体_GB2312"/>
          <w:i/>
          <w:sz w:val="28"/>
          <w:szCs w:val="28"/>
        </w:rPr>
      </w:pPr>
      <w:r>
        <w:rPr>
          <w:rFonts w:hint="eastAsia" w:ascii="楷体_GB2312" w:hAnsi="楷体_GB2312" w:eastAsia="楷体_GB2312" w:cs="楷体_GB2312"/>
          <w:sz w:val="28"/>
          <w:szCs w:val="28"/>
        </w:rPr>
        <w:t>（一）进行持续性关联交易的目的</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1.公司与山东能源互供大宗商品，</w:t>
      </w:r>
      <w:r>
        <w:rPr>
          <w:rFonts w:hint="eastAsia" w:ascii="宋体" w:hAnsi="宋体" w:eastAsia="宋体" w:cs="宋体"/>
          <w:sz w:val="28"/>
          <w:szCs w:val="28"/>
          <w:lang w:val="en-US" w:bidi="zh-TW"/>
        </w:rPr>
        <w:t>有助于减轻经济周期波动对公司业绩的影响，提升公司整体经营规模，提高盈利水平。此外，</w:t>
      </w:r>
      <w:r>
        <w:rPr>
          <w:rFonts w:hint="eastAsia" w:ascii="宋体" w:hAnsi="宋体" w:eastAsia="宋体" w:cs="宋体"/>
          <w:sz w:val="28"/>
          <w:szCs w:val="28"/>
          <w:lang w:val="en-US"/>
        </w:rPr>
        <w:t>可使公司与山东能源在产品结构、物流渠道、客商资源方面实现互补，通过业务协同加快贸易业务周转、降低经营风险、提高经济效益。</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2.公司从事融资租赁业务的附属公司为山东能源提供融资租赁服务，可加强公司设备采购管理水平，提高采购议价能力，降低相关融资成本，有助于公司提升盈利能力，提高企业竞争力。根据山东能源的营运需求按正常商业条款向山东能源提供资产租赁的方式，能够有效控制融资租赁业务的风险并获得经济利益。</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3.开展委托管理持续性关联交易，能够充分利用公司在相关领域的资源和专业管理优势，</w:t>
      </w:r>
      <w:r>
        <w:rPr>
          <w:rFonts w:hint="eastAsia" w:ascii="宋体" w:hAnsi="宋体" w:eastAsia="宋体" w:cs="宋体"/>
          <w:sz w:val="28"/>
          <w:szCs w:val="28"/>
          <w:lang w:val="en-US" w:bidi="zh-TW"/>
        </w:rPr>
        <w:t>避免相关领域的同业竞争，</w:t>
      </w:r>
      <w:r>
        <w:rPr>
          <w:rFonts w:hint="eastAsia" w:ascii="宋体" w:hAnsi="宋体" w:eastAsia="宋体" w:cs="宋体"/>
          <w:sz w:val="28"/>
          <w:szCs w:val="28"/>
          <w:lang w:val="en-US"/>
        </w:rPr>
        <w:t>更好地实现山东能源与兖矿能源的资源共享和协同效应，发挥规模优势，增强相关产业市场竞争力，进一步提升公司经济效益。</w:t>
      </w:r>
    </w:p>
    <w:p>
      <w:pPr>
        <w:pStyle w:val="3"/>
        <w:keepNext w:val="0"/>
        <w:keepLines w:val="0"/>
        <w:pageBreakBefore w:val="0"/>
        <w:kinsoku/>
        <w:wordWrap/>
        <w:overflowPunct/>
        <w:topLinePunct w:val="0"/>
        <w:bidi w:val="0"/>
        <w:adjustRightInd/>
        <w:snapToGrid/>
        <w:spacing w:line="520" w:lineRule="exact"/>
        <w:ind w:left="0" w:firstLine="562"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（二）持续性</w:t>
      </w:r>
      <w:r>
        <w:rPr>
          <w:rFonts w:hint="eastAsia" w:ascii="楷体_GB2312" w:hAnsi="楷体_GB2312" w:eastAsia="楷体_GB2312" w:cs="楷体_GB2312"/>
          <w:sz w:val="28"/>
          <w:szCs w:val="28"/>
          <w:lang w:val="en-US"/>
        </w:rPr>
        <w:t>关联交易对公司的影响</w:t>
      </w:r>
    </w:p>
    <w:p>
      <w:pPr>
        <w:pStyle w:val="5"/>
        <w:keepNext w:val="0"/>
        <w:keepLines w:val="0"/>
        <w:pageBreakBefore w:val="0"/>
        <w:kinsoku/>
        <w:wordWrap/>
        <w:overflowPunct/>
        <w:topLinePunct w:val="0"/>
        <w:bidi w:val="0"/>
        <w:adjustRightInd/>
        <w:snapToGrid/>
        <w:spacing w:before="0" w:line="520" w:lineRule="exact"/>
        <w:ind w:left="0" w:firstLine="560" w:firstLineChars="200"/>
        <w:jc w:val="both"/>
        <w:textAlignment w:val="auto"/>
        <w:rPr>
          <w:rFonts w:ascii="Times New Roman" w:hAnsi="Times New Roman" w:cs="Times New Roman"/>
          <w:sz w:val="28"/>
          <w:szCs w:val="28"/>
          <w:lang w:val="en-US"/>
        </w:rPr>
      </w:pPr>
      <w:r>
        <w:rPr>
          <w:rFonts w:hint="eastAsia" w:ascii="Times New Roman" w:hAnsi="Times New Roman" w:cs="Times New Roman"/>
          <w:sz w:val="28"/>
          <w:szCs w:val="28"/>
          <w:lang w:val="en-US"/>
        </w:rPr>
        <w:t>本次持续性关联交易有利于更好地实现公司与山东能源的资源共享和协同效应，降低交易成本和风险，进一步提高公司可持续盈利能力和核心竞争能力，本次持续性关联交易系基于公司及附属公司正常的日常经营需要，符合公司和全体股东利益；本次持续性关联交易协议按一般商业条款订立，定价公平合理，不会对公司现在及将来的财务状况、经营成果产生不利影响；公司与控股股东在业务、人员、资产、机构、财务等方面独立，本次持续性关联交易不会对公司独立性产生影响，公司业务没有因本次持续性关联交易而对控股股东形成依赖。</w:t>
      </w:r>
    </w:p>
    <w:p>
      <w:pPr>
        <w:pStyle w:val="3"/>
        <w:keepNext w:val="0"/>
        <w:keepLines w:val="0"/>
        <w:pageBreakBefore w:val="0"/>
        <w:kinsoku/>
        <w:wordWrap/>
        <w:overflowPunct/>
        <w:topLinePunct w:val="0"/>
        <w:bidi w:val="0"/>
        <w:adjustRightInd/>
        <w:snapToGrid/>
        <w:spacing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rPr>
        <w:t>五</w:t>
      </w:r>
      <w:r>
        <w:rPr>
          <w:rFonts w:hint="eastAsia" w:ascii="黑体" w:hAnsi="黑体" w:eastAsia="黑体" w:cs="黑体"/>
          <w:b w:val="0"/>
          <w:bCs w:val="0"/>
          <w:sz w:val="28"/>
          <w:szCs w:val="28"/>
        </w:rPr>
        <w:t>、备查文件</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ind w:firstLine="560" w:firstLineChars="200"/>
        <w:textAlignment w:val="auto"/>
        <w:rPr>
          <w:rFonts w:ascii="Times New Roman" w:hAnsi="Times New Roman" w:cs="Times New Roman"/>
          <w:sz w:val="28"/>
          <w:szCs w:val="28"/>
          <w:lang w:val="en-US"/>
        </w:rPr>
      </w:pPr>
      <w:r>
        <w:rPr>
          <w:rFonts w:hint="eastAsia" w:ascii="Times New Roman" w:hAnsi="Times New Roman" w:cs="Times New Roman"/>
          <w:sz w:val="28"/>
          <w:szCs w:val="28"/>
          <w:lang w:val="en-US"/>
        </w:rPr>
        <w:t>（一）公司第九届董事会第二次会议决议；</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ind w:firstLine="560" w:firstLineChars="200"/>
        <w:textAlignment w:val="auto"/>
        <w:rPr>
          <w:rFonts w:ascii="Times New Roman" w:hAnsi="Times New Roman" w:cs="Times New Roman"/>
          <w:sz w:val="28"/>
          <w:szCs w:val="28"/>
          <w:lang w:val="en-US"/>
        </w:rPr>
      </w:pPr>
      <w:r>
        <w:rPr>
          <w:rFonts w:hint="eastAsia" w:ascii="Times New Roman" w:hAnsi="Times New Roman" w:cs="Times New Roman"/>
          <w:sz w:val="28"/>
          <w:szCs w:val="28"/>
          <w:lang w:val="en-US"/>
        </w:rPr>
        <w:t>（二）独立董事事前认可意见、独立意见及独立董事委员会意见；</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ind w:firstLine="560" w:firstLineChars="200"/>
        <w:textAlignment w:val="auto"/>
        <w:rPr>
          <w:rFonts w:ascii="Times New Roman" w:hAnsi="Times New Roman" w:cs="Times New Roman"/>
          <w:sz w:val="28"/>
          <w:szCs w:val="28"/>
          <w:lang w:val="en-US"/>
        </w:rPr>
      </w:pPr>
      <w:r>
        <w:rPr>
          <w:rFonts w:hint="eastAsia" w:ascii="Times New Roman" w:hAnsi="Times New Roman" w:cs="Times New Roman"/>
          <w:sz w:val="28"/>
          <w:szCs w:val="28"/>
          <w:lang w:val="en-US"/>
        </w:rPr>
        <w:t>（三）</w:t>
      </w:r>
      <w:r>
        <w:rPr>
          <w:rFonts w:hint="eastAsia" w:ascii="Times New Roman" w:hAnsi="Times New Roman" w:cs="Times New Roman"/>
          <w:bCs/>
          <w:sz w:val="28"/>
          <w:szCs w:val="28"/>
          <w:lang w:val="en-US"/>
        </w:rPr>
        <w:t>《大宗商品购销协议》</w:t>
      </w:r>
      <w:r>
        <w:rPr>
          <w:rFonts w:hint="eastAsia" w:ascii="Times New Roman" w:hAnsi="Times New Roman" w:cs="Times New Roman"/>
          <w:sz w:val="28"/>
          <w:szCs w:val="28"/>
          <w:lang w:val="en-US"/>
        </w:rPr>
        <w:t>；</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ind w:firstLine="560" w:firstLineChars="200"/>
        <w:textAlignment w:val="auto"/>
        <w:rPr>
          <w:rFonts w:ascii="Times New Roman" w:hAnsi="Times New Roman" w:cs="Times New Roman"/>
          <w:sz w:val="28"/>
          <w:szCs w:val="28"/>
          <w:lang w:val="en-US"/>
        </w:rPr>
      </w:pPr>
      <w:r>
        <w:rPr>
          <w:rFonts w:hint="eastAsia" w:ascii="Times New Roman" w:hAnsi="Times New Roman" w:cs="Times New Roman"/>
          <w:sz w:val="28"/>
          <w:szCs w:val="28"/>
          <w:lang w:val="en-US"/>
        </w:rPr>
        <w:t>（四）</w:t>
      </w:r>
      <w:r>
        <w:rPr>
          <w:rFonts w:hint="eastAsia" w:ascii="Times New Roman" w:hAnsi="Times New Roman" w:cs="Times New Roman"/>
          <w:bCs/>
          <w:sz w:val="28"/>
          <w:szCs w:val="28"/>
          <w:lang w:val="en-US"/>
        </w:rPr>
        <w:t>《融资租赁协议》</w:t>
      </w:r>
      <w:r>
        <w:rPr>
          <w:rFonts w:hint="eastAsia" w:ascii="Times New Roman" w:hAnsi="Times New Roman" w:cs="Times New Roman"/>
          <w:sz w:val="28"/>
          <w:szCs w:val="28"/>
          <w:lang w:val="en-US"/>
        </w:rPr>
        <w:t>；</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ind w:firstLine="560" w:firstLineChars="200"/>
        <w:textAlignment w:val="auto"/>
        <w:rPr>
          <w:rFonts w:ascii="Times New Roman" w:hAnsi="Times New Roman" w:cs="Times New Roman"/>
          <w:sz w:val="28"/>
          <w:szCs w:val="28"/>
          <w:lang w:val="en-US"/>
        </w:rPr>
      </w:pPr>
      <w:r>
        <w:rPr>
          <w:rFonts w:hint="eastAsia" w:ascii="Times New Roman" w:hAnsi="Times New Roman" w:cs="Times New Roman"/>
          <w:sz w:val="28"/>
          <w:szCs w:val="28"/>
          <w:lang w:val="en-US"/>
        </w:rPr>
        <w:t>（五）</w:t>
      </w:r>
      <w:r>
        <w:rPr>
          <w:rFonts w:hint="eastAsia" w:ascii="Times New Roman" w:hAnsi="Times New Roman" w:cs="Times New Roman"/>
          <w:bCs/>
          <w:sz w:val="28"/>
          <w:szCs w:val="28"/>
          <w:lang w:val="en-US"/>
        </w:rPr>
        <w:t>《委托管理服务框架协议》。</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特此公告</w:t>
      </w:r>
      <w:r>
        <w:rPr>
          <w:rFonts w:hint="eastAsia" w:ascii="Times New Roman" w:hAnsi="Times New Roman" w:cs="Times New Roman"/>
          <w:sz w:val="28"/>
          <w:szCs w:val="28"/>
        </w:rPr>
        <w:t>。</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ind w:firstLine="560" w:firstLineChars="200"/>
        <w:textAlignment w:val="auto"/>
        <w:rPr>
          <w:rFonts w:ascii="Times New Roman" w:hAnsi="Times New Roman" w:cs="Times New Roman"/>
          <w:sz w:val="28"/>
          <w:szCs w:val="28"/>
        </w:rPr>
      </w:pP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jc w:val="right"/>
        <w:textAlignment w:val="auto"/>
        <w:rPr>
          <w:rFonts w:ascii="Times New Roman" w:hAnsi="Times New Roman" w:cs="Times New Roman"/>
          <w:sz w:val="28"/>
          <w:szCs w:val="28"/>
        </w:rPr>
      </w:pPr>
      <w:r>
        <w:rPr>
          <w:rFonts w:ascii="Times New Roman" w:hAnsi="Times New Roman" w:cs="Times New Roman"/>
          <w:sz w:val="28"/>
          <w:szCs w:val="28"/>
        </w:rPr>
        <w:t>兖矿能源集团股份有限公司董事会</w:t>
      </w:r>
    </w:p>
    <w:p>
      <w:pPr>
        <w:keepNext w:val="0"/>
        <w:keepLines w:val="0"/>
        <w:pageBreakBefore w:val="0"/>
        <w:widowControl/>
        <w:shd w:val="clear" w:color="auto" w:fill="FFFFFF"/>
        <w:tabs>
          <w:tab w:val="left" w:pos="851"/>
        </w:tabs>
        <w:kinsoku/>
        <w:wordWrap/>
        <w:overflowPunct/>
        <w:topLinePunct w:val="0"/>
        <w:bidi w:val="0"/>
        <w:adjustRightInd/>
        <w:snapToGrid/>
        <w:spacing w:line="52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2023年8月25日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ˎ̥">
    <w:altName w:val="Cambria"/>
    <w:panose1 w:val="00000000000000000000"/>
    <w:charset w:val="00"/>
    <w:family w:val="roman"/>
    <w:pitch w:val="default"/>
    <w:sig w:usb0="00000000" w:usb1="00000000" w:usb2="00000000" w:usb3="00000000" w:csb0="00040001" w:csb1="00000000"/>
  </w:font>
  <w:font w:name="方正黑体简体">
    <w:altName w:val="微软雅黑"/>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创艺简标宋">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61D69"/>
    <w:multiLevelType w:val="multilevel"/>
    <w:tmpl w:val="1C261D69"/>
    <w:lvl w:ilvl="0" w:tentative="0">
      <w:start w:val="1"/>
      <w:numFmt w:val="decimal"/>
      <w:pStyle w:val="26"/>
      <w:lvlText w:val="%1."/>
      <w:lvlJc w:val="left"/>
      <w:pPr>
        <w:tabs>
          <w:tab w:val="left" w:pos="720"/>
        </w:tabs>
        <w:ind w:left="720" w:hanging="720"/>
      </w:pPr>
      <w:rPr>
        <w:rFonts w:hint="default" w:ascii="Times New Roman" w:hAnsi="Times New Roman" w:cs="Times New Roman"/>
        <w:b w:val="0"/>
        <w:i w:val="0"/>
        <w:caps w:val="0"/>
        <w:smallCaps w:val="0"/>
        <w:sz w:val="24"/>
        <w:szCs w:val="24"/>
        <w:u w:val="none"/>
      </w:rPr>
    </w:lvl>
    <w:lvl w:ilvl="1" w:tentative="0">
      <w:start w:val="1"/>
      <w:numFmt w:val="decimal"/>
      <w:pStyle w:val="27"/>
      <w:isLgl/>
      <w:lvlText w:val="%1.%2"/>
      <w:lvlJc w:val="left"/>
      <w:pPr>
        <w:tabs>
          <w:tab w:val="left" w:pos="1440"/>
        </w:tabs>
        <w:ind w:left="1440" w:hanging="720"/>
      </w:pPr>
      <w:rPr>
        <w:rFonts w:hint="default" w:ascii="Times New Roman" w:hAnsi="Times New Roman" w:eastAsia="宋体" w:cs="Times New Roman"/>
        <w:b w:val="0"/>
        <w:i w:val="0"/>
        <w:caps w:val="0"/>
        <w:smallCaps w:val="0"/>
        <w:color w:val="auto"/>
        <w:sz w:val="24"/>
        <w:u w:val="none"/>
      </w:rPr>
    </w:lvl>
    <w:lvl w:ilvl="2" w:tentative="0">
      <w:start w:val="3"/>
      <w:numFmt w:val="decimal"/>
      <w:lvlText w:val="%1.%2.%3"/>
      <w:lvlJc w:val="left"/>
      <w:pPr>
        <w:tabs>
          <w:tab w:val="left" w:pos="2160"/>
        </w:tabs>
        <w:ind w:left="2160" w:hanging="720"/>
      </w:pPr>
      <w:rPr>
        <w:rFonts w:hint="default" w:ascii="Times New Roman" w:hAnsi="Times New Roman" w:eastAsia="宋体" w:cs="Times New Roman"/>
        <w:b w:val="0"/>
        <w:i w:val="0"/>
        <w:caps w:val="0"/>
        <w:smallCaps w:val="0"/>
        <w:sz w:val="24"/>
        <w:u w:val="none"/>
      </w:rPr>
    </w:lvl>
    <w:lvl w:ilvl="3" w:tentative="0">
      <w:start w:val="1"/>
      <w:numFmt w:val="lowerLetter"/>
      <w:pStyle w:val="28"/>
      <w:lvlText w:val="(%4)"/>
      <w:lvlJc w:val="left"/>
      <w:pPr>
        <w:tabs>
          <w:tab w:val="left" w:pos="720"/>
        </w:tabs>
        <w:ind w:left="2880" w:hanging="720"/>
      </w:pPr>
      <w:rPr>
        <w:rFonts w:hint="default" w:ascii="Times New Roman" w:hAnsi="Times New Roman" w:eastAsia="宋体" w:cs="Times New Roman"/>
        <w:b w:val="0"/>
        <w:i w:val="0"/>
        <w:caps w:val="0"/>
        <w:smallCaps w:val="0"/>
        <w:sz w:val="24"/>
        <w:u w:val="none"/>
      </w:rPr>
    </w:lvl>
    <w:lvl w:ilvl="4" w:tentative="0">
      <w:start w:val="1"/>
      <w:numFmt w:val="lowerLetter"/>
      <w:pStyle w:val="29"/>
      <w:lvlText w:val="(%5)"/>
      <w:lvlJc w:val="left"/>
      <w:pPr>
        <w:tabs>
          <w:tab w:val="left" w:pos="720"/>
        </w:tabs>
        <w:ind w:left="2160" w:hanging="720"/>
      </w:pPr>
      <w:rPr>
        <w:rFonts w:hint="default" w:ascii="Times New Roman" w:hAnsi="Times New Roman" w:eastAsia="宋体" w:cs="Times New Roman"/>
        <w:b w:val="0"/>
        <w:i w:val="0"/>
        <w:caps w:val="0"/>
        <w:smallCaps w:val="0"/>
        <w:sz w:val="24"/>
        <w:u w:val="none"/>
      </w:rPr>
    </w:lvl>
    <w:lvl w:ilvl="5" w:tentative="0">
      <w:start w:val="1"/>
      <w:numFmt w:val="lowerLetter"/>
      <w:pStyle w:val="30"/>
      <w:lvlText w:val="%6."/>
      <w:lvlJc w:val="left"/>
      <w:pPr>
        <w:tabs>
          <w:tab w:val="left" w:pos="4320"/>
        </w:tabs>
        <w:ind w:left="0" w:firstLine="3600"/>
      </w:pPr>
      <w:rPr>
        <w:rFonts w:hint="default" w:ascii="Times New Roman" w:hAnsi="Times New Roman" w:eastAsia="宋体" w:cs="Times New Roman"/>
        <w:b w:val="0"/>
        <w:i w:val="0"/>
        <w:caps w:val="0"/>
        <w:smallCaps w:val="0"/>
        <w:sz w:val="24"/>
        <w:u w:val="none"/>
      </w:rPr>
    </w:lvl>
    <w:lvl w:ilvl="6" w:tentative="0">
      <w:start w:val="1"/>
      <w:numFmt w:val="lowerRoman"/>
      <w:pStyle w:val="31"/>
      <w:lvlText w:val="%7."/>
      <w:lvlJc w:val="left"/>
      <w:pPr>
        <w:tabs>
          <w:tab w:val="left" w:pos="5040"/>
        </w:tabs>
        <w:ind w:left="0" w:firstLine="4320"/>
      </w:pPr>
      <w:rPr>
        <w:rFonts w:hint="default" w:ascii="Times New Roman" w:hAnsi="Times New Roman" w:eastAsia="宋体" w:cs="Times New Roman"/>
        <w:b w:val="0"/>
        <w:i w:val="0"/>
        <w:caps w:val="0"/>
        <w:smallCaps w:val="0"/>
        <w:sz w:val="24"/>
        <w:u w:val="none"/>
      </w:rPr>
    </w:lvl>
    <w:lvl w:ilvl="7" w:tentative="0">
      <w:start w:val="1"/>
      <w:numFmt w:val="lowerLetter"/>
      <w:pStyle w:val="32"/>
      <w:lvlText w:val="%8)"/>
      <w:lvlJc w:val="left"/>
      <w:pPr>
        <w:tabs>
          <w:tab w:val="left" w:pos="5760"/>
        </w:tabs>
        <w:ind w:left="0" w:firstLine="5040"/>
      </w:pPr>
      <w:rPr>
        <w:rFonts w:hint="default" w:ascii="Times New Roman" w:hAnsi="Times New Roman" w:eastAsia="宋体" w:cs="Times New Roman"/>
        <w:b w:val="0"/>
        <w:i w:val="0"/>
        <w:caps w:val="0"/>
        <w:smallCaps w:val="0"/>
        <w:color w:val="auto"/>
        <w:sz w:val="24"/>
        <w:u w:val="none"/>
      </w:rPr>
    </w:lvl>
    <w:lvl w:ilvl="8" w:tentative="0">
      <w:start w:val="1"/>
      <w:numFmt w:val="lowerRoman"/>
      <w:pStyle w:val="33"/>
      <w:lvlText w:val="%9)"/>
      <w:lvlJc w:val="left"/>
      <w:pPr>
        <w:tabs>
          <w:tab w:val="left" w:pos="6480"/>
        </w:tabs>
        <w:ind w:left="0" w:firstLine="5760"/>
      </w:pPr>
      <w:rPr>
        <w:rFonts w:hint="default" w:ascii="Times New Roman" w:hAnsi="Times New Roman" w:eastAsia="宋体" w:cs="Times New Roman"/>
        <w:b w:val="0"/>
        <w:i w:val="0"/>
        <w:caps w:val="0"/>
        <w:smallCaps w:val="0"/>
        <w:color w:val="auto"/>
        <w:sz w:val="24"/>
        <w:u w:val="none"/>
      </w:rPr>
    </w:lvl>
  </w:abstractNum>
  <w:abstractNum w:abstractNumId="1">
    <w:nsid w:val="1FEE3110"/>
    <w:multiLevelType w:val="multilevel"/>
    <w:tmpl w:val="1FEE311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s>
  <w:rsids>
    <w:rsidRoot w:val="00550D8D"/>
    <w:rsid w:val="00001DB4"/>
    <w:rsid w:val="00015CFC"/>
    <w:rsid w:val="00021EDD"/>
    <w:rsid w:val="0003033B"/>
    <w:rsid w:val="0003674D"/>
    <w:rsid w:val="00036D7C"/>
    <w:rsid w:val="00040796"/>
    <w:rsid w:val="000435EB"/>
    <w:rsid w:val="00050EAE"/>
    <w:rsid w:val="000523BA"/>
    <w:rsid w:val="000641A8"/>
    <w:rsid w:val="00081A09"/>
    <w:rsid w:val="00087324"/>
    <w:rsid w:val="00091EE7"/>
    <w:rsid w:val="000954DD"/>
    <w:rsid w:val="000A15BE"/>
    <w:rsid w:val="000A2262"/>
    <w:rsid w:val="000A4FC6"/>
    <w:rsid w:val="000C0235"/>
    <w:rsid w:val="000C1184"/>
    <w:rsid w:val="000C4906"/>
    <w:rsid w:val="000D3AE4"/>
    <w:rsid w:val="000F1762"/>
    <w:rsid w:val="000F1E03"/>
    <w:rsid w:val="000F4378"/>
    <w:rsid w:val="000F4EC7"/>
    <w:rsid w:val="00100909"/>
    <w:rsid w:val="00103A92"/>
    <w:rsid w:val="00113362"/>
    <w:rsid w:val="00113806"/>
    <w:rsid w:val="00124638"/>
    <w:rsid w:val="001255AD"/>
    <w:rsid w:val="001552EC"/>
    <w:rsid w:val="0015547E"/>
    <w:rsid w:val="00155E02"/>
    <w:rsid w:val="00157109"/>
    <w:rsid w:val="00173831"/>
    <w:rsid w:val="00182998"/>
    <w:rsid w:val="00184653"/>
    <w:rsid w:val="00186E8E"/>
    <w:rsid w:val="001B1948"/>
    <w:rsid w:val="001B3455"/>
    <w:rsid w:val="001C05BC"/>
    <w:rsid w:val="001C3142"/>
    <w:rsid w:val="001C3531"/>
    <w:rsid w:val="001D2F9B"/>
    <w:rsid w:val="001D6BCD"/>
    <w:rsid w:val="001E0AF8"/>
    <w:rsid w:val="001E29BF"/>
    <w:rsid w:val="001E763B"/>
    <w:rsid w:val="001F3523"/>
    <w:rsid w:val="001F4180"/>
    <w:rsid w:val="00204E7F"/>
    <w:rsid w:val="00204EC5"/>
    <w:rsid w:val="00206F42"/>
    <w:rsid w:val="00210574"/>
    <w:rsid w:val="0022081E"/>
    <w:rsid w:val="00222762"/>
    <w:rsid w:val="00227B56"/>
    <w:rsid w:val="00235C86"/>
    <w:rsid w:val="00247AEE"/>
    <w:rsid w:val="0026195C"/>
    <w:rsid w:val="00274772"/>
    <w:rsid w:val="00291B94"/>
    <w:rsid w:val="00293602"/>
    <w:rsid w:val="002A2582"/>
    <w:rsid w:val="002A70F9"/>
    <w:rsid w:val="002B076F"/>
    <w:rsid w:val="002C56DC"/>
    <w:rsid w:val="002D008D"/>
    <w:rsid w:val="002D0AFE"/>
    <w:rsid w:val="002F00DC"/>
    <w:rsid w:val="002F3205"/>
    <w:rsid w:val="00316338"/>
    <w:rsid w:val="00316EA5"/>
    <w:rsid w:val="0033446C"/>
    <w:rsid w:val="003412D0"/>
    <w:rsid w:val="003445E7"/>
    <w:rsid w:val="00355C1D"/>
    <w:rsid w:val="003740B8"/>
    <w:rsid w:val="003775C9"/>
    <w:rsid w:val="00380A6A"/>
    <w:rsid w:val="003859D9"/>
    <w:rsid w:val="00387179"/>
    <w:rsid w:val="0039513E"/>
    <w:rsid w:val="003A6B4A"/>
    <w:rsid w:val="003A760B"/>
    <w:rsid w:val="003C4CC7"/>
    <w:rsid w:val="003C6936"/>
    <w:rsid w:val="003F00C0"/>
    <w:rsid w:val="003F216D"/>
    <w:rsid w:val="00401D31"/>
    <w:rsid w:val="00412D2A"/>
    <w:rsid w:val="00426631"/>
    <w:rsid w:val="00441FF9"/>
    <w:rsid w:val="004424EA"/>
    <w:rsid w:val="004442C5"/>
    <w:rsid w:val="00445757"/>
    <w:rsid w:val="0044605A"/>
    <w:rsid w:val="00446230"/>
    <w:rsid w:val="004505F2"/>
    <w:rsid w:val="00476DD1"/>
    <w:rsid w:val="00485BEB"/>
    <w:rsid w:val="00491010"/>
    <w:rsid w:val="004912FB"/>
    <w:rsid w:val="004A4B3D"/>
    <w:rsid w:val="004B672F"/>
    <w:rsid w:val="004C01A0"/>
    <w:rsid w:val="004C45F2"/>
    <w:rsid w:val="004F140F"/>
    <w:rsid w:val="004F1FCF"/>
    <w:rsid w:val="004F4258"/>
    <w:rsid w:val="004F4FC7"/>
    <w:rsid w:val="00503BB7"/>
    <w:rsid w:val="00506473"/>
    <w:rsid w:val="00507462"/>
    <w:rsid w:val="0051377F"/>
    <w:rsid w:val="005156AA"/>
    <w:rsid w:val="005244E0"/>
    <w:rsid w:val="00526A1C"/>
    <w:rsid w:val="00537105"/>
    <w:rsid w:val="00546485"/>
    <w:rsid w:val="00550D8D"/>
    <w:rsid w:val="00556738"/>
    <w:rsid w:val="005612AA"/>
    <w:rsid w:val="00564DA3"/>
    <w:rsid w:val="00571B50"/>
    <w:rsid w:val="00581F91"/>
    <w:rsid w:val="005869EE"/>
    <w:rsid w:val="005917E5"/>
    <w:rsid w:val="005A400C"/>
    <w:rsid w:val="005A6D9D"/>
    <w:rsid w:val="005B5B44"/>
    <w:rsid w:val="005B603E"/>
    <w:rsid w:val="005C5AE8"/>
    <w:rsid w:val="005C5C4E"/>
    <w:rsid w:val="005D038D"/>
    <w:rsid w:val="005D0EB5"/>
    <w:rsid w:val="005E1E73"/>
    <w:rsid w:val="005F1BB1"/>
    <w:rsid w:val="005F6409"/>
    <w:rsid w:val="006052CF"/>
    <w:rsid w:val="00614F0C"/>
    <w:rsid w:val="00617C65"/>
    <w:rsid w:val="006211B1"/>
    <w:rsid w:val="00631A20"/>
    <w:rsid w:val="0064610F"/>
    <w:rsid w:val="006462B0"/>
    <w:rsid w:val="00647A37"/>
    <w:rsid w:val="006522F7"/>
    <w:rsid w:val="00657723"/>
    <w:rsid w:val="00657DE8"/>
    <w:rsid w:val="00657E78"/>
    <w:rsid w:val="0066164B"/>
    <w:rsid w:val="0066391B"/>
    <w:rsid w:val="0067587E"/>
    <w:rsid w:val="00680341"/>
    <w:rsid w:val="00681BFB"/>
    <w:rsid w:val="00683207"/>
    <w:rsid w:val="00683D53"/>
    <w:rsid w:val="00684D40"/>
    <w:rsid w:val="00687BF6"/>
    <w:rsid w:val="00690895"/>
    <w:rsid w:val="00692AC8"/>
    <w:rsid w:val="006A3AD7"/>
    <w:rsid w:val="006A53D6"/>
    <w:rsid w:val="006B2D15"/>
    <w:rsid w:val="006B3AAE"/>
    <w:rsid w:val="006D484A"/>
    <w:rsid w:val="006D7267"/>
    <w:rsid w:val="006E03AD"/>
    <w:rsid w:val="006E2A03"/>
    <w:rsid w:val="006E6040"/>
    <w:rsid w:val="006F53F5"/>
    <w:rsid w:val="0070104C"/>
    <w:rsid w:val="00702893"/>
    <w:rsid w:val="0070547B"/>
    <w:rsid w:val="00705933"/>
    <w:rsid w:val="00706906"/>
    <w:rsid w:val="0071393A"/>
    <w:rsid w:val="007147B2"/>
    <w:rsid w:val="00717847"/>
    <w:rsid w:val="0072088B"/>
    <w:rsid w:val="0072153D"/>
    <w:rsid w:val="00725DBC"/>
    <w:rsid w:val="00731FB7"/>
    <w:rsid w:val="007321C3"/>
    <w:rsid w:val="0073548E"/>
    <w:rsid w:val="00735AAE"/>
    <w:rsid w:val="00744EC7"/>
    <w:rsid w:val="00744EDD"/>
    <w:rsid w:val="0075108F"/>
    <w:rsid w:val="0075446E"/>
    <w:rsid w:val="00755D39"/>
    <w:rsid w:val="00762F2D"/>
    <w:rsid w:val="007645C0"/>
    <w:rsid w:val="007653D4"/>
    <w:rsid w:val="00766868"/>
    <w:rsid w:val="00770770"/>
    <w:rsid w:val="0077110A"/>
    <w:rsid w:val="0077412D"/>
    <w:rsid w:val="00775185"/>
    <w:rsid w:val="00780D23"/>
    <w:rsid w:val="007810BA"/>
    <w:rsid w:val="007879C9"/>
    <w:rsid w:val="007A6EA4"/>
    <w:rsid w:val="007B377F"/>
    <w:rsid w:val="007C3818"/>
    <w:rsid w:val="007C5740"/>
    <w:rsid w:val="007C6654"/>
    <w:rsid w:val="007E51E4"/>
    <w:rsid w:val="007F1189"/>
    <w:rsid w:val="007F3A54"/>
    <w:rsid w:val="0080476F"/>
    <w:rsid w:val="00821741"/>
    <w:rsid w:val="00831A5F"/>
    <w:rsid w:val="00834B3A"/>
    <w:rsid w:val="00835038"/>
    <w:rsid w:val="00844BDB"/>
    <w:rsid w:val="00845412"/>
    <w:rsid w:val="00845A2F"/>
    <w:rsid w:val="00846EFD"/>
    <w:rsid w:val="00847759"/>
    <w:rsid w:val="0086107E"/>
    <w:rsid w:val="00866B89"/>
    <w:rsid w:val="00875172"/>
    <w:rsid w:val="008900CC"/>
    <w:rsid w:val="008A1A2C"/>
    <w:rsid w:val="008A4AB8"/>
    <w:rsid w:val="008B6A2F"/>
    <w:rsid w:val="008C7A8A"/>
    <w:rsid w:val="008E5C19"/>
    <w:rsid w:val="008F5352"/>
    <w:rsid w:val="008F54B5"/>
    <w:rsid w:val="00902703"/>
    <w:rsid w:val="00905D82"/>
    <w:rsid w:val="009063A5"/>
    <w:rsid w:val="00907843"/>
    <w:rsid w:val="00913AE4"/>
    <w:rsid w:val="0091667C"/>
    <w:rsid w:val="009170D2"/>
    <w:rsid w:val="00927C88"/>
    <w:rsid w:val="00936089"/>
    <w:rsid w:val="00942680"/>
    <w:rsid w:val="009443CB"/>
    <w:rsid w:val="00945C31"/>
    <w:rsid w:val="00947145"/>
    <w:rsid w:val="00950B4D"/>
    <w:rsid w:val="00966EC9"/>
    <w:rsid w:val="00972400"/>
    <w:rsid w:val="00977FAA"/>
    <w:rsid w:val="00982473"/>
    <w:rsid w:val="00992B86"/>
    <w:rsid w:val="009A0A2D"/>
    <w:rsid w:val="009A673F"/>
    <w:rsid w:val="009B58AA"/>
    <w:rsid w:val="009C33BB"/>
    <w:rsid w:val="009D60E2"/>
    <w:rsid w:val="009E0F53"/>
    <w:rsid w:val="009E25CC"/>
    <w:rsid w:val="009E662F"/>
    <w:rsid w:val="009E6EE6"/>
    <w:rsid w:val="00A01315"/>
    <w:rsid w:val="00A0632B"/>
    <w:rsid w:val="00A229AE"/>
    <w:rsid w:val="00A31448"/>
    <w:rsid w:val="00A351C9"/>
    <w:rsid w:val="00A42FE8"/>
    <w:rsid w:val="00A44E60"/>
    <w:rsid w:val="00A47E35"/>
    <w:rsid w:val="00A62A37"/>
    <w:rsid w:val="00A670D9"/>
    <w:rsid w:val="00A7220C"/>
    <w:rsid w:val="00A72AB3"/>
    <w:rsid w:val="00A75103"/>
    <w:rsid w:val="00A77CD4"/>
    <w:rsid w:val="00A916B2"/>
    <w:rsid w:val="00A92A94"/>
    <w:rsid w:val="00A93825"/>
    <w:rsid w:val="00AA1E96"/>
    <w:rsid w:val="00AB2812"/>
    <w:rsid w:val="00AB484C"/>
    <w:rsid w:val="00AB66D0"/>
    <w:rsid w:val="00AB7E6A"/>
    <w:rsid w:val="00AC1859"/>
    <w:rsid w:val="00AD47D9"/>
    <w:rsid w:val="00AF11DE"/>
    <w:rsid w:val="00AF57CF"/>
    <w:rsid w:val="00B021D8"/>
    <w:rsid w:val="00B0564A"/>
    <w:rsid w:val="00B10EC6"/>
    <w:rsid w:val="00B124D0"/>
    <w:rsid w:val="00B20273"/>
    <w:rsid w:val="00B24CA5"/>
    <w:rsid w:val="00B259B6"/>
    <w:rsid w:val="00B3324F"/>
    <w:rsid w:val="00B37159"/>
    <w:rsid w:val="00B41CDA"/>
    <w:rsid w:val="00B46863"/>
    <w:rsid w:val="00B5212F"/>
    <w:rsid w:val="00B56677"/>
    <w:rsid w:val="00B61889"/>
    <w:rsid w:val="00B70C2A"/>
    <w:rsid w:val="00B72362"/>
    <w:rsid w:val="00B762D2"/>
    <w:rsid w:val="00B84AD5"/>
    <w:rsid w:val="00B929C5"/>
    <w:rsid w:val="00BA69EA"/>
    <w:rsid w:val="00BA7CFE"/>
    <w:rsid w:val="00BC0199"/>
    <w:rsid w:val="00BE0882"/>
    <w:rsid w:val="00BE2E91"/>
    <w:rsid w:val="00BE5D76"/>
    <w:rsid w:val="00C008CD"/>
    <w:rsid w:val="00C01714"/>
    <w:rsid w:val="00C05C3C"/>
    <w:rsid w:val="00C06452"/>
    <w:rsid w:val="00C06AA2"/>
    <w:rsid w:val="00C06CC9"/>
    <w:rsid w:val="00C075A4"/>
    <w:rsid w:val="00C07A91"/>
    <w:rsid w:val="00C13D84"/>
    <w:rsid w:val="00C16637"/>
    <w:rsid w:val="00C23993"/>
    <w:rsid w:val="00C23DD7"/>
    <w:rsid w:val="00C2523D"/>
    <w:rsid w:val="00C26793"/>
    <w:rsid w:val="00C26B04"/>
    <w:rsid w:val="00C304C2"/>
    <w:rsid w:val="00C36549"/>
    <w:rsid w:val="00C368E3"/>
    <w:rsid w:val="00C41558"/>
    <w:rsid w:val="00C64A22"/>
    <w:rsid w:val="00C6618D"/>
    <w:rsid w:val="00C66DFE"/>
    <w:rsid w:val="00C677D5"/>
    <w:rsid w:val="00C7331A"/>
    <w:rsid w:val="00C73352"/>
    <w:rsid w:val="00C84553"/>
    <w:rsid w:val="00C8784A"/>
    <w:rsid w:val="00CA06E6"/>
    <w:rsid w:val="00CA5ECC"/>
    <w:rsid w:val="00CA611A"/>
    <w:rsid w:val="00CC1A85"/>
    <w:rsid w:val="00CC2719"/>
    <w:rsid w:val="00CD615A"/>
    <w:rsid w:val="00CE2678"/>
    <w:rsid w:val="00CF45C0"/>
    <w:rsid w:val="00D04F4F"/>
    <w:rsid w:val="00D14FCD"/>
    <w:rsid w:val="00D16309"/>
    <w:rsid w:val="00D208D8"/>
    <w:rsid w:val="00D46280"/>
    <w:rsid w:val="00D470BC"/>
    <w:rsid w:val="00D56E63"/>
    <w:rsid w:val="00D61851"/>
    <w:rsid w:val="00D62B9C"/>
    <w:rsid w:val="00D6640A"/>
    <w:rsid w:val="00D678C2"/>
    <w:rsid w:val="00D67981"/>
    <w:rsid w:val="00D72B26"/>
    <w:rsid w:val="00D90E10"/>
    <w:rsid w:val="00D95AD7"/>
    <w:rsid w:val="00D973DE"/>
    <w:rsid w:val="00DA1495"/>
    <w:rsid w:val="00DA2B67"/>
    <w:rsid w:val="00DA319D"/>
    <w:rsid w:val="00DA4542"/>
    <w:rsid w:val="00DA4B83"/>
    <w:rsid w:val="00DB7953"/>
    <w:rsid w:val="00DC4EF0"/>
    <w:rsid w:val="00DD322B"/>
    <w:rsid w:val="00DE03D5"/>
    <w:rsid w:val="00DE2243"/>
    <w:rsid w:val="00DF5814"/>
    <w:rsid w:val="00DF7E47"/>
    <w:rsid w:val="00E01880"/>
    <w:rsid w:val="00E01C58"/>
    <w:rsid w:val="00E11EC3"/>
    <w:rsid w:val="00E13478"/>
    <w:rsid w:val="00E16B09"/>
    <w:rsid w:val="00E31303"/>
    <w:rsid w:val="00E37109"/>
    <w:rsid w:val="00E4235C"/>
    <w:rsid w:val="00E42AC1"/>
    <w:rsid w:val="00E42FD1"/>
    <w:rsid w:val="00E44946"/>
    <w:rsid w:val="00E451FE"/>
    <w:rsid w:val="00E51861"/>
    <w:rsid w:val="00E53017"/>
    <w:rsid w:val="00E61EFB"/>
    <w:rsid w:val="00E633EE"/>
    <w:rsid w:val="00E652CC"/>
    <w:rsid w:val="00E7124D"/>
    <w:rsid w:val="00E8059D"/>
    <w:rsid w:val="00E818FC"/>
    <w:rsid w:val="00E82A53"/>
    <w:rsid w:val="00E856E6"/>
    <w:rsid w:val="00E86BD4"/>
    <w:rsid w:val="00E87DF4"/>
    <w:rsid w:val="00E95E68"/>
    <w:rsid w:val="00EA71AF"/>
    <w:rsid w:val="00EB5AA6"/>
    <w:rsid w:val="00EC0A3B"/>
    <w:rsid w:val="00ED2277"/>
    <w:rsid w:val="00EE3DA8"/>
    <w:rsid w:val="00EE410F"/>
    <w:rsid w:val="00F11327"/>
    <w:rsid w:val="00F1396E"/>
    <w:rsid w:val="00F31703"/>
    <w:rsid w:val="00F434F2"/>
    <w:rsid w:val="00F83AD7"/>
    <w:rsid w:val="00F8455B"/>
    <w:rsid w:val="00F872B3"/>
    <w:rsid w:val="00F9423F"/>
    <w:rsid w:val="00F95984"/>
    <w:rsid w:val="00F97E6F"/>
    <w:rsid w:val="00FA0753"/>
    <w:rsid w:val="00FA607A"/>
    <w:rsid w:val="00FD7ACB"/>
    <w:rsid w:val="00FE186D"/>
    <w:rsid w:val="00FE28A9"/>
    <w:rsid w:val="00FE3B5D"/>
    <w:rsid w:val="3574351A"/>
    <w:rsid w:val="7B9A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pPr>
    <w:rPr>
      <w:rFonts w:ascii="宋体" w:hAnsi="宋体" w:eastAsia="宋体" w:cs="宋体"/>
      <w:kern w:val="0"/>
      <w:sz w:val="22"/>
      <w:szCs w:val="22"/>
      <w:lang w:val="zh-CN" w:eastAsia="zh-CN" w:bidi="zh-CN"/>
    </w:rPr>
  </w:style>
  <w:style w:type="paragraph" w:styleId="2">
    <w:name w:val="heading 1"/>
    <w:basedOn w:val="1"/>
    <w:next w:val="1"/>
    <w:link w:val="14"/>
    <w:qFormat/>
    <w:uiPriority w:val="9"/>
    <w:pPr>
      <w:keepNext/>
      <w:keepLines/>
      <w:spacing w:before="50" w:beforeLines="50" w:after="50" w:afterLines="50" w:line="520" w:lineRule="exact"/>
      <w:jc w:val="center"/>
      <w:outlineLvl w:val="0"/>
    </w:pPr>
    <w:rPr>
      <w:rFonts w:eastAsia="楷体"/>
      <w:b/>
      <w:bCs/>
      <w:kern w:val="44"/>
      <w:sz w:val="30"/>
      <w:szCs w:val="44"/>
    </w:rPr>
  </w:style>
  <w:style w:type="paragraph" w:styleId="3">
    <w:name w:val="heading 2"/>
    <w:basedOn w:val="1"/>
    <w:next w:val="1"/>
    <w:link w:val="15"/>
    <w:qFormat/>
    <w:uiPriority w:val="1"/>
    <w:pPr>
      <w:ind w:left="580"/>
      <w:outlineLvl w:val="1"/>
    </w:pPr>
    <w:rPr>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autoSpaceDE/>
      <w:autoSpaceDN/>
    </w:pPr>
    <w:rPr>
      <w:rFonts w:asciiTheme="minorHAnsi" w:hAnsiTheme="minorHAnsi" w:eastAsiaTheme="minorEastAsia" w:cstheme="minorBidi"/>
      <w:lang w:val="en-US" w:eastAsia="en-US" w:bidi="ar-SA"/>
    </w:rPr>
  </w:style>
  <w:style w:type="paragraph" w:styleId="5">
    <w:name w:val="Body Text"/>
    <w:basedOn w:val="1"/>
    <w:link w:val="16"/>
    <w:qFormat/>
    <w:uiPriority w:val="1"/>
    <w:pPr>
      <w:spacing w:before="182"/>
      <w:ind w:left="580"/>
    </w:pPr>
    <w:rPr>
      <w:sz w:val="24"/>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25"/>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4"/>
    <w:next w:val="4"/>
    <w:link w:val="23"/>
    <w:semiHidden/>
    <w:unhideWhenUsed/>
    <w:uiPriority w:val="99"/>
    <w:pPr>
      <w:autoSpaceDE w:val="0"/>
      <w:autoSpaceDN w:val="0"/>
    </w:pPr>
    <w:rPr>
      <w:rFonts w:ascii="宋体" w:hAnsi="宋体" w:eastAsia="宋体" w:cs="宋体"/>
      <w:b/>
      <w:bCs/>
      <w:lang w:val="zh-CN" w:eastAsia="zh-CN" w:bidi="zh-CN"/>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标题 1 字符"/>
    <w:basedOn w:val="12"/>
    <w:link w:val="2"/>
    <w:qFormat/>
    <w:uiPriority w:val="9"/>
    <w:rPr>
      <w:rFonts w:eastAsia="楷体"/>
      <w:b/>
      <w:bCs/>
      <w:kern w:val="44"/>
      <w:sz w:val="30"/>
      <w:szCs w:val="44"/>
    </w:rPr>
  </w:style>
  <w:style w:type="character" w:customStyle="1" w:styleId="15">
    <w:name w:val="标题 2 字符"/>
    <w:basedOn w:val="12"/>
    <w:link w:val="3"/>
    <w:uiPriority w:val="1"/>
    <w:rPr>
      <w:rFonts w:ascii="宋体" w:hAnsi="宋体" w:eastAsia="宋体" w:cs="宋体"/>
      <w:b/>
      <w:bCs/>
      <w:kern w:val="0"/>
      <w:sz w:val="24"/>
      <w:szCs w:val="24"/>
      <w:lang w:val="zh-CN" w:bidi="zh-CN"/>
    </w:rPr>
  </w:style>
  <w:style w:type="character" w:customStyle="1" w:styleId="16">
    <w:name w:val="正文文本 字符"/>
    <w:basedOn w:val="12"/>
    <w:link w:val="5"/>
    <w:qFormat/>
    <w:uiPriority w:val="1"/>
    <w:rPr>
      <w:rFonts w:ascii="宋体" w:hAnsi="宋体" w:eastAsia="宋体" w:cs="宋体"/>
      <w:kern w:val="0"/>
      <w:sz w:val="24"/>
      <w:szCs w:val="24"/>
      <w:lang w:val="zh-CN" w:bidi="zh-CN"/>
    </w:rPr>
  </w:style>
  <w:style w:type="character" w:customStyle="1" w:styleId="17">
    <w:name w:val="da1"/>
    <w:qFormat/>
    <w:uiPriority w:val="0"/>
    <w:rPr>
      <w:rFonts w:hint="default" w:ascii="ˎ̥" w:hAnsi="ˎ̥"/>
      <w:color w:val="000000"/>
      <w:sz w:val="28"/>
      <w:szCs w:val="28"/>
      <w:u w:val="none"/>
    </w:rPr>
  </w:style>
  <w:style w:type="paragraph" w:styleId="18">
    <w:name w:val="List Paragraph"/>
    <w:basedOn w:val="1"/>
    <w:qFormat/>
    <w:uiPriority w:val="34"/>
    <w:pPr>
      <w:ind w:firstLine="420" w:firstLineChars="200"/>
    </w:pPr>
  </w:style>
  <w:style w:type="character" w:customStyle="1" w:styleId="19">
    <w:name w:val="批注文字 字符"/>
    <w:basedOn w:val="12"/>
    <w:link w:val="4"/>
    <w:uiPriority w:val="99"/>
    <w:rPr>
      <w:kern w:val="0"/>
      <w:sz w:val="22"/>
      <w:lang w:eastAsia="en-US"/>
    </w:rPr>
  </w:style>
  <w:style w:type="character" w:customStyle="1" w:styleId="20">
    <w:name w:val="批注框文本 字符"/>
    <w:basedOn w:val="12"/>
    <w:link w:val="6"/>
    <w:semiHidden/>
    <w:qFormat/>
    <w:uiPriority w:val="99"/>
    <w:rPr>
      <w:rFonts w:ascii="宋体" w:hAnsi="宋体" w:eastAsia="宋体" w:cs="宋体"/>
      <w:kern w:val="0"/>
      <w:sz w:val="18"/>
      <w:szCs w:val="18"/>
      <w:lang w:val="zh-CN" w:bidi="zh-CN"/>
    </w:rPr>
  </w:style>
  <w:style w:type="paragraph" w:customStyle="1" w:styleId="21">
    <w:name w:val="样式4"/>
    <w:basedOn w:val="1"/>
    <w:link w:val="22"/>
    <w:qFormat/>
    <w:uiPriority w:val="0"/>
    <w:pPr>
      <w:autoSpaceDE/>
      <w:autoSpaceDN/>
      <w:spacing w:line="360" w:lineRule="exact"/>
      <w:ind w:firstLine="420" w:firstLineChars="200"/>
    </w:pPr>
    <w:rPr>
      <w:rFonts w:ascii="方正黑体简体" w:eastAsia="方正黑体简体" w:hAnsiTheme="minorHAnsi" w:cstheme="minorBidi"/>
      <w:sz w:val="20"/>
      <w:szCs w:val="20"/>
      <w:lang w:val="en-US" w:eastAsia="en-US" w:bidi="ar-SA"/>
    </w:rPr>
  </w:style>
  <w:style w:type="character" w:customStyle="1" w:styleId="22">
    <w:name w:val="样式4 Char"/>
    <w:link w:val="21"/>
    <w:qFormat/>
    <w:uiPriority w:val="0"/>
    <w:rPr>
      <w:rFonts w:ascii="方正黑体简体" w:eastAsia="方正黑体简体"/>
      <w:kern w:val="0"/>
      <w:sz w:val="20"/>
      <w:szCs w:val="20"/>
      <w:lang w:eastAsia="en-US"/>
    </w:rPr>
  </w:style>
  <w:style w:type="character" w:customStyle="1" w:styleId="23">
    <w:name w:val="批注主题 字符"/>
    <w:basedOn w:val="19"/>
    <w:link w:val="9"/>
    <w:semiHidden/>
    <w:qFormat/>
    <w:uiPriority w:val="99"/>
    <w:rPr>
      <w:rFonts w:ascii="宋体" w:hAnsi="宋体" w:eastAsia="宋体" w:cs="宋体"/>
      <w:b/>
      <w:bCs/>
      <w:kern w:val="0"/>
      <w:sz w:val="22"/>
      <w:lang w:val="zh-CN" w:eastAsia="en-US" w:bidi="zh-CN"/>
    </w:rPr>
  </w:style>
  <w:style w:type="character" w:customStyle="1" w:styleId="24">
    <w:name w:val="页眉 字符"/>
    <w:basedOn w:val="12"/>
    <w:link w:val="8"/>
    <w:uiPriority w:val="99"/>
    <w:rPr>
      <w:rFonts w:ascii="宋体" w:hAnsi="宋体" w:eastAsia="宋体" w:cs="宋体"/>
      <w:kern w:val="0"/>
      <w:sz w:val="18"/>
      <w:szCs w:val="18"/>
      <w:lang w:val="zh-CN" w:bidi="zh-CN"/>
    </w:rPr>
  </w:style>
  <w:style w:type="character" w:customStyle="1" w:styleId="25">
    <w:name w:val="页脚 字符"/>
    <w:basedOn w:val="12"/>
    <w:link w:val="7"/>
    <w:uiPriority w:val="99"/>
    <w:rPr>
      <w:rFonts w:ascii="宋体" w:hAnsi="宋体" w:eastAsia="宋体" w:cs="宋体"/>
      <w:kern w:val="0"/>
      <w:sz w:val="18"/>
      <w:szCs w:val="18"/>
      <w:lang w:val="zh-CN" w:bidi="zh-CN"/>
    </w:rPr>
  </w:style>
  <w:style w:type="paragraph" w:customStyle="1" w:styleId="26">
    <w:name w:val="Legal2_L1"/>
    <w:basedOn w:val="1"/>
    <w:qFormat/>
    <w:uiPriority w:val="0"/>
    <w:pPr>
      <w:keepNext/>
      <w:widowControl/>
      <w:numPr>
        <w:ilvl w:val="0"/>
        <w:numId w:val="1"/>
      </w:numPr>
      <w:autoSpaceDE/>
      <w:autoSpaceDN/>
      <w:spacing w:after="240" w:line="240" w:lineRule="auto"/>
      <w:jc w:val="both"/>
      <w:outlineLvl w:val="0"/>
    </w:pPr>
    <w:rPr>
      <w:rFonts w:ascii="Times New Roman" w:hAnsi="Times New Roman" w:eastAsia="PMingLiU" w:cs="Times New Roman"/>
      <w:sz w:val="24"/>
      <w:szCs w:val="24"/>
      <w:u w:val="single"/>
      <w:lang w:val="en-US" w:eastAsia="zh-TW" w:bidi="ar-SA"/>
    </w:rPr>
  </w:style>
  <w:style w:type="paragraph" w:customStyle="1" w:styleId="27">
    <w:name w:val="Legal2_L2"/>
    <w:basedOn w:val="1"/>
    <w:qFormat/>
    <w:uiPriority w:val="0"/>
    <w:pPr>
      <w:widowControl/>
      <w:numPr>
        <w:ilvl w:val="1"/>
        <w:numId w:val="1"/>
      </w:numPr>
      <w:autoSpaceDE/>
      <w:autoSpaceDN/>
      <w:spacing w:after="240" w:line="240" w:lineRule="auto"/>
      <w:jc w:val="both"/>
      <w:outlineLvl w:val="1"/>
    </w:pPr>
    <w:rPr>
      <w:rFonts w:ascii="Times New Roman" w:hAnsi="Times New Roman" w:cs="Times New Roman"/>
      <w:sz w:val="24"/>
      <w:szCs w:val="24"/>
      <w:lang w:val="en-US" w:bidi="ar-SA"/>
    </w:rPr>
  </w:style>
  <w:style w:type="paragraph" w:customStyle="1" w:styleId="28">
    <w:name w:val="Legal2_L4"/>
    <w:basedOn w:val="1"/>
    <w:qFormat/>
    <w:uiPriority w:val="0"/>
    <w:pPr>
      <w:widowControl/>
      <w:numPr>
        <w:ilvl w:val="3"/>
        <w:numId w:val="1"/>
      </w:numPr>
      <w:autoSpaceDE/>
      <w:autoSpaceDN/>
      <w:spacing w:line="360" w:lineRule="exact"/>
      <w:outlineLvl w:val="3"/>
    </w:pPr>
    <w:rPr>
      <w:rFonts w:ascii="Times New Roman" w:hAnsi="Times New Roman" w:eastAsia="PMingLiU" w:cs="Times New Roman"/>
      <w:sz w:val="24"/>
      <w:szCs w:val="24"/>
      <w:lang w:val="en-US" w:eastAsia="en-US" w:bidi="ar-SA"/>
    </w:rPr>
  </w:style>
  <w:style w:type="paragraph" w:customStyle="1" w:styleId="29">
    <w:name w:val="Legal2_L5"/>
    <w:basedOn w:val="1"/>
    <w:qFormat/>
    <w:uiPriority w:val="0"/>
    <w:pPr>
      <w:widowControl/>
      <w:numPr>
        <w:ilvl w:val="4"/>
        <w:numId w:val="1"/>
      </w:numPr>
      <w:autoSpaceDE/>
      <w:autoSpaceDN/>
      <w:spacing w:after="240" w:line="240" w:lineRule="auto"/>
      <w:jc w:val="both"/>
      <w:outlineLvl w:val="4"/>
    </w:pPr>
    <w:rPr>
      <w:rFonts w:ascii="Times New Roman" w:hAnsi="Times New Roman" w:eastAsia="PMingLiU" w:cs="Times New Roman"/>
      <w:sz w:val="24"/>
      <w:szCs w:val="24"/>
      <w:lang w:val="en-US" w:eastAsia="en-US" w:bidi="ar-SA"/>
    </w:rPr>
  </w:style>
  <w:style w:type="paragraph" w:customStyle="1" w:styleId="30">
    <w:name w:val="Legal2_L6"/>
    <w:basedOn w:val="29"/>
    <w:next w:val="5"/>
    <w:qFormat/>
    <w:uiPriority w:val="0"/>
    <w:pPr>
      <w:numPr>
        <w:ilvl w:val="5"/>
      </w:numPr>
      <w:outlineLvl w:val="5"/>
    </w:pPr>
  </w:style>
  <w:style w:type="paragraph" w:customStyle="1" w:styleId="31">
    <w:name w:val="Legal2_L7"/>
    <w:basedOn w:val="30"/>
    <w:next w:val="5"/>
    <w:qFormat/>
    <w:uiPriority w:val="0"/>
    <w:pPr>
      <w:numPr>
        <w:ilvl w:val="6"/>
      </w:numPr>
      <w:outlineLvl w:val="6"/>
    </w:pPr>
  </w:style>
  <w:style w:type="paragraph" w:customStyle="1" w:styleId="32">
    <w:name w:val="Legal2_L8"/>
    <w:basedOn w:val="31"/>
    <w:next w:val="5"/>
    <w:qFormat/>
    <w:uiPriority w:val="0"/>
    <w:pPr>
      <w:numPr>
        <w:ilvl w:val="7"/>
      </w:numPr>
      <w:outlineLvl w:val="7"/>
    </w:pPr>
  </w:style>
  <w:style w:type="paragraph" w:customStyle="1" w:styleId="33">
    <w:name w:val="Legal2_L9"/>
    <w:basedOn w:val="32"/>
    <w:next w:val="5"/>
    <w:qFormat/>
    <w:uiPriority w:val="0"/>
    <w:pPr>
      <w:numPr>
        <w:ilvl w:val="8"/>
      </w:numPr>
      <w:outlineLvl w:val="8"/>
    </w:pPr>
  </w:style>
  <w:style w:type="paragraph" w:customStyle="1" w:styleId="34">
    <w:name w:val="Revision"/>
    <w:hidden/>
    <w:semiHidden/>
    <w:qFormat/>
    <w:uiPriority w:val="99"/>
    <w:rPr>
      <w:rFonts w:ascii="宋体" w:hAnsi="宋体" w:eastAsia="宋体" w:cs="宋体"/>
      <w:kern w:val="0"/>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67C1-45C7-4B78-A159-5008BFF188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1318</Words>
  <Characters>7515</Characters>
  <Lines>62</Lines>
  <Paragraphs>17</Paragraphs>
  <TotalTime>1177</TotalTime>
  <ScaleCrop>false</ScaleCrop>
  <LinksUpToDate>false</LinksUpToDate>
  <CharactersWithSpaces>8816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2023-08-09T02:59:00Z</dcterms:created>
  <dc:creator>Haiwen</dc:creator>
  <cp:lastModifiedBy>金建德</cp:lastModifiedBy>
  <cp:lastPrinted>2023-08-19T00:52:00Z</cp:lastPrinted>
  <dcterms:modified xsi:type="dcterms:W3CDTF">2023-08-25T07:25:50Z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C5A16AB96BFD4A4887E76D7994A8CCD1_12</vt:lpwstr>
  </property>
</Properties>
</file>