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709"/>
          <w:tab w:val="left" w:pos="1418"/>
          <w:tab w:val="left" w:pos="2126"/>
          <w:tab w:val="left" w:pos="2835"/>
          <w:tab w:val="right" w:pos="9072"/>
        </w:tabs>
        <w:autoSpaceDE/>
        <w:autoSpaceDN/>
        <w:jc w:val="both"/>
        <w:rPr>
          <w:rFonts w:ascii="Times New Roman" w:hAnsi="Times New Roman" w:cs="Times New Roman"/>
          <w:i/>
          <w:sz w:val="24"/>
          <w:szCs w:val="24"/>
          <w:lang w:val="en-GB"/>
        </w:rPr>
      </w:pPr>
      <w:r>
        <w:rPr>
          <w:rFonts w:ascii="Times New Roman" w:hAnsi="Times New Roman" w:cs="Times New Roman"/>
          <w:i/>
          <w:sz w:val="24"/>
          <w:szCs w:val="24"/>
          <w:lang w:val="en-GB"/>
        </w:rPr>
        <w:t>香港交易及結算所有限公司及香港聯合交易所有限公司對本公告之內容概不負責，對其準確性或完整性亦不發表任何聲明，並明確表示概不就因本公告全部或任何部份內容而產生或因倚賴該等內容而引致之任何損失承擔任何責任。</w:t>
      </w:r>
    </w:p>
    <w:p>
      <w:pPr>
        <w:adjustRightInd w:val="0"/>
        <w:jc w:val="both"/>
        <w:rPr>
          <w:rFonts w:ascii="Times New Roman" w:hAnsi="Times New Roman" w:cs="Times New Roman"/>
          <w:i/>
          <w:iCs/>
          <w:color w:val="000000"/>
          <w:sz w:val="24"/>
          <w:szCs w:val="24"/>
          <w:lang w:val="en-GB"/>
        </w:rPr>
      </w:pPr>
    </w:p>
    <w:p>
      <w:pPr>
        <w:widowControl/>
        <w:tabs>
          <w:tab w:val="left" w:pos="709"/>
          <w:tab w:val="left" w:pos="1418"/>
          <w:tab w:val="left" w:pos="2126"/>
          <w:tab w:val="left" w:pos="2835"/>
          <w:tab w:val="right" w:pos="9072"/>
        </w:tabs>
        <w:autoSpaceDE/>
        <w:autoSpaceDN/>
        <w:spacing w:before="206"/>
        <w:ind w:left="1274" w:right="1274"/>
        <w:jc w:val="center"/>
        <w:rPr>
          <w:rFonts w:ascii="Times New Roman" w:hAnsi="Times New Roman" w:cs="Times New Roman"/>
          <w:b/>
          <w:sz w:val="36"/>
          <w:szCs w:val="36"/>
          <w:lang w:val="en-GB"/>
        </w:rPr>
      </w:pPr>
      <w:r>
        <w:rPr>
          <w:rFonts w:ascii="Times New Roman" w:hAnsi="Times New Roman" w:cs="Times New Roman"/>
          <w:szCs w:val="24"/>
          <w:lang w:eastAsia="zh-CN"/>
        </w:rPr>
        <w:drawing>
          <wp:inline distT="0" distB="0" distL="0" distR="0">
            <wp:extent cx="731520" cy="784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31520" cy="784860"/>
                    </a:xfrm>
                    <a:prstGeom prst="rect">
                      <a:avLst/>
                    </a:prstGeom>
                    <a:noFill/>
                    <a:ln>
                      <a:noFill/>
                    </a:ln>
                  </pic:spPr>
                </pic:pic>
              </a:graphicData>
            </a:graphic>
          </wp:inline>
        </w:drawing>
      </w:r>
    </w:p>
    <w:p>
      <w:pPr>
        <w:widowControl/>
        <w:tabs>
          <w:tab w:val="left" w:pos="709"/>
          <w:tab w:val="left" w:pos="1418"/>
          <w:tab w:val="left" w:pos="2126"/>
          <w:tab w:val="left" w:pos="2835"/>
          <w:tab w:val="right" w:pos="9072"/>
        </w:tabs>
        <w:autoSpaceDE/>
        <w:autoSpaceDN/>
        <w:spacing w:before="206"/>
        <w:ind w:left="1274" w:right="1274"/>
        <w:jc w:val="center"/>
        <w:rPr>
          <w:rFonts w:ascii="Times New Roman" w:hAnsi="Times New Roman" w:cs="Times New Roman"/>
          <w:b/>
          <w:sz w:val="36"/>
          <w:szCs w:val="36"/>
          <w:lang w:val="en-GB"/>
        </w:rPr>
      </w:pPr>
      <w:r>
        <w:rPr>
          <w:rFonts w:ascii="Times New Roman" w:hAnsi="Times New Roman" w:cs="Times New Roman"/>
          <w:b/>
          <w:sz w:val="36"/>
          <w:szCs w:val="36"/>
          <w:lang w:val="en-GB"/>
        </w:rPr>
        <w:t>兗</w:t>
      </w:r>
      <w:r>
        <w:rPr>
          <w:rFonts w:ascii="Times New Roman" w:hAnsi="Times New Roman" w:cs="Times New Roman"/>
          <w:b/>
          <w:sz w:val="36"/>
          <w:szCs w:val="36"/>
        </w:rPr>
        <w:t>礦能源集團</w:t>
      </w:r>
      <w:r>
        <w:rPr>
          <w:rFonts w:ascii="Times New Roman" w:hAnsi="Times New Roman" w:cs="Times New Roman"/>
          <w:b/>
          <w:sz w:val="36"/>
          <w:szCs w:val="36"/>
          <w:lang w:val="en-GB"/>
        </w:rPr>
        <w:t>股份有限公司</w:t>
      </w:r>
    </w:p>
    <w:p>
      <w:pPr>
        <w:widowControl/>
        <w:tabs>
          <w:tab w:val="left" w:pos="720"/>
          <w:tab w:val="left" w:pos="1418"/>
          <w:tab w:val="left" w:pos="2126"/>
          <w:tab w:val="left" w:pos="2835"/>
          <w:tab w:val="right" w:pos="9072"/>
        </w:tabs>
        <w:autoSpaceDE/>
        <w:autoSpaceDN/>
        <w:ind w:left="2" w:leftChars="-163" w:right="-359" w:rightChars="-163" w:hanging="361" w:hangingChars="100"/>
        <w:jc w:val="center"/>
        <w:rPr>
          <w:rFonts w:ascii="Times New Roman" w:hAnsi="Times New Roman" w:cs="Times New Roman"/>
          <w:sz w:val="36"/>
          <w:szCs w:val="36"/>
          <w:lang w:val="en-GB"/>
        </w:rPr>
      </w:pPr>
      <w:r>
        <w:rPr>
          <w:rFonts w:ascii="Times New Roman" w:hAnsi="Times New Roman" w:cs="Times New Roman"/>
          <w:b/>
          <w:sz w:val="36"/>
          <w:szCs w:val="36"/>
          <w:lang w:val="en-GB"/>
        </w:rPr>
        <w:t>YANKUANG</w:t>
      </w:r>
      <w:r>
        <w:rPr>
          <w:rFonts w:ascii="Times New Roman" w:hAnsi="Times New Roman" w:cs="Times New Roman"/>
          <w:b/>
          <w:sz w:val="36"/>
          <w:szCs w:val="36"/>
        </w:rPr>
        <w:t xml:space="preserve"> ENERGY GROUP </w:t>
      </w:r>
      <w:r>
        <w:rPr>
          <w:rFonts w:ascii="Times New Roman" w:hAnsi="Times New Roman" w:cs="Times New Roman"/>
          <w:b/>
          <w:sz w:val="36"/>
          <w:szCs w:val="36"/>
          <w:lang w:val="en-GB"/>
        </w:rPr>
        <w:t>COMPANY LIMITED</w:t>
      </w:r>
      <w:r>
        <w:rPr>
          <w:rFonts w:ascii="Times New Roman" w:hAnsi="Times New Roman" w:cs="Times New Roman"/>
          <w:sz w:val="36"/>
          <w:szCs w:val="36"/>
          <w:lang w:val="en-GB"/>
        </w:rPr>
        <w:t>*</w:t>
      </w:r>
    </w:p>
    <w:p>
      <w:pPr>
        <w:widowControl/>
        <w:tabs>
          <w:tab w:val="left" w:pos="709"/>
          <w:tab w:val="left" w:pos="1418"/>
          <w:tab w:val="left" w:pos="2126"/>
          <w:tab w:val="left" w:pos="2835"/>
          <w:tab w:val="right" w:pos="9072"/>
        </w:tabs>
        <w:autoSpaceDE/>
        <w:autoSpaceDN/>
        <w:spacing w:line="282" w:lineRule="exact"/>
        <w:ind w:left="1274" w:right="1276"/>
        <w:jc w:val="center"/>
        <w:rPr>
          <w:rFonts w:ascii="Times New Roman" w:hAnsi="Times New Roman" w:cs="Times New Roman"/>
          <w:sz w:val="24"/>
          <w:szCs w:val="24"/>
          <w:lang w:val="en-GB"/>
        </w:rPr>
      </w:pPr>
      <w:r>
        <w:rPr>
          <w:rFonts w:ascii="Times New Roman" w:hAnsi="Times New Roman" w:cs="Times New Roman"/>
          <w:sz w:val="24"/>
          <w:szCs w:val="24"/>
          <w:lang w:val="en-GB"/>
        </w:rPr>
        <w:t>(</w:t>
      </w:r>
      <w:r>
        <w:rPr>
          <w:rFonts w:ascii="Times New Roman" w:hAnsi="Times New Roman" w:cs="Times New Roman"/>
          <w:i/>
          <w:sz w:val="24"/>
          <w:szCs w:val="24"/>
          <w:lang w:val="en-GB"/>
        </w:rPr>
        <w:t>在中華人民共和國註冊成立的股份有限公司</w:t>
      </w:r>
      <w:r>
        <w:rPr>
          <w:rFonts w:ascii="Times New Roman" w:hAnsi="Times New Roman" w:cs="Times New Roman"/>
          <w:sz w:val="24"/>
          <w:szCs w:val="24"/>
          <w:lang w:val="en-GB"/>
        </w:rPr>
        <w:t>)</w:t>
      </w:r>
    </w:p>
    <w:p>
      <w:pPr>
        <w:spacing w:line="275" w:lineRule="exact"/>
        <w:ind w:left="116" w:right="113"/>
        <w:jc w:val="center"/>
        <w:rPr>
          <w:rFonts w:ascii="Times New Roman" w:eastAsia="Times New Roman"/>
        </w:rPr>
      </w:pPr>
      <w:r>
        <w:rPr>
          <w:rFonts w:ascii="Times New Roman" w:hAnsi="Times New Roman" w:cs="Times New Roman"/>
          <w:szCs w:val="24"/>
          <w:lang w:val="en-GB"/>
        </w:rPr>
        <w:t>(</w:t>
      </w:r>
      <w:r>
        <w:rPr>
          <w:rFonts w:ascii="Times New Roman" w:hAnsi="Times New Roman" w:cs="Times New Roman"/>
          <w:b/>
          <w:szCs w:val="24"/>
          <w:lang w:val="en-GB"/>
        </w:rPr>
        <w:t>股份代碼</w:t>
      </w:r>
      <w:r>
        <w:rPr>
          <w:rFonts w:hint="eastAsia" w:ascii="Times New Roman" w:hAnsi="Times New Roman" w:cs="Times New Roman"/>
          <w:b/>
          <w:szCs w:val="24"/>
          <w:lang w:val="en-GB" w:eastAsia="zh-CN"/>
        </w:rPr>
        <w:t>：0</w:t>
      </w:r>
      <w:r>
        <w:rPr>
          <w:rFonts w:ascii="Times New Roman" w:hAnsi="Times New Roman" w:cs="Times New Roman"/>
          <w:b/>
          <w:szCs w:val="24"/>
          <w:lang w:val="en-GB"/>
        </w:rPr>
        <w:t>1171</w:t>
      </w:r>
      <w:r>
        <w:rPr>
          <w:rFonts w:ascii="Times New Roman" w:hAnsi="Times New Roman" w:cs="Times New Roman"/>
          <w:szCs w:val="24"/>
          <w:lang w:val="en-GB"/>
        </w:rPr>
        <w:t>)</w:t>
      </w:r>
    </w:p>
    <w:p>
      <w:pPr>
        <w:pStyle w:val="2"/>
        <w:rPr>
          <w:rFonts w:ascii="Times New Roman"/>
        </w:rPr>
      </w:pPr>
    </w:p>
    <w:p>
      <w:pPr>
        <w:pStyle w:val="2"/>
        <w:spacing w:before="6"/>
        <w:rPr>
          <w:rFonts w:ascii="Times New Roman"/>
        </w:rPr>
      </w:pPr>
    </w:p>
    <w:p>
      <w:pPr>
        <w:spacing w:before="1" w:line="364" w:lineRule="auto"/>
        <w:ind w:left="1935" w:right="1928"/>
        <w:jc w:val="center"/>
        <w:rPr>
          <w:b/>
          <w:sz w:val="28"/>
        </w:rPr>
      </w:pPr>
      <w:r>
        <w:rPr>
          <w:b/>
          <w:spacing w:val="-2"/>
          <w:sz w:val="28"/>
        </w:rPr>
        <w:t>兗礦能源集團股份有限公司境外控股子公司</w:t>
      </w:r>
      <w:r>
        <w:rPr>
          <w:b/>
          <w:sz w:val="28"/>
        </w:rPr>
        <w:t>發佈</w:t>
      </w:r>
      <w:r>
        <w:rPr>
          <w:b/>
          <w:spacing w:val="-25"/>
          <w:sz w:val="28"/>
        </w:rPr>
        <w:t xml:space="preserve"> </w:t>
      </w:r>
      <w:r>
        <w:rPr>
          <w:rFonts w:ascii="Times New Roman" w:eastAsia="Times New Roman"/>
          <w:b/>
          <w:sz w:val="28"/>
        </w:rPr>
        <w:t xml:space="preserve">2023 </w:t>
      </w:r>
      <w:r>
        <w:rPr>
          <w:b/>
          <w:sz w:val="28"/>
        </w:rPr>
        <w:t>年半年度業績</w:t>
      </w:r>
    </w:p>
    <w:p>
      <w:pPr>
        <w:pStyle w:val="2"/>
        <w:rPr>
          <w:b/>
          <w:sz w:val="20"/>
        </w:rPr>
      </w:pPr>
    </w:p>
    <w:p>
      <w:pPr>
        <w:pStyle w:val="2"/>
        <w:spacing w:before="2"/>
        <w:rPr>
          <w:b/>
          <w:sz w:val="10"/>
        </w:rPr>
      </w:pPr>
      <w:r>
        <w:pict>
          <v:shape id="docshape2" o:spid="_x0000_s2050" o:spt="202" type="#_x0000_t202" style="position:absolute;left:0pt;margin-left:74.05pt;margin-top:7.95pt;height:76.7pt;width:447.5pt;mso-position-horizontal-relative:page;mso-wrap-distance-bottom:0pt;mso-wrap-distance-top:0pt;z-index:-251657216;mso-width-relative:page;mso-height-relative:page;" filled="f" coordsize="21600,21600">
            <v:path/>
            <v:fill on="f" focussize="0,0"/>
            <v:stroke weight="0.48pt" joinstyle="miter"/>
            <v:imagedata o:title=""/>
            <o:lock v:ext="edit"/>
            <v:textbox inset="0mm,0mm,0mm,0mm">
              <w:txbxContent>
                <w:p>
                  <w:pPr>
                    <w:pStyle w:val="2"/>
                    <w:spacing w:before="3" w:line="242" w:lineRule="auto"/>
                    <w:ind w:left="103" w:right="103"/>
                    <w:rPr>
                      <w:rFonts w:ascii="Times New Roman" w:hAnsi="Times New Roman"/>
                    </w:rPr>
                  </w:pPr>
                  <w:r>
                    <w:rPr>
                      <w:rFonts w:ascii="Times New Roman" w:hAnsi="Times New Roman"/>
                    </w:rPr>
                    <w:t>本公司之股份於澳交所及聯交所上市的控股子公司兗煤澳洲公司發佈了其2023年</w:t>
                  </w:r>
                  <w:r>
                    <w:rPr>
                      <w:rFonts w:ascii="Times New Roman" w:hAnsi="Times New Roman"/>
                      <w:spacing w:val="-2"/>
                    </w:rPr>
                    <w:t>半年度業績報告。</w:t>
                  </w:r>
                </w:p>
                <w:p>
                  <w:pPr>
                    <w:pStyle w:val="2"/>
                    <w:spacing w:before="9"/>
                    <w:rPr>
                      <w:rFonts w:ascii="Times New Roman" w:hAnsi="Times New Roman"/>
                      <w:sz w:val="21"/>
                    </w:rPr>
                  </w:pPr>
                </w:p>
                <w:p>
                  <w:pPr>
                    <w:pStyle w:val="2"/>
                    <w:spacing w:line="242" w:lineRule="auto"/>
                    <w:ind w:left="103" w:right="102"/>
                  </w:pPr>
                  <w:r>
                    <w:rPr>
                      <w:rFonts w:ascii="Times New Roman" w:hAnsi="Times New Roman"/>
                      <w:spacing w:val="-2"/>
                    </w:rPr>
                    <w:t>本公告乃根據《證券及期貨條例》第</w:t>
                  </w:r>
                  <w:r>
                    <w:rPr>
                      <w:rFonts w:ascii="Times New Roman" w:hAnsi="Times New Roman"/>
                    </w:rPr>
                    <w:t>XIVA部以及《香港聯合交易所有限公司證券</w:t>
                  </w:r>
                  <w:r>
                    <w:rPr>
                      <w:rFonts w:ascii="Times New Roman" w:hAnsi="Times New Roman"/>
                      <w:spacing w:val="-7"/>
                    </w:rPr>
                    <w:t>上市規則》第</w:t>
                  </w:r>
                  <w:r>
                    <w:rPr>
                      <w:rFonts w:ascii="Times New Roman" w:hAnsi="Times New Roman"/>
                    </w:rPr>
                    <w:t>13.09(2)(a)條而作出。</w:t>
                  </w:r>
                </w:p>
              </w:txbxContent>
            </v:textbox>
            <w10:wrap type="topAndBottom"/>
          </v:shape>
        </w:pict>
      </w:r>
    </w:p>
    <w:p>
      <w:pPr>
        <w:pStyle w:val="2"/>
        <w:rPr>
          <w:b/>
          <w:sz w:val="20"/>
        </w:rPr>
      </w:pPr>
    </w:p>
    <w:p>
      <w:pPr>
        <w:pStyle w:val="2"/>
        <w:spacing w:before="10"/>
        <w:rPr>
          <w:b/>
          <w:sz w:val="21"/>
        </w:rPr>
      </w:pPr>
    </w:p>
    <w:p>
      <w:pPr>
        <w:pStyle w:val="2"/>
        <w:spacing w:before="67" w:line="364" w:lineRule="auto"/>
        <w:ind w:left="229" w:right="222"/>
        <w:jc w:val="both"/>
        <w:rPr>
          <w:rFonts w:ascii="Times New Roman" w:hAnsi="Times New Roman"/>
        </w:rPr>
      </w:pPr>
      <w:r>
        <w:rPr>
          <w:rFonts w:ascii="Times New Roman" w:hAnsi="Times New Roman"/>
          <w:spacing w:val="-2"/>
        </w:rPr>
        <w:t>兗礦能源集團股份有限公司（「</w:t>
      </w:r>
      <w:r>
        <w:rPr>
          <w:rFonts w:ascii="Times New Roman" w:hAnsi="Times New Roman"/>
          <w:b/>
          <w:spacing w:val="-2"/>
        </w:rPr>
        <w:t>本公司</w:t>
      </w:r>
      <w:r>
        <w:rPr>
          <w:rFonts w:ascii="Times New Roman" w:hAnsi="Times New Roman"/>
          <w:spacing w:val="-2"/>
        </w:rPr>
        <w:t>」）之控股子公司兗州煤業澳大利亞有限公司（「</w:t>
      </w:r>
      <w:r>
        <w:rPr>
          <w:rFonts w:ascii="Times New Roman" w:hAnsi="Times New Roman"/>
          <w:b/>
          <w:spacing w:val="-2"/>
        </w:rPr>
        <w:t>兗煤澳洲公司</w:t>
      </w:r>
      <w:r>
        <w:rPr>
          <w:rFonts w:ascii="Times New Roman" w:hAnsi="Times New Roman"/>
          <w:spacing w:val="-2"/>
        </w:rPr>
        <w:t>」，其股份於澳大利亞證券交易所（「</w:t>
      </w:r>
      <w:r>
        <w:rPr>
          <w:rFonts w:ascii="Times New Roman" w:hAnsi="Times New Roman"/>
          <w:b/>
          <w:spacing w:val="-2"/>
        </w:rPr>
        <w:t>澳交所</w:t>
      </w:r>
      <w:r>
        <w:rPr>
          <w:rFonts w:ascii="Times New Roman" w:hAnsi="Times New Roman"/>
          <w:spacing w:val="-2"/>
        </w:rPr>
        <w:t>」）及香港聯合</w:t>
      </w:r>
      <w:r>
        <w:rPr>
          <w:rFonts w:ascii="Times New Roman" w:hAnsi="Times New Roman"/>
        </w:rPr>
        <w:t>交易所有限公司（「</w:t>
      </w:r>
      <w:r>
        <w:rPr>
          <w:rFonts w:ascii="Times New Roman" w:hAnsi="Times New Roman"/>
          <w:b/>
        </w:rPr>
        <w:t>聯交所</w:t>
      </w:r>
      <w:r>
        <w:rPr>
          <w:rFonts w:ascii="Times New Roman" w:hAnsi="Times New Roman"/>
        </w:rPr>
        <w:t>」）上市，證券代碼分別為「YAL」及「03668」），</w:t>
      </w:r>
      <w:r>
        <w:rPr>
          <w:rFonts w:ascii="Times New Roman" w:hAnsi="Times New Roman"/>
          <w:spacing w:val="-19"/>
        </w:rPr>
        <w:t>於</w:t>
      </w:r>
      <w:r>
        <w:rPr>
          <w:rFonts w:ascii="Times New Roman" w:hAnsi="Times New Roman"/>
        </w:rPr>
        <w:t>2023</w:t>
      </w:r>
      <w:r>
        <w:rPr>
          <w:rFonts w:ascii="Times New Roman" w:hAnsi="Times New Roman"/>
          <w:spacing w:val="-19"/>
        </w:rPr>
        <w:t>年</w:t>
      </w:r>
      <w:r>
        <w:rPr>
          <w:rFonts w:ascii="Times New Roman" w:hAnsi="Times New Roman"/>
        </w:rPr>
        <w:t>8</w:t>
      </w:r>
      <w:r>
        <w:rPr>
          <w:rFonts w:ascii="Times New Roman" w:hAnsi="Times New Roman"/>
          <w:spacing w:val="-19"/>
        </w:rPr>
        <w:t>月</w:t>
      </w:r>
      <w:r>
        <w:rPr>
          <w:rFonts w:ascii="Times New Roman" w:hAnsi="Times New Roman"/>
        </w:rPr>
        <w:t>16</w:t>
      </w:r>
      <w:r>
        <w:rPr>
          <w:rFonts w:ascii="Times New Roman" w:hAnsi="Times New Roman"/>
          <w:spacing w:val="-8"/>
        </w:rPr>
        <w:t>日發佈了</w:t>
      </w:r>
      <w:r>
        <w:rPr>
          <w:rFonts w:ascii="Times New Roman" w:hAnsi="Times New Roman"/>
        </w:rPr>
        <w:t>2023年半年度業績報告。</w:t>
      </w:r>
    </w:p>
    <w:p>
      <w:pPr>
        <w:pStyle w:val="2"/>
        <w:spacing w:before="183"/>
        <w:ind w:right="315"/>
        <w:jc w:val="right"/>
        <w:rPr>
          <w:rFonts w:hint="eastAsia" w:ascii="Times New Roman" w:hAnsi="Times New Roman"/>
        </w:rPr>
      </w:pPr>
      <w:r>
        <w:rPr>
          <w:rFonts w:hint="eastAsia" w:ascii="Times New Roman" w:hAnsi="Times New Roman"/>
          <w:spacing w:val="-1"/>
        </w:rPr>
        <w:t>兗煤澳洲公司按國際財務報告準則編制並經會計師審閱的主要財務數據摘要如下：</w:t>
      </w:r>
    </w:p>
    <w:p>
      <w:pPr>
        <w:pStyle w:val="2"/>
        <w:spacing w:before="7"/>
        <w:rPr>
          <w:rFonts w:ascii="Times New Roman" w:hAnsi="Times New Roman"/>
          <w:sz w:val="26"/>
        </w:rPr>
      </w:pPr>
    </w:p>
    <w:p>
      <w:pPr>
        <w:pStyle w:val="2"/>
        <w:spacing w:after="3"/>
        <w:ind w:right="222"/>
        <w:jc w:val="right"/>
      </w:pPr>
      <w:r>
        <w:rPr>
          <w:rFonts w:ascii="Times New Roman" w:hAnsi="Times New Roman"/>
          <w:spacing w:val="-2"/>
        </w:rPr>
        <w:t>單位：百萬澳元</w:t>
      </w:r>
    </w:p>
    <w:tbl>
      <w:tblPr>
        <w:tblStyle w:val="4"/>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79"/>
        <w:gridCol w:w="2972"/>
        <w:gridCol w:w="2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679" w:type="dxa"/>
            <w:vMerge w:val="restart"/>
          </w:tcPr>
          <w:p>
            <w:pPr>
              <w:pStyle w:val="7"/>
              <w:spacing w:before="213"/>
              <w:ind w:left="1082" w:right="1078"/>
              <w:jc w:val="center"/>
              <w:rPr>
                <w:rFonts w:eastAsia="宋体"/>
                <w:b/>
                <w:sz w:val="24"/>
                <w:szCs w:val="24"/>
              </w:rPr>
            </w:pPr>
            <w:r>
              <w:rPr>
                <w:rFonts w:hint="eastAsia" w:eastAsia="宋体"/>
                <w:b/>
                <w:spacing w:val="-4"/>
                <w:sz w:val="24"/>
                <w:szCs w:val="24"/>
              </w:rPr>
              <w:t>項</w:t>
            </w:r>
            <w:r>
              <w:rPr>
                <w:rFonts w:hint="eastAsia" w:eastAsia="宋体"/>
                <w:b/>
                <w:spacing w:val="-10"/>
                <w:sz w:val="24"/>
                <w:szCs w:val="24"/>
              </w:rPr>
              <w:t>目</w:t>
            </w:r>
          </w:p>
        </w:tc>
        <w:tc>
          <w:tcPr>
            <w:tcW w:w="5793" w:type="dxa"/>
            <w:gridSpan w:val="2"/>
          </w:tcPr>
          <w:p>
            <w:pPr>
              <w:pStyle w:val="7"/>
              <w:spacing w:before="26"/>
              <w:ind w:left="1761"/>
              <w:rPr>
                <w:rFonts w:eastAsia="宋体"/>
                <w:b/>
                <w:sz w:val="24"/>
                <w:szCs w:val="24"/>
              </w:rPr>
            </w:pPr>
            <w:r>
              <w:rPr>
                <w:rFonts w:hint="eastAsia" w:eastAsia="宋体"/>
                <w:b/>
                <w:spacing w:val="-2"/>
                <w:sz w:val="24"/>
                <w:szCs w:val="24"/>
              </w:rPr>
              <w:t>截至</w:t>
            </w:r>
            <w:r>
              <w:rPr>
                <w:rFonts w:eastAsia="宋体"/>
                <w:b/>
                <w:spacing w:val="-2"/>
                <w:sz w:val="24"/>
                <w:szCs w:val="24"/>
              </w:rPr>
              <w:t>6</w:t>
            </w:r>
            <w:r>
              <w:rPr>
                <w:rFonts w:hint="eastAsia" w:eastAsia="宋体"/>
                <w:b/>
                <w:spacing w:val="-30"/>
                <w:sz w:val="24"/>
                <w:szCs w:val="24"/>
              </w:rPr>
              <w:t>月</w:t>
            </w:r>
            <w:r>
              <w:rPr>
                <w:rFonts w:eastAsia="宋体"/>
                <w:b/>
                <w:spacing w:val="-2"/>
                <w:sz w:val="24"/>
                <w:szCs w:val="24"/>
              </w:rPr>
              <w:t>30</w:t>
            </w:r>
            <w:r>
              <w:rPr>
                <w:rFonts w:hint="eastAsia" w:eastAsia="宋体"/>
                <w:b/>
                <w:spacing w:val="-2"/>
                <w:sz w:val="24"/>
                <w:szCs w:val="24"/>
              </w:rPr>
              <w:t>日六個</w:t>
            </w:r>
            <w:r>
              <w:rPr>
                <w:rFonts w:hint="eastAsia" w:eastAsia="宋体"/>
                <w:b/>
                <w:spacing w:val="-10"/>
                <w:sz w:val="24"/>
                <w:szCs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679" w:type="dxa"/>
            <w:vMerge w:val="continue"/>
            <w:tcBorders>
              <w:top w:val="nil"/>
            </w:tcBorders>
          </w:tcPr>
          <w:p>
            <w:pPr>
              <w:rPr>
                <w:rFonts w:ascii="Times New Roman" w:hAnsi="Times New Roman"/>
                <w:sz w:val="24"/>
                <w:szCs w:val="24"/>
              </w:rPr>
            </w:pPr>
          </w:p>
        </w:tc>
        <w:tc>
          <w:tcPr>
            <w:tcW w:w="2972" w:type="dxa"/>
          </w:tcPr>
          <w:p>
            <w:pPr>
              <w:pStyle w:val="7"/>
              <w:spacing w:before="26"/>
              <w:ind w:left="1083" w:right="1077"/>
              <w:jc w:val="center"/>
              <w:rPr>
                <w:rFonts w:eastAsia="宋体"/>
                <w:b/>
                <w:sz w:val="24"/>
                <w:szCs w:val="24"/>
              </w:rPr>
            </w:pPr>
            <w:r>
              <w:rPr>
                <w:rFonts w:eastAsia="宋体"/>
                <w:b/>
                <w:sz w:val="24"/>
                <w:szCs w:val="24"/>
              </w:rPr>
              <w:t>2023</w:t>
            </w:r>
            <w:r>
              <w:rPr>
                <w:rFonts w:hint="eastAsia" w:eastAsia="宋体"/>
                <w:b/>
                <w:spacing w:val="-10"/>
                <w:sz w:val="24"/>
                <w:szCs w:val="24"/>
              </w:rPr>
              <w:t>年</w:t>
            </w:r>
          </w:p>
        </w:tc>
        <w:tc>
          <w:tcPr>
            <w:tcW w:w="2821" w:type="dxa"/>
          </w:tcPr>
          <w:p>
            <w:pPr>
              <w:pStyle w:val="7"/>
              <w:spacing w:before="26"/>
              <w:ind w:left="1009" w:right="1001"/>
              <w:jc w:val="center"/>
              <w:rPr>
                <w:rFonts w:eastAsia="宋体"/>
                <w:b/>
                <w:sz w:val="24"/>
                <w:szCs w:val="24"/>
              </w:rPr>
            </w:pPr>
            <w:r>
              <w:rPr>
                <w:rFonts w:eastAsia="宋体"/>
                <w:b/>
                <w:sz w:val="24"/>
                <w:szCs w:val="24"/>
              </w:rPr>
              <w:t>2022</w:t>
            </w:r>
            <w:r>
              <w:rPr>
                <w:rFonts w:hint="eastAsia" w:eastAsia="宋体"/>
                <w:b/>
                <w:spacing w:val="-10"/>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679" w:type="dxa"/>
          </w:tcPr>
          <w:p>
            <w:pPr>
              <w:pStyle w:val="7"/>
              <w:spacing w:line="289" w:lineRule="exact"/>
              <w:ind w:left="107"/>
              <w:rPr>
                <w:rFonts w:eastAsia="宋体"/>
                <w:sz w:val="24"/>
                <w:szCs w:val="24"/>
              </w:rPr>
            </w:pPr>
            <w:r>
              <w:rPr>
                <w:rFonts w:eastAsia="宋体"/>
                <w:spacing w:val="-3"/>
                <w:sz w:val="24"/>
                <w:szCs w:val="24"/>
              </w:rPr>
              <w:t>營業收入</w:t>
            </w:r>
          </w:p>
        </w:tc>
        <w:tc>
          <w:tcPr>
            <w:tcW w:w="2972" w:type="dxa"/>
          </w:tcPr>
          <w:p>
            <w:pPr>
              <w:pStyle w:val="7"/>
              <w:spacing w:before="15"/>
              <w:ind w:right="96"/>
              <w:jc w:val="right"/>
              <w:rPr>
                <w:rFonts w:eastAsia="宋体"/>
                <w:sz w:val="24"/>
                <w:szCs w:val="24"/>
              </w:rPr>
            </w:pPr>
            <w:r>
              <w:rPr>
                <w:rFonts w:eastAsia="宋体"/>
                <w:sz w:val="24"/>
                <w:szCs w:val="24"/>
              </w:rPr>
              <w:t>3,976</w:t>
            </w:r>
          </w:p>
        </w:tc>
        <w:tc>
          <w:tcPr>
            <w:tcW w:w="2821" w:type="dxa"/>
          </w:tcPr>
          <w:p>
            <w:pPr>
              <w:pStyle w:val="7"/>
              <w:spacing w:before="15"/>
              <w:ind w:right="97"/>
              <w:jc w:val="right"/>
              <w:rPr>
                <w:rFonts w:eastAsia="宋体"/>
                <w:sz w:val="24"/>
                <w:szCs w:val="24"/>
              </w:rPr>
            </w:pPr>
            <w:r>
              <w:rPr>
                <w:rFonts w:eastAsia="宋体"/>
                <w:sz w:val="24"/>
                <w:szCs w:val="24"/>
              </w:rPr>
              <w:t>4,776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79" w:type="dxa"/>
          </w:tcPr>
          <w:p>
            <w:pPr>
              <w:pStyle w:val="7"/>
              <w:ind w:left="107"/>
              <w:rPr>
                <w:rFonts w:eastAsia="宋体"/>
                <w:sz w:val="24"/>
                <w:szCs w:val="24"/>
              </w:rPr>
            </w:pPr>
            <w:r>
              <w:rPr>
                <w:rFonts w:eastAsia="宋体"/>
                <w:spacing w:val="-3"/>
                <w:sz w:val="24"/>
                <w:szCs w:val="24"/>
              </w:rPr>
              <w:t>稅前利潤</w:t>
            </w:r>
          </w:p>
          <w:p>
            <w:pPr>
              <w:pStyle w:val="7"/>
              <w:spacing w:before="5" w:line="289" w:lineRule="exact"/>
              <w:ind w:left="107"/>
              <w:rPr>
                <w:rFonts w:eastAsia="宋体"/>
                <w:sz w:val="24"/>
                <w:szCs w:val="24"/>
              </w:rPr>
            </w:pPr>
            <w:r>
              <w:rPr>
                <w:rFonts w:eastAsia="宋体"/>
                <w:spacing w:val="-2"/>
                <w:sz w:val="24"/>
                <w:szCs w:val="24"/>
              </w:rPr>
              <w:t>（虧損以“-”填列</w:t>
            </w:r>
            <w:r>
              <w:rPr>
                <w:rFonts w:eastAsia="宋体"/>
                <w:spacing w:val="-10"/>
                <w:sz w:val="24"/>
                <w:szCs w:val="24"/>
              </w:rPr>
              <w:t>）</w:t>
            </w:r>
          </w:p>
        </w:tc>
        <w:tc>
          <w:tcPr>
            <w:tcW w:w="2972" w:type="dxa"/>
          </w:tcPr>
          <w:p>
            <w:pPr>
              <w:pStyle w:val="7"/>
              <w:spacing w:before="172"/>
              <w:ind w:right="96"/>
              <w:jc w:val="right"/>
              <w:rPr>
                <w:rFonts w:eastAsia="宋体"/>
                <w:sz w:val="24"/>
                <w:szCs w:val="24"/>
              </w:rPr>
            </w:pPr>
            <w:r>
              <w:rPr>
                <w:rFonts w:eastAsia="宋体"/>
                <w:sz w:val="24"/>
                <w:szCs w:val="24"/>
              </w:rPr>
              <w:t>1,388</w:t>
            </w:r>
          </w:p>
        </w:tc>
        <w:tc>
          <w:tcPr>
            <w:tcW w:w="2821" w:type="dxa"/>
          </w:tcPr>
          <w:p>
            <w:pPr>
              <w:pStyle w:val="7"/>
              <w:spacing w:before="172"/>
              <w:ind w:right="97"/>
              <w:jc w:val="right"/>
              <w:rPr>
                <w:rFonts w:eastAsia="宋体"/>
                <w:sz w:val="24"/>
                <w:szCs w:val="24"/>
              </w:rPr>
            </w:pPr>
            <w:r>
              <w:rPr>
                <w:rFonts w:eastAsia="宋体"/>
                <w:sz w:val="24"/>
                <w:szCs w:val="24"/>
              </w:rPr>
              <w:t>2,455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79" w:type="dxa"/>
          </w:tcPr>
          <w:p>
            <w:pPr>
              <w:pStyle w:val="7"/>
              <w:ind w:left="107"/>
              <w:rPr>
                <w:rFonts w:eastAsia="宋体"/>
                <w:sz w:val="24"/>
                <w:szCs w:val="24"/>
              </w:rPr>
            </w:pPr>
            <w:r>
              <w:rPr>
                <w:rFonts w:eastAsia="宋体"/>
                <w:spacing w:val="-3"/>
                <w:sz w:val="24"/>
                <w:szCs w:val="24"/>
              </w:rPr>
              <w:t>稅後利潤</w:t>
            </w:r>
          </w:p>
          <w:p>
            <w:pPr>
              <w:pStyle w:val="7"/>
              <w:spacing w:before="4" w:line="289" w:lineRule="exact"/>
              <w:ind w:left="107"/>
              <w:rPr>
                <w:rFonts w:eastAsia="宋体"/>
                <w:sz w:val="24"/>
                <w:szCs w:val="24"/>
              </w:rPr>
            </w:pPr>
            <w:r>
              <w:rPr>
                <w:rFonts w:eastAsia="宋体"/>
                <w:spacing w:val="-2"/>
                <w:sz w:val="24"/>
                <w:szCs w:val="24"/>
              </w:rPr>
              <w:t>（虧損以“-”填列</w:t>
            </w:r>
            <w:r>
              <w:rPr>
                <w:rFonts w:eastAsia="宋体"/>
                <w:spacing w:val="-10"/>
                <w:sz w:val="24"/>
                <w:szCs w:val="24"/>
              </w:rPr>
              <w:t>）</w:t>
            </w:r>
          </w:p>
        </w:tc>
        <w:tc>
          <w:tcPr>
            <w:tcW w:w="2972" w:type="dxa"/>
          </w:tcPr>
          <w:p>
            <w:pPr>
              <w:pStyle w:val="7"/>
              <w:spacing w:before="174"/>
              <w:ind w:right="96"/>
              <w:jc w:val="right"/>
              <w:rPr>
                <w:rFonts w:eastAsia="宋体"/>
                <w:sz w:val="24"/>
                <w:szCs w:val="24"/>
              </w:rPr>
            </w:pPr>
            <w:r>
              <w:rPr>
                <w:rFonts w:eastAsia="宋体"/>
                <w:sz w:val="24"/>
                <w:szCs w:val="24"/>
              </w:rPr>
              <w:t>973</w:t>
            </w:r>
          </w:p>
        </w:tc>
        <w:tc>
          <w:tcPr>
            <w:tcW w:w="2821" w:type="dxa"/>
          </w:tcPr>
          <w:p>
            <w:pPr>
              <w:pStyle w:val="7"/>
              <w:spacing w:before="174"/>
              <w:ind w:right="97"/>
              <w:jc w:val="right"/>
              <w:rPr>
                <w:rFonts w:eastAsia="宋体"/>
                <w:sz w:val="24"/>
                <w:szCs w:val="24"/>
              </w:rPr>
            </w:pPr>
            <w:r>
              <w:rPr>
                <w:rFonts w:eastAsia="宋体"/>
                <w:sz w:val="24"/>
                <w:szCs w:val="24"/>
              </w:rPr>
              <w:t>1,738</w:t>
            </w:r>
          </w:p>
        </w:tc>
      </w:tr>
    </w:tbl>
    <w:p>
      <w:pPr>
        <w:jc w:val="right"/>
        <w:rPr>
          <w:sz w:val="24"/>
        </w:rPr>
        <w:sectPr>
          <w:footerReference r:id="rId3" w:type="default"/>
          <w:type w:val="continuous"/>
          <w:pgSz w:w="11910" w:h="16840"/>
          <w:pgMar w:top="1400" w:right="1360" w:bottom="1372" w:left="1360" w:header="0" w:footer="882" w:gutter="0"/>
          <w:pgNumType w:start="1"/>
          <w:cols w:space="720" w:num="1"/>
        </w:sectPr>
      </w:pPr>
    </w:p>
    <w:tbl>
      <w:tblPr>
        <w:tblStyle w:val="4"/>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79"/>
        <w:gridCol w:w="2972"/>
        <w:gridCol w:w="2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679" w:type="dxa"/>
          </w:tcPr>
          <w:p>
            <w:pPr>
              <w:pStyle w:val="7"/>
              <w:spacing w:before="0"/>
              <w:rPr>
                <w:rFonts w:eastAsia="宋体"/>
                <w:sz w:val="24"/>
                <w:szCs w:val="24"/>
              </w:rPr>
            </w:pPr>
          </w:p>
        </w:tc>
        <w:tc>
          <w:tcPr>
            <w:tcW w:w="2972" w:type="dxa"/>
          </w:tcPr>
          <w:p>
            <w:pPr>
              <w:pStyle w:val="7"/>
              <w:spacing w:line="289" w:lineRule="exact"/>
              <w:ind w:left="566"/>
              <w:rPr>
                <w:rFonts w:eastAsia="宋体"/>
                <w:b/>
                <w:sz w:val="24"/>
                <w:szCs w:val="24"/>
              </w:rPr>
            </w:pPr>
            <w:r>
              <w:rPr>
                <w:rFonts w:eastAsia="宋体"/>
                <w:b/>
                <w:sz w:val="24"/>
                <w:szCs w:val="24"/>
              </w:rPr>
              <w:t>2023</w:t>
            </w:r>
            <w:r>
              <w:rPr>
                <w:rFonts w:hint="eastAsia" w:eastAsia="宋体"/>
                <w:b/>
                <w:spacing w:val="-30"/>
                <w:sz w:val="24"/>
                <w:szCs w:val="24"/>
              </w:rPr>
              <w:t>年</w:t>
            </w:r>
            <w:r>
              <w:rPr>
                <w:rFonts w:eastAsia="宋体"/>
                <w:b/>
                <w:sz w:val="24"/>
                <w:szCs w:val="24"/>
              </w:rPr>
              <w:t>6</w:t>
            </w:r>
            <w:r>
              <w:rPr>
                <w:rFonts w:hint="eastAsia" w:eastAsia="宋体"/>
                <w:b/>
                <w:spacing w:val="-30"/>
                <w:sz w:val="24"/>
                <w:szCs w:val="24"/>
              </w:rPr>
              <w:t>月</w:t>
            </w:r>
            <w:r>
              <w:rPr>
                <w:rFonts w:eastAsia="宋体"/>
                <w:b/>
                <w:sz w:val="24"/>
                <w:szCs w:val="24"/>
              </w:rPr>
              <w:t>30</w:t>
            </w:r>
            <w:r>
              <w:rPr>
                <w:rFonts w:hint="eastAsia" w:eastAsia="宋体"/>
                <w:b/>
                <w:spacing w:val="-10"/>
                <w:sz w:val="24"/>
                <w:szCs w:val="24"/>
              </w:rPr>
              <w:t>日</w:t>
            </w:r>
          </w:p>
        </w:tc>
        <w:tc>
          <w:tcPr>
            <w:tcW w:w="2821" w:type="dxa"/>
          </w:tcPr>
          <w:p>
            <w:pPr>
              <w:pStyle w:val="7"/>
              <w:spacing w:line="289" w:lineRule="exact"/>
              <w:ind w:left="431"/>
              <w:rPr>
                <w:rFonts w:eastAsia="宋体"/>
                <w:b/>
                <w:sz w:val="24"/>
                <w:szCs w:val="24"/>
              </w:rPr>
            </w:pPr>
            <w:r>
              <w:rPr>
                <w:rFonts w:eastAsia="宋体"/>
                <w:b/>
                <w:sz w:val="24"/>
                <w:szCs w:val="24"/>
              </w:rPr>
              <w:t>2022</w:t>
            </w:r>
            <w:r>
              <w:rPr>
                <w:rFonts w:hint="eastAsia" w:eastAsia="宋体"/>
                <w:b/>
                <w:spacing w:val="-30"/>
                <w:sz w:val="24"/>
                <w:szCs w:val="24"/>
              </w:rPr>
              <w:t>年</w:t>
            </w:r>
            <w:r>
              <w:rPr>
                <w:rFonts w:eastAsia="宋体"/>
                <w:b/>
                <w:sz w:val="24"/>
                <w:szCs w:val="24"/>
              </w:rPr>
              <w:t>12</w:t>
            </w:r>
            <w:r>
              <w:rPr>
                <w:rFonts w:hint="eastAsia" w:eastAsia="宋体"/>
                <w:b/>
                <w:spacing w:val="-30"/>
                <w:sz w:val="24"/>
                <w:szCs w:val="24"/>
              </w:rPr>
              <w:t>月</w:t>
            </w:r>
            <w:r>
              <w:rPr>
                <w:rFonts w:eastAsia="宋体"/>
                <w:b/>
                <w:sz w:val="24"/>
                <w:szCs w:val="24"/>
              </w:rPr>
              <w:t>31</w:t>
            </w:r>
            <w:r>
              <w:rPr>
                <w:rFonts w:hint="eastAsia" w:eastAsia="宋体"/>
                <w:b/>
                <w:spacing w:val="-1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679" w:type="dxa"/>
          </w:tcPr>
          <w:p>
            <w:pPr>
              <w:pStyle w:val="7"/>
              <w:spacing w:line="289" w:lineRule="exact"/>
              <w:ind w:left="107"/>
              <w:rPr>
                <w:rFonts w:eastAsia="宋体"/>
                <w:sz w:val="24"/>
                <w:szCs w:val="24"/>
              </w:rPr>
            </w:pPr>
            <w:r>
              <w:rPr>
                <w:rFonts w:eastAsia="宋体"/>
                <w:spacing w:val="-4"/>
                <w:sz w:val="24"/>
                <w:szCs w:val="24"/>
              </w:rPr>
              <w:t>總資產</w:t>
            </w:r>
          </w:p>
        </w:tc>
        <w:tc>
          <w:tcPr>
            <w:tcW w:w="2972" w:type="dxa"/>
          </w:tcPr>
          <w:p>
            <w:pPr>
              <w:pStyle w:val="7"/>
              <w:spacing w:before="0" w:line="251" w:lineRule="exact"/>
              <w:ind w:right="94"/>
              <w:jc w:val="right"/>
              <w:rPr>
                <w:rFonts w:eastAsia="宋体"/>
                <w:sz w:val="24"/>
                <w:szCs w:val="24"/>
              </w:rPr>
            </w:pPr>
            <w:r>
              <w:rPr>
                <w:rFonts w:eastAsia="宋体"/>
                <w:sz w:val="24"/>
                <w:szCs w:val="24"/>
              </w:rPr>
              <w:t>10,913</w:t>
            </w:r>
          </w:p>
        </w:tc>
        <w:tc>
          <w:tcPr>
            <w:tcW w:w="2821" w:type="dxa"/>
          </w:tcPr>
          <w:p>
            <w:pPr>
              <w:pStyle w:val="7"/>
              <w:spacing w:before="0" w:line="251" w:lineRule="exact"/>
              <w:ind w:right="94"/>
              <w:jc w:val="right"/>
              <w:rPr>
                <w:rFonts w:eastAsia="宋体"/>
                <w:sz w:val="24"/>
                <w:szCs w:val="24"/>
              </w:rPr>
            </w:pPr>
            <w:r>
              <w:rPr>
                <w:rFonts w:eastAsia="宋体"/>
                <w:sz w:val="24"/>
                <w:szCs w:val="24"/>
              </w:rPr>
              <w:t>12,801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679" w:type="dxa"/>
          </w:tcPr>
          <w:p>
            <w:pPr>
              <w:pStyle w:val="7"/>
              <w:spacing w:before="4" w:line="289" w:lineRule="exact"/>
              <w:ind w:left="107"/>
              <w:rPr>
                <w:rFonts w:eastAsia="宋体"/>
                <w:sz w:val="24"/>
                <w:szCs w:val="24"/>
              </w:rPr>
            </w:pPr>
            <w:r>
              <w:rPr>
                <w:rFonts w:eastAsia="宋体"/>
                <w:spacing w:val="-4"/>
                <w:sz w:val="24"/>
                <w:szCs w:val="24"/>
              </w:rPr>
              <w:t>淨資產</w:t>
            </w:r>
          </w:p>
        </w:tc>
        <w:tc>
          <w:tcPr>
            <w:tcW w:w="2972" w:type="dxa"/>
          </w:tcPr>
          <w:p>
            <w:pPr>
              <w:pStyle w:val="7"/>
              <w:spacing w:before="1"/>
              <w:ind w:right="94"/>
              <w:jc w:val="right"/>
              <w:rPr>
                <w:rFonts w:eastAsia="宋体"/>
                <w:sz w:val="24"/>
                <w:szCs w:val="24"/>
              </w:rPr>
            </w:pPr>
            <w:r>
              <w:rPr>
                <w:rFonts w:eastAsia="宋体"/>
                <w:sz w:val="24"/>
                <w:szCs w:val="24"/>
              </w:rPr>
              <w:t>8,093</w:t>
            </w:r>
          </w:p>
        </w:tc>
        <w:tc>
          <w:tcPr>
            <w:tcW w:w="2821" w:type="dxa"/>
          </w:tcPr>
          <w:p>
            <w:pPr>
              <w:pStyle w:val="7"/>
              <w:spacing w:before="1"/>
              <w:ind w:right="94"/>
              <w:jc w:val="right"/>
              <w:rPr>
                <w:rFonts w:eastAsia="宋体"/>
                <w:sz w:val="24"/>
                <w:szCs w:val="24"/>
              </w:rPr>
            </w:pPr>
            <w:r>
              <w:rPr>
                <w:rFonts w:eastAsia="宋体"/>
                <w:sz w:val="24"/>
                <w:szCs w:val="24"/>
              </w:rPr>
              <w:t>8,030</w:t>
            </w:r>
          </w:p>
        </w:tc>
      </w:tr>
    </w:tbl>
    <w:p>
      <w:pPr>
        <w:pStyle w:val="2"/>
        <w:spacing w:before="8"/>
        <w:rPr>
          <w:rFonts w:ascii="Times New Roman" w:hAnsi="Times New Roman"/>
          <w:sz w:val="26"/>
        </w:rPr>
      </w:pPr>
      <w:bookmarkStart w:id="0" w:name="_GoBack"/>
      <w:bookmarkEnd w:id="0"/>
    </w:p>
    <w:p>
      <w:pPr>
        <w:pStyle w:val="2"/>
        <w:ind w:left="229"/>
        <w:rPr>
          <w:rFonts w:ascii="Times New Roman" w:hAnsi="Times New Roman"/>
        </w:rPr>
      </w:pPr>
      <w:r>
        <w:rPr>
          <w:rFonts w:hint="eastAsia" w:ascii="Times New Roman" w:hAnsi="Times New Roman"/>
          <w:spacing w:val="38"/>
        </w:rPr>
        <w:t>投資者如需瞭解詳情，請參見兗煤澳洲公司在澳大利亞證券交易所網站（</w:t>
      </w:r>
      <w:r>
        <w:rPr>
          <w:rFonts w:ascii="Times New Roman" w:hAnsi="Times New Roman"/>
          <w:spacing w:val="38"/>
        </w:rPr>
        <w:t>http://www2.asx.com.au</w:t>
      </w:r>
      <w:r>
        <w:rPr>
          <w:rFonts w:hint="eastAsia" w:ascii="Times New Roman" w:hAnsi="Times New Roman"/>
          <w:spacing w:val="38"/>
        </w:rPr>
        <w:t>）及香港聯合交易所有限公司網站（</w:t>
      </w:r>
      <w:r>
        <w:rPr>
          <w:rFonts w:ascii="Times New Roman" w:hAnsi="Times New Roman"/>
          <w:spacing w:val="38"/>
        </w:rPr>
        <w:t>http://www.hkexnews.hk</w:t>
      </w:r>
      <w:r>
        <w:rPr>
          <w:rFonts w:hint="eastAsia" w:ascii="Times New Roman" w:hAnsi="Times New Roman"/>
          <w:spacing w:val="38"/>
        </w:rPr>
        <w:t>）發布的公告全文。</w:t>
      </w:r>
    </w:p>
    <w:p>
      <w:pPr>
        <w:pStyle w:val="2"/>
        <w:rPr>
          <w:rFonts w:ascii="Times New Roman" w:hAnsi="Times New Roman"/>
          <w:sz w:val="26"/>
        </w:rPr>
      </w:pPr>
    </w:p>
    <w:p>
      <w:pPr>
        <w:adjustRightInd w:val="0"/>
        <w:ind w:firstLine="585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承董事會命</w:t>
      </w:r>
    </w:p>
    <w:p>
      <w:pPr>
        <w:adjustRightInd w:val="0"/>
        <w:ind w:firstLine="5850"/>
        <w:jc w:val="center"/>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兗礦能源集團股份有限公司</w:t>
      </w:r>
    </w:p>
    <w:p>
      <w:pPr>
        <w:adjustRightInd w:val="0"/>
        <w:ind w:firstLine="5850"/>
        <w:jc w:val="center"/>
        <w:rPr>
          <w:rFonts w:ascii="Times New Roman" w:hAnsi="Times New Roman" w:cs="Times New Roman"/>
          <w:i/>
          <w:color w:val="000000"/>
          <w:sz w:val="24"/>
          <w:szCs w:val="24"/>
          <w:lang w:val="en-GB"/>
        </w:rPr>
      </w:pPr>
      <w:r>
        <w:rPr>
          <w:rFonts w:ascii="Times New Roman" w:hAnsi="Times New Roman" w:cs="Times New Roman"/>
          <w:i/>
          <w:color w:val="000000"/>
          <w:sz w:val="24"/>
          <w:szCs w:val="24"/>
          <w:lang w:val="en-GB"/>
        </w:rPr>
        <w:t>董事長</w:t>
      </w:r>
    </w:p>
    <w:p>
      <w:pPr>
        <w:adjustRightInd w:val="0"/>
        <w:ind w:firstLine="5850"/>
        <w:jc w:val="center"/>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李偉</w:t>
      </w:r>
    </w:p>
    <w:p>
      <w:pPr>
        <w:adjustRightInd w:val="0"/>
        <w:jc w:val="both"/>
        <w:rPr>
          <w:rFonts w:ascii="Times New Roman" w:hAnsi="Times New Roman" w:cs="Times New Roman"/>
          <w:i/>
          <w:color w:val="000000"/>
          <w:sz w:val="24"/>
          <w:szCs w:val="24"/>
          <w:lang w:val="en-GB"/>
        </w:rPr>
      </w:pPr>
    </w:p>
    <w:p>
      <w:pPr>
        <w:adjustRightInd w:val="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中國山東省鄒城市</w:t>
      </w:r>
    </w:p>
    <w:p>
      <w:pPr>
        <w:adjustRightInd w:val="0"/>
        <w:jc w:val="both"/>
        <w:rPr>
          <w:rFonts w:ascii="Times New Roman" w:hAnsi="Times New Roman" w:cs="Times New Roman"/>
          <w:b/>
          <w:i/>
          <w:color w:val="000000"/>
          <w:sz w:val="24"/>
          <w:szCs w:val="24"/>
          <w:lang w:val="en-GB"/>
        </w:rPr>
      </w:pPr>
      <w:r>
        <w:rPr>
          <w:rFonts w:ascii="Times New Roman" w:hAnsi="Times New Roman" w:cs="Times New Roman"/>
          <w:color w:val="000000"/>
          <w:sz w:val="24"/>
          <w:szCs w:val="24"/>
          <w:lang w:val="en-GB"/>
        </w:rPr>
        <w:t>2023年</w:t>
      </w:r>
      <w:r>
        <w:rPr>
          <w:rFonts w:ascii="Times New Roman" w:hAnsi="Times New Roman" w:cs="Times New Roman"/>
          <w:color w:val="000000"/>
          <w:sz w:val="24"/>
          <w:szCs w:val="24"/>
          <w:lang w:val="en-GB" w:eastAsia="zh-CN"/>
        </w:rPr>
        <w:t>8</w:t>
      </w:r>
      <w:r>
        <w:rPr>
          <w:rFonts w:ascii="Times New Roman" w:hAnsi="Times New Roman" w:cs="Times New Roman"/>
          <w:color w:val="000000"/>
          <w:sz w:val="24"/>
          <w:szCs w:val="24"/>
        </w:rPr>
        <w:t>月</w:t>
      </w:r>
      <w:r>
        <w:rPr>
          <w:rFonts w:ascii="Times New Roman" w:hAnsi="Times New Roman" w:cs="Times New Roman"/>
          <w:color w:val="000000"/>
          <w:sz w:val="24"/>
          <w:szCs w:val="24"/>
          <w:lang w:eastAsia="zh-CN"/>
        </w:rPr>
        <w:t>16</w:t>
      </w:r>
      <w:r>
        <w:rPr>
          <w:rFonts w:ascii="Times New Roman" w:hAnsi="Times New Roman" w:cs="Times New Roman"/>
          <w:color w:val="000000"/>
          <w:sz w:val="24"/>
          <w:szCs w:val="24"/>
        </w:rPr>
        <w:t>日</w:t>
      </w:r>
    </w:p>
    <w:p>
      <w:pPr>
        <w:adjustRightInd w:val="0"/>
        <w:jc w:val="both"/>
        <w:rPr>
          <w:rFonts w:ascii="Times New Roman" w:hAnsi="Times New Roman" w:cs="Times New Roman"/>
          <w:b/>
          <w:color w:val="000000"/>
          <w:sz w:val="24"/>
          <w:szCs w:val="24"/>
          <w:lang w:val="en-GB"/>
        </w:rPr>
      </w:pPr>
    </w:p>
    <w:p>
      <w:pPr>
        <w:adjustRightInd w:val="0"/>
        <w:jc w:val="both"/>
        <w:rPr>
          <w:rFonts w:ascii="Times New Roman" w:hAnsi="Times New Roman" w:cs="Times New Roman"/>
          <w:i/>
          <w:color w:val="000000"/>
          <w:sz w:val="24"/>
          <w:szCs w:val="24"/>
        </w:rPr>
      </w:pPr>
      <w:r>
        <w:rPr>
          <w:rFonts w:hint="eastAsia" w:ascii="Times New Roman" w:hAnsi="Times New Roman" w:cs="Times New Roman"/>
          <w:i/>
          <w:iCs/>
          <w:color w:val="000000"/>
          <w:sz w:val="24"/>
          <w:szCs w:val="24"/>
        </w:rPr>
        <w:t>於本公告日期，本公司董事為李偉先生、肖耀猛先生、劉健先生、劉強先生、張海軍先生、蘇力先生及黃霄龍先生，而本公司的獨立非執行董事為彭蘇萍先生、朱利民先生、胡家棟先生及朱睿女士。</w:t>
      </w:r>
    </w:p>
    <w:p>
      <w:pPr>
        <w:adjustRightInd w:val="0"/>
        <w:jc w:val="both"/>
        <w:rPr>
          <w:rFonts w:ascii="Times New Roman" w:hAnsi="Times New Roman" w:cs="Times New Roman"/>
          <w:i/>
          <w:color w:val="000000"/>
          <w:sz w:val="24"/>
          <w:szCs w:val="24"/>
        </w:rPr>
      </w:pPr>
    </w:p>
    <w:p>
      <w:pPr>
        <w:adjustRightInd w:val="0"/>
        <w:jc w:val="both"/>
        <w:rPr>
          <w:rFonts w:ascii="Times New Roman" w:hAnsi="Times New Roman" w:cs="Times New Roman"/>
          <w:i/>
          <w:iCs/>
          <w:color w:val="000000"/>
          <w:sz w:val="24"/>
          <w:szCs w:val="24"/>
          <w:lang w:eastAsia="zh-CN"/>
        </w:rPr>
      </w:pPr>
      <w:r>
        <w:rPr>
          <w:rFonts w:ascii="Times New Roman" w:hAnsi="Times New Roman" w:cs="Times New Roman"/>
          <w:i/>
          <w:color w:val="000000"/>
          <w:sz w:val="24"/>
          <w:szCs w:val="24"/>
        </w:rPr>
        <w:t>*僅供識別</w:t>
      </w:r>
    </w:p>
    <w:p>
      <w:pPr>
        <w:pStyle w:val="2"/>
        <w:spacing w:before="2"/>
        <w:rPr>
          <w:rFonts w:ascii="Times New Roman" w:hAnsi="Times New Roman"/>
          <w:i/>
          <w:sz w:val="25"/>
        </w:rPr>
      </w:pPr>
    </w:p>
    <w:sectPr>
      <w:type w:val="continuous"/>
      <w:pgSz w:w="11910" w:h="16840"/>
      <w:pgMar w:top="1440" w:right="1360" w:bottom="1080" w:left="1360" w:header="0" w:footer="88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6460490</wp:posOffset>
              </wp:positionH>
              <wp:positionV relativeFrom="page">
                <wp:posOffset>9992995</wp:posOffset>
              </wp:positionV>
              <wp:extent cx="146050" cy="139700"/>
              <wp:effectExtent l="0" t="0" r="0" b="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noFill/>
                      <a:ln>
                        <a:noFill/>
                      </a:ln>
                    </wps:spPr>
                    <wps:txbx>
                      <w:txbxContent>
                        <w:p>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p>
                      </w:txbxContent>
                    </wps:txbx>
                    <wps:bodyPr rot="0" vert="horz" wrap="square" lIns="0" tIns="0" rIns="0" bIns="0" anchor="t" anchorCtr="0" upright="1">
                      <a:noAutofit/>
                    </wps:bodyPr>
                  </wps:wsp>
                </a:graphicData>
              </a:graphic>
            </wp:anchor>
          </w:drawing>
        </mc:Choice>
        <mc:Fallback>
          <w:pict>
            <v:shape id="Text Box 5" o:spid="_x0000_s1026" o:spt="202" alt="" type="#_x0000_t202" style="position:absolute;left:0pt;margin-left:508.7pt;margin-top:786.85pt;height:11pt;width:11.5pt;mso-position-horizontal-relative:page;mso-position-vertical-relative:page;z-index:-251657216;mso-width-relative:page;mso-height-relative:page;" filled="f" stroked="f" coordsize="21600,21600" o:gfxdata="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XKCbXbAAAADwEAAA8AAAAAAAAAAQAgAAAAIgAAAGRycy9kb3du&#10;cmV2LnhtbFBLAQIUABQAAAAIAIdO4kCn+Pn0/AEAAAMEAAAOAAAAAAAAAAEAIAAAACoBAABkcnMv&#10;ZTJvRG9jLnhtbFBLBQYAAAAABgAGAFkBAACYBQAAAAA=&#10;">
              <v:fill on="f" focussize="0,0"/>
              <v:stroke on="f"/>
              <v:imagedata o:title=""/>
              <o:lock v:ext="edit" aspectratio="f"/>
              <v:textbox inset="0mm,0mm,0mm,0mm">
                <w:txbxContent>
                  <w:p>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Y2U1NmM5OTU2ZmY4Y2RiYTg3ZTQ2ZGQyMTliYjRmY2MifQ=="/>
  </w:docVars>
  <w:rsids>
    <w:rsidRoot w:val="00D62EFC"/>
    <w:rsid w:val="00227A44"/>
    <w:rsid w:val="003D1BA7"/>
    <w:rsid w:val="00443007"/>
    <w:rsid w:val="00630CF5"/>
    <w:rsid w:val="009879A3"/>
    <w:rsid w:val="00BB4017"/>
    <w:rsid w:val="00CF1DF0"/>
    <w:rsid w:val="00D62EFC"/>
    <w:rsid w:val="12EF7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TW"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Title"/>
    <w:basedOn w:val="1"/>
    <w:qFormat/>
    <w:uiPriority w:val="10"/>
    <w:pPr>
      <w:spacing w:before="4"/>
      <w:ind w:left="116" w:right="112"/>
      <w:jc w:val="center"/>
    </w:pPr>
    <w:rPr>
      <w:rFonts w:ascii="Times New Roman" w:hAnsi="Times New Roman" w:eastAsia="Times New Roman" w:cs="Times New Roman"/>
      <w:b/>
      <w:bCs/>
      <w:sz w:val="36"/>
      <w:szCs w:val="36"/>
    </w:rPr>
  </w:style>
  <w:style w:type="paragraph" w:styleId="6">
    <w:name w:val="List Paragraph"/>
    <w:basedOn w:val="1"/>
    <w:qFormat/>
    <w:uiPriority w:val="1"/>
  </w:style>
  <w:style w:type="paragraph" w:customStyle="1" w:styleId="7">
    <w:name w:val="Table Paragraph"/>
    <w:basedOn w:val="1"/>
    <w:qFormat/>
    <w:uiPriority w:val="1"/>
    <w:pPr>
      <w:spacing w:before="2"/>
    </w:pPr>
    <w:rPr>
      <w:rFonts w:ascii="Times New Roman" w:hAnsi="Times New Roman" w:eastAsia="Times New Roman" w:cs="Times New Roman"/>
    </w:rPr>
  </w:style>
  <w:style w:type="paragraph" w:customStyle="1" w:styleId="8">
    <w:name w:val="Revision"/>
    <w:hidden/>
    <w:semiHidden/>
    <w:uiPriority w:val="99"/>
    <w:pPr>
      <w:widowControl/>
      <w:autoSpaceDE/>
      <w:autoSpaceDN/>
    </w:pPr>
    <w:rPr>
      <w:rFonts w:ascii="宋体" w:hAnsi="宋体" w:eastAsia="宋体" w:cs="宋体"/>
      <w:sz w:val="22"/>
      <w:szCs w:val="22"/>
      <w:lang w:val="en-US" w:eastAsia="zh-TW" w:bidi="ar-SA"/>
    </w:rPr>
  </w:style>
  <w:style w:type="paragraph" w:customStyle="1" w:styleId="9">
    <w:name w:val="Default"/>
    <w:uiPriority w:val="0"/>
    <w:pPr>
      <w:widowControl w:val="0"/>
      <w:autoSpaceDE w:val="0"/>
      <w:autoSpaceDN w:val="0"/>
      <w:adjustRightInd w:val="0"/>
    </w:pPr>
    <w:rPr>
      <w:rFonts w:ascii="Times New Roman" w:hAnsi="Times New Roman" w:eastAsia="等线"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633</Words>
  <Characters>796</Characters>
  <TotalTime>1</TotalTime>
  <ScaleCrop>false</ScaleCrop>
  <LinksUpToDate>false</LinksUpToDate>
  <CharactersWithSpaces>802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2411-12-31T16:00:00Z</dcterms:created>
  <dc:creator>XTX</dc:creator>
  <cp:lastModifiedBy>许玉崑</cp:lastModifiedBy>
  <dcterms:modified xsi:type="dcterms:W3CDTF">2023-08-16T06:36:04Z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CF099495EB02430AA67DF5FDCECC74E2_12</vt:lpwstr>
  </property>
</Properties>
</file>