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jc w:val="both"/>
        <w:rPr>
          <w:rFonts w:eastAsia="宋体"/>
          <w:i/>
          <w:kern w:val="2"/>
          <w:sz w:val="21"/>
          <w:szCs w:val="24"/>
          <w:lang w:eastAsia="zh-CN"/>
        </w:rPr>
      </w:pPr>
      <w:r>
        <w:rPr>
          <w:rFonts w:eastAsia="PMingLiU"/>
          <w:i/>
          <w:kern w:val="2"/>
          <w:szCs w:val="24"/>
          <w:lang w:eastAsia="zh-TW"/>
        </w:rPr>
        <w:t>Hong Kong Exchanges and Clearing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p>
    <w:p>
      <w:pPr>
        <w:autoSpaceDE/>
        <w:autoSpaceDN/>
        <w:jc w:val="both"/>
        <w:rPr>
          <w:rFonts w:eastAsia="宋体"/>
          <w:i/>
          <w:kern w:val="2"/>
          <w:sz w:val="21"/>
          <w:szCs w:val="24"/>
          <w:lang w:eastAsia="zh-CN"/>
        </w:rPr>
      </w:pPr>
    </w:p>
    <w:p>
      <w:pPr>
        <w:widowControl/>
        <w:autoSpaceDE/>
        <w:autoSpaceDN/>
        <w:jc w:val="center"/>
        <w:rPr>
          <w:rFonts w:eastAsia="宋体"/>
          <w:b/>
          <w:caps/>
          <w:kern w:val="2"/>
          <w:sz w:val="36"/>
          <w:szCs w:val="24"/>
          <w:lang w:eastAsia="zh-CN"/>
        </w:rPr>
      </w:pPr>
      <w:r>
        <w:rPr>
          <w:rFonts w:eastAsia="宋体"/>
          <w:szCs w:val="28"/>
          <w:lang w:eastAsia="zh-CN"/>
        </w:rPr>
        <w:drawing>
          <wp:inline distT="0" distB="0" distL="0" distR="0">
            <wp:extent cx="732790" cy="7797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32790" cy="779780"/>
                    </a:xfrm>
                    <a:prstGeom prst="rect">
                      <a:avLst/>
                    </a:prstGeom>
                    <a:noFill/>
                    <a:ln>
                      <a:noFill/>
                    </a:ln>
                  </pic:spPr>
                </pic:pic>
              </a:graphicData>
            </a:graphic>
          </wp:inline>
        </w:drawing>
      </w:r>
    </w:p>
    <w:p>
      <w:pPr>
        <w:widowControl/>
        <w:autoSpaceDE/>
        <w:autoSpaceDN/>
        <w:jc w:val="center"/>
        <w:rPr>
          <w:rFonts w:ascii="宋体" w:hAnsi="宋体" w:eastAsia="宋体"/>
          <w:b/>
          <w:caps/>
          <w:kern w:val="2"/>
          <w:sz w:val="36"/>
          <w:szCs w:val="24"/>
          <w:lang w:eastAsia="zh-TW"/>
        </w:rPr>
      </w:pPr>
      <w:r>
        <w:rPr>
          <w:rFonts w:hint="eastAsia" w:eastAsia="宋体"/>
          <w:b/>
          <w:sz w:val="36"/>
          <w:szCs w:val="36"/>
          <w:lang w:val="en-GB" w:eastAsia="zh-TW"/>
        </w:rPr>
        <w:t>兗</w:t>
      </w:r>
      <w:r>
        <w:rPr>
          <w:rFonts w:hint="eastAsia" w:eastAsia="宋体"/>
          <w:b/>
          <w:sz w:val="36"/>
          <w:szCs w:val="36"/>
          <w:lang w:eastAsia="zh-TW"/>
        </w:rPr>
        <w:t>礦能源集團</w:t>
      </w:r>
      <w:r>
        <w:rPr>
          <w:rFonts w:hint="eastAsia" w:eastAsia="宋体"/>
          <w:b/>
          <w:sz w:val="36"/>
          <w:szCs w:val="36"/>
          <w:lang w:val="en-GB" w:eastAsia="zh-TW"/>
        </w:rPr>
        <w:t>股份有限公司</w:t>
      </w:r>
    </w:p>
    <w:p>
      <w:pPr>
        <w:adjustRightInd w:val="0"/>
        <w:jc w:val="center"/>
        <w:rPr>
          <w:rFonts w:eastAsia="PMingLiU"/>
          <w:b/>
          <w:bCs/>
          <w:kern w:val="2"/>
          <w:sz w:val="36"/>
          <w:szCs w:val="36"/>
          <w:lang w:eastAsia="zh-TW"/>
        </w:rPr>
      </w:pPr>
      <w:r>
        <w:rPr>
          <w:rFonts w:eastAsia="宋体"/>
          <w:b/>
          <w:sz w:val="36"/>
          <w:szCs w:val="36"/>
          <w:lang w:val="en-GB" w:eastAsia="zh-TW"/>
        </w:rPr>
        <w:t xml:space="preserve">YANKUANG </w:t>
      </w:r>
      <w:r>
        <w:rPr>
          <w:rFonts w:hint="eastAsia" w:eastAsia="宋体"/>
          <w:b/>
          <w:sz w:val="36"/>
          <w:szCs w:val="36"/>
          <w:lang w:eastAsia="zh-CN"/>
        </w:rPr>
        <w:t>ENERGY</w:t>
      </w:r>
      <w:r>
        <w:rPr>
          <w:rFonts w:eastAsia="宋体"/>
          <w:b/>
          <w:sz w:val="36"/>
          <w:szCs w:val="36"/>
          <w:lang w:val="en-GB" w:eastAsia="zh-TW"/>
        </w:rPr>
        <w:t xml:space="preserve"> </w:t>
      </w:r>
      <w:r>
        <w:rPr>
          <w:rFonts w:hint="eastAsia" w:eastAsia="宋体"/>
          <w:b/>
          <w:sz w:val="36"/>
          <w:szCs w:val="36"/>
          <w:lang w:eastAsia="zh-CN"/>
        </w:rPr>
        <w:t>GROUP</w:t>
      </w:r>
      <w:r>
        <w:rPr>
          <w:rFonts w:eastAsia="宋体"/>
          <w:b/>
          <w:sz w:val="36"/>
          <w:szCs w:val="36"/>
          <w:lang w:val="en-GB" w:eastAsia="zh-TW"/>
        </w:rPr>
        <w:t xml:space="preserve"> COMPANY LIMITED</w:t>
      </w:r>
      <w:r>
        <w:rPr>
          <w:rFonts w:hint="eastAsia" w:eastAsia="宋体"/>
          <w:sz w:val="36"/>
          <w:szCs w:val="36"/>
          <w:lang w:val="en-GB" w:eastAsia="zh-TW"/>
        </w:rPr>
        <w:t>*</w:t>
      </w:r>
    </w:p>
    <w:p>
      <w:pPr>
        <w:autoSpaceDE/>
        <w:autoSpaceDN/>
        <w:jc w:val="center"/>
        <w:rPr>
          <w:rFonts w:eastAsia="宋体"/>
          <w:i/>
          <w:kern w:val="2"/>
          <w:sz w:val="21"/>
          <w:szCs w:val="24"/>
          <w:lang w:eastAsia="zh-CN"/>
        </w:rPr>
      </w:pPr>
      <w:r>
        <w:rPr>
          <w:rFonts w:eastAsia="PMingLiU"/>
          <w:i/>
          <w:kern w:val="2"/>
          <w:sz w:val="20"/>
          <w:szCs w:val="20"/>
          <w:lang w:eastAsia="zh-TW"/>
        </w:rPr>
        <w:t>(A joint stock limited company incorporated in the People’s Republic of China with limited liability)</w:t>
      </w:r>
    </w:p>
    <w:p>
      <w:pPr>
        <w:spacing w:line="241" w:lineRule="exact"/>
        <w:ind w:left="615" w:right="552"/>
        <w:jc w:val="center"/>
        <w:rPr>
          <w:b/>
          <w:sz w:val="21"/>
        </w:rPr>
      </w:pPr>
      <w:r>
        <w:rPr>
          <w:rFonts w:eastAsia="PMingLiU"/>
          <w:b/>
          <w:kern w:val="2"/>
          <w:sz w:val="21"/>
          <w:szCs w:val="24"/>
          <w:lang w:eastAsia="zh-TW"/>
        </w:rPr>
        <w:t>(Stock Code: 01171)</w:t>
      </w:r>
    </w:p>
    <w:p>
      <w:pPr>
        <w:pStyle w:val="2"/>
        <w:rPr>
          <w:b/>
          <w:sz w:val="23"/>
        </w:rPr>
      </w:pPr>
    </w:p>
    <w:p>
      <w:pPr>
        <w:spacing w:line="360" w:lineRule="auto"/>
        <w:ind w:left="615" w:right="528"/>
        <w:jc w:val="center"/>
        <w:rPr>
          <w:b/>
          <w:sz w:val="28"/>
        </w:rPr>
      </w:pPr>
      <w:r>
        <w:rPr>
          <w:b/>
          <w:sz w:val="28"/>
        </w:rPr>
        <w:t>PUBLICATION OF THE 2023 INTERIM RESULTS OF</w:t>
      </w:r>
      <w:r>
        <w:rPr>
          <w:b/>
          <w:spacing w:val="-16"/>
          <w:sz w:val="28"/>
        </w:rPr>
        <w:t xml:space="preserve"> </w:t>
      </w:r>
      <w:r>
        <w:rPr>
          <w:b/>
          <w:sz w:val="28"/>
        </w:rPr>
        <w:t>AN OVERSEAS SUBSIDIARY CONTROLLED BY YANKUANG ENERGY GROUP COMPANY LIMITED</w:t>
      </w:r>
    </w:p>
    <w:p>
      <w:pPr>
        <w:pStyle w:val="2"/>
        <w:rPr>
          <w:b/>
          <w:sz w:val="20"/>
        </w:rPr>
      </w:pPr>
    </w:p>
    <w:p>
      <w:pPr>
        <w:pStyle w:val="2"/>
        <w:spacing w:before="1"/>
        <w:rPr>
          <w:b/>
          <w:sz w:val="14"/>
        </w:rPr>
      </w:pPr>
      <w:r>
        <w:pict>
          <v:shape id="docshape2" o:spid="_x0000_s2050" o:spt="202" type="#_x0000_t202" style="position:absolute;left:0pt;margin-left:48.6pt;margin-top:9.55pt;height:83.3pt;width:487pt;mso-position-horizontal-relative:page;mso-wrap-distance-bottom:0pt;mso-wrap-distance-top:0pt;z-index:-251657216;mso-width-relative:page;mso-height-relative:page;" filled="f" coordsize="21600,21600">
            <v:path/>
            <v:fill on="f" focussize="0,0"/>
            <v:stroke weight="0.48pt" joinstyle="miter"/>
            <v:imagedata o:title=""/>
            <o:lock v:ext="edit"/>
            <v:textbox inset="0mm,0mm,0mm,0mm">
              <w:txbxContent>
                <w:p>
                  <w:pPr>
                    <w:pStyle w:val="2"/>
                    <w:ind w:left="103" w:right="114"/>
                    <w:jc w:val="both"/>
                  </w:pPr>
                  <w:r>
                    <w:t>Yancoal</w:t>
                  </w:r>
                  <w:r>
                    <w:rPr>
                      <w:spacing w:val="40"/>
                    </w:rPr>
                    <w:t xml:space="preserve"> </w:t>
                  </w:r>
                  <w:r>
                    <w:t>Australia,</w:t>
                  </w:r>
                  <w:r>
                    <w:rPr>
                      <w:spacing w:val="40"/>
                    </w:rPr>
                    <w:t xml:space="preserve"> </w:t>
                  </w:r>
                  <w:r>
                    <w:t>a</w:t>
                  </w:r>
                  <w:r>
                    <w:rPr>
                      <w:spacing w:val="35"/>
                    </w:rPr>
                    <w:t xml:space="preserve"> </w:t>
                  </w:r>
                  <w:r>
                    <w:t>subsidiary</w:t>
                  </w:r>
                  <w:r>
                    <w:rPr>
                      <w:spacing w:val="40"/>
                    </w:rPr>
                    <w:t xml:space="preserve"> </w:t>
                  </w:r>
                  <w:r>
                    <w:t>controlled</w:t>
                  </w:r>
                  <w:r>
                    <w:rPr>
                      <w:spacing w:val="40"/>
                    </w:rPr>
                    <w:t xml:space="preserve"> </w:t>
                  </w:r>
                  <w:r>
                    <w:t>by</w:t>
                  </w:r>
                  <w:r>
                    <w:rPr>
                      <w:spacing w:val="40"/>
                    </w:rPr>
                    <w:t xml:space="preserve"> </w:t>
                  </w:r>
                  <w:r>
                    <w:t>the</w:t>
                  </w:r>
                  <w:r>
                    <w:rPr>
                      <w:spacing w:val="40"/>
                    </w:rPr>
                    <w:t xml:space="preserve"> </w:t>
                  </w:r>
                  <w:r>
                    <w:t>Company,</w:t>
                  </w:r>
                  <w:r>
                    <w:rPr>
                      <w:spacing w:val="36"/>
                    </w:rPr>
                    <w:t xml:space="preserve"> </w:t>
                  </w:r>
                  <w:r>
                    <w:t>the</w:t>
                  </w:r>
                  <w:r>
                    <w:rPr>
                      <w:spacing w:val="39"/>
                    </w:rPr>
                    <w:t xml:space="preserve"> </w:t>
                  </w:r>
                  <w:r>
                    <w:t>shares</w:t>
                  </w:r>
                  <w:r>
                    <w:rPr>
                      <w:spacing w:val="40"/>
                    </w:rPr>
                    <w:t xml:space="preserve"> </w:t>
                  </w:r>
                  <w:r>
                    <w:t>of</w:t>
                  </w:r>
                  <w:r>
                    <w:rPr>
                      <w:spacing w:val="39"/>
                    </w:rPr>
                    <w:t xml:space="preserve"> </w:t>
                  </w:r>
                  <w:r>
                    <w:t>which</w:t>
                  </w:r>
                  <w:r>
                    <w:rPr>
                      <w:spacing w:val="40"/>
                    </w:rPr>
                    <w:t xml:space="preserve"> </w:t>
                  </w:r>
                  <w:r>
                    <w:t>are</w:t>
                  </w:r>
                  <w:r>
                    <w:rPr>
                      <w:spacing w:val="39"/>
                    </w:rPr>
                    <w:t xml:space="preserve"> </w:t>
                  </w:r>
                  <w:r>
                    <w:t>listed</w:t>
                  </w:r>
                  <w:r>
                    <w:rPr>
                      <w:spacing w:val="40"/>
                    </w:rPr>
                    <w:t xml:space="preserve"> </w:t>
                  </w:r>
                  <w:r>
                    <w:t>on the ASX</w:t>
                  </w:r>
                  <w:r>
                    <w:rPr>
                      <w:spacing w:val="40"/>
                    </w:rPr>
                    <w:t xml:space="preserve"> </w:t>
                  </w:r>
                  <w:r>
                    <w:t>and</w:t>
                  </w:r>
                  <w:r>
                    <w:rPr>
                      <w:spacing w:val="40"/>
                    </w:rPr>
                    <w:t xml:space="preserve"> </w:t>
                  </w:r>
                  <w:r>
                    <w:t>the</w:t>
                  </w:r>
                  <w:r>
                    <w:rPr>
                      <w:spacing w:val="40"/>
                    </w:rPr>
                    <w:t xml:space="preserve"> </w:t>
                  </w:r>
                  <w:r>
                    <w:t>HKEX,</w:t>
                  </w:r>
                  <w:r>
                    <w:rPr>
                      <w:spacing w:val="39"/>
                    </w:rPr>
                    <w:t xml:space="preserve"> </w:t>
                  </w:r>
                  <w:r>
                    <w:t>published</w:t>
                  </w:r>
                  <w:r>
                    <w:rPr>
                      <w:spacing w:val="39"/>
                    </w:rPr>
                    <w:t xml:space="preserve"> </w:t>
                  </w:r>
                  <w:r>
                    <w:t>its</w:t>
                  </w:r>
                  <w:r>
                    <w:rPr>
                      <w:spacing w:val="39"/>
                    </w:rPr>
                    <w:t xml:space="preserve"> </w:t>
                  </w:r>
                  <w:r>
                    <w:t>2023</w:t>
                  </w:r>
                  <w:r>
                    <w:rPr>
                      <w:spacing w:val="40"/>
                    </w:rPr>
                    <w:t xml:space="preserve"> </w:t>
                  </w:r>
                  <w:r>
                    <w:t>interim</w:t>
                  </w:r>
                  <w:r>
                    <w:rPr>
                      <w:spacing w:val="40"/>
                    </w:rPr>
                    <w:t xml:space="preserve"> </w:t>
                  </w:r>
                  <w:r>
                    <w:t>results</w:t>
                  </w:r>
                  <w:r>
                    <w:rPr>
                      <w:spacing w:val="40"/>
                    </w:rPr>
                    <w:t xml:space="preserve"> </w:t>
                  </w:r>
                  <w:r>
                    <w:t>announcement.</w:t>
                  </w:r>
                </w:p>
                <w:p>
                  <w:pPr>
                    <w:pStyle w:val="2"/>
                    <w:spacing w:before="11"/>
                    <w:rPr>
                      <w:sz w:val="23"/>
                    </w:rPr>
                  </w:pPr>
                </w:p>
                <w:p>
                  <w:pPr>
                    <w:pStyle w:val="2"/>
                    <w:ind w:left="103" w:right="113"/>
                    <w:jc w:val="both"/>
                  </w:pPr>
                  <w:r>
                    <w:t>This announcement is made pursuant to Part XIVA of the Securities and Futures Ordinance and Rule</w:t>
                  </w:r>
                  <w:r>
                    <w:rPr>
                      <w:spacing w:val="40"/>
                    </w:rPr>
                    <w:t xml:space="preserve"> </w:t>
                  </w:r>
                  <w:r>
                    <w:t>13.09(2)(a) of the Rules</w:t>
                  </w:r>
                  <w:r>
                    <w:rPr>
                      <w:spacing w:val="40"/>
                    </w:rPr>
                    <w:t xml:space="preserve"> </w:t>
                  </w:r>
                  <w:r>
                    <w:t>Governing</w:t>
                  </w:r>
                  <w:r>
                    <w:rPr>
                      <w:spacing w:val="40"/>
                    </w:rPr>
                    <w:t xml:space="preserve"> </w:t>
                  </w:r>
                  <w:r>
                    <w:t>the Listing</w:t>
                  </w:r>
                  <w:r>
                    <w:rPr>
                      <w:spacing w:val="40"/>
                    </w:rPr>
                    <w:t xml:space="preserve"> </w:t>
                  </w:r>
                  <w:r>
                    <w:t>of Securities</w:t>
                  </w:r>
                  <w:r>
                    <w:rPr>
                      <w:spacing w:val="40"/>
                    </w:rPr>
                    <w:t xml:space="preserve"> </w:t>
                  </w:r>
                  <w:r>
                    <w:t>on</w:t>
                  </w:r>
                  <w:r>
                    <w:rPr>
                      <w:spacing w:val="40"/>
                    </w:rPr>
                    <w:t xml:space="preserve"> </w:t>
                  </w:r>
                  <w:r>
                    <w:t>The Stock</w:t>
                  </w:r>
                  <w:r>
                    <w:rPr>
                      <w:spacing w:val="40"/>
                    </w:rPr>
                    <w:t xml:space="preserve"> </w:t>
                  </w:r>
                  <w:r>
                    <w:t>Exchange of Hong Kong Limited.</w:t>
                  </w:r>
                </w:p>
              </w:txbxContent>
            </v:textbox>
            <w10:wrap type="topAndBottom"/>
          </v:shape>
        </w:pict>
      </w:r>
    </w:p>
    <w:p>
      <w:pPr>
        <w:pStyle w:val="2"/>
        <w:rPr>
          <w:b/>
          <w:sz w:val="20"/>
        </w:rPr>
      </w:pPr>
    </w:p>
    <w:p>
      <w:pPr>
        <w:pStyle w:val="2"/>
        <w:spacing w:before="9"/>
        <w:rPr>
          <w:b/>
          <w:sz w:val="18"/>
        </w:rPr>
      </w:pPr>
    </w:p>
    <w:p>
      <w:pPr>
        <w:pStyle w:val="2"/>
        <w:spacing w:before="90" w:line="360" w:lineRule="auto"/>
        <w:ind w:left="220" w:right="162"/>
        <w:jc w:val="both"/>
      </w:pPr>
      <w:r>
        <w:t>On 16 August 2023, Yancoal Australia Limited (“</w:t>
      </w:r>
      <w:r>
        <w:rPr>
          <w:b/>
        </w:rPr>
        <w:t>Yancoal Australia</w:t>
      </w:r>
      <w:r>
        <w:t>”), a subsidiary controlled by Yankuang Energy Group Company Limited* (the “</w:t>
      </w:r>
      <w:r>
        <w:rPr>
          <w:b/>
        </w:rPr>
        <w:t>Company</w:t>
      </w:r>
      <w:r>
        <w:t>”), the shares</w:t>
      </w:r>
      <w:r>
        <w:rPr>
          <w:spacing w:val="29"/>
        </w:rPr>
        <w:t xml:space="preserve"> </w:t>
      </w:r>
      <w:r>
        <w:t>of which are listed on</w:t>
      </w:r>
      <w:r>
        <w:rPr>
          <w:spacing w:val="80"/>
        </w:rPr>
        <w:t xml:space="preserve"> </w:t>
      </w:r>
      <w:r>
        <w:t>the Australian Securities Exchange (the “</w:t>
      </w:r>
      <w:r>
        <w:rPr>
          <w:b/>
        </w:rPr>
        <w:t>ASX</w:t>
      </w:r>
      <w:r>
        <w:t xml:space="preserve">”) (stock code: YAL) and The Stock Exchange of Hong Kong Limited (the </w:t>
      </w:r>
      <w:r>
        <w:rPr>
          <w:b/>
        </w:rPr>
        <w:t>“HKEX</w:t>
      </w:r>
      <w:r>
        <w:t xml:space="preserve">”) (stock code: 03668), published its 2023 interim results </w:t>
      </w:r>
      <w:r>
        <w:rPr>
          <w:spacing w:val="-2"/>
        </w:rPr>
        <w:t>announcement.</w:t>
      </w:r>
    </w:p>
    <w:p>
      <w:pPr>
        <w:pStyle w:val="2"/>
        <w:spacing w:before="122" w:line="360" w:lineRule="auto"/>
        <w:ind w:left="220" w:right="163"/>
        <w:jc w:val="both"/>
      </w:pPr>
      <w:r>
        <w:t>The following summary of major financial data of Yancoal Australia was prepared in accordance with</w:t>
      </w:r>
      <w:r>
        <w:rPr>
          <w:spacing w:val="40"/>
        </w:rPr>
        <w:t xml:space="preserve"> </w:t>
      </w:r>
      <w:r>
        <w:t>the</w:t>
      </w:r>
      <w:r>
        <w:rPr>
          <w:spacing w:val="40"/>
        </w:rPr>
        <w:t xml:space="preserve"> </w:t>
      </w:r>
      <w:r>
        <w:t>International</w:t>
      </w:r>
      <w:r>
        <w:rPr>
          <w:spacing w:val="40"/>
        </w:rPr>
        <w:t xml:space="preserve"> </w:t>
      </w:r>
      <w:r>
        <w:t>Financial</w:t>
      </w:r>
      <w:r>
        <w:rPr>
          <w:spacing w:val="40"/>
        </w:rPr>
        <w:t xml:space="preserve"> </w:t>
      </w:r>
      <w:r>
        <w:t>Reporting</w:t>
      </w:r>
      <w:r>
        <w:rPr>
          <w:spacing w:val="40"/>
        </w:rPr>
        <w:t xml:space="preserve"> </w:t>
      </w:r>
      <w:r>
        <w:t>Standards</w:t>
      </w:r>
      <w:r>
        <w:rPr>
          <w:spacing w:val="40"/>
        </w:rPr>
        <w:t xml:space="preserve"> </w:t>
      </w:r>
      <w:r>
        <w:t>and</w:t>
      </w:r>
      <w:r>
        <w:rPr>
          <w:spacing w:val="40"/>
        </w:rPr>
        <w:t xml:space="preserve"> </w:t>
      </w:r>
      <w:r>
        <w:t>was</w:t>
      </w:r>
      <w:r>
        <w:rPr>
          <w:spacing w:val="40"/>
        </w:rPr>
        <w:t xml:space="preserve"> </w:t>
      </w:r>
      <w:r>
        <w:t>reviewed</w:t>
      </w:r>
      <w:r>
        <w:rPr>
          <w:spacing w:val="40"/>
        </w:rPr>
        <w:t xml:space="preserve"> </w:t>
      </w:r>
      <w:r>
        <w:t>by</w:t>
      </w:r>
      <w:r>
        <w:rPr>
          <w:spacing w:val="40"/>
        </w:rPr>
        <w:t xml:space="preserve"> </w:t>
      </w:r>
      <w:r>
        <w:t>the</w:t>
      </w:r>
      <w:r>
        <w:rPr>
          <w:spacing w:val="40"/>
        </w:rPr>
        <w:t xml:space="preserve"> </w:t>
      </w:r>
      <w:r>
        <w:t>accountants:</w:t>
      </w:r>
    </w:p>
    <w:p>
      <w:pPr>
        <w:pStyle w:val="2"/>
        <w:spacing w:before="121"/>
        <w:ind w:left="6833"/>
        <w:jc w:val="both"/>
      </w:pPr>
      <w:r>
        <w:t>Unit:</w:t>
      </w:r>
      <w:r>
        <w:rPr>
          <w:spacing w:val="29"/>
        </w:rPr>
        <w:t xml:space="preserve"> </w:t>
      </w:r>
      <w:r>
        <w:t>million</w:t>
      </w:r>
      <w:r>
        <w:rPr>
          <w:spacing w:val="18"/>
        </w:rPr>
        <w:t xml:space="preserve"> </w:t>
      </w:r>
      <w:r>
        <w:t>Australian</w:t>
      </w:r>
      <w:r>
        <w:rPr>
          <w:spacing w:val="25"/>
        </w:rPr>
        <w:t xml:space="preserve"> </w:t>
      </w:r>
      <w:r>
        <w:rPr>
          <w:spacing w:val="-2"/>
        </w:rPr>
        <w:t>dollars</w:t>
      </w:r>
    </w:p>
    <w:p>
      <w:pPr>
        <w:pStyle w:val="2"/>
        <w:spacing w:before="11"/>
        <w:rPr>
          <w:sz w:val="11"/>
        </w:rPr>
      </w:pPr>
    </w:p>
    <w:tbl>
      <w:tblPr>
        <w:tblStyle w:val="4"/>
        <w:tblW w:w="0" w:type="auto"/>
        <w:tblInd w:w="8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7"/>
        <w:gridCol w:w="2744"/>
        <w:gridCol w:w="2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907" w:type="dxa"/>
            <w:vMerge w:val="restart"/>
          </w:tcPr>
          <w:p>
            <w:pPr>
              <w:pStyle w:val="7"/>
              <w:spacing w:before="229"/>
              <w:ind w:left="1148" w:right="1145"/>
              <w:jc w:val="center"/>
              <w:rPr>
                <w:b/>
                <w:sz w:val="24"/>
              </w:rPr>
            </w:pPr>
            <w:r>
              <w:rPr>
                <w:b/>
                <w:spacing w:val="-2"/>
                <w:sz w:val="24"/>
              </w:rPr>
              <w:t>Items</w:t>
            </w:r>
          </w:p>
        </w:tc>
        <w:tc>
          <w:tcPr>
            <w:tcW w:w="5565" w:type="dxa"/>
            <w:gridSpan w:val="2"/>
          </w:tcPr>
          <w:p>
            <w:pPr>
              <w:pStyle w:val="7"/>
              <w:spacing w:before="42"/>
              <w:ind w:left="1063"/>
              <w:jc w:val="left"/>
              <w:rPr>
                <w:b/>
                <w:sz w:val="24"/>
              </w:rPr>
            </w:pPr>
            <w:r>
              <w:rPr>
                <w:b/>
                <w:sz w:val="24"/>
              </w:rPr>
              <w:t>For</w:t>
            </w:r>
            <w:r>
              <w:rPr>
                <w:b/>
                <w:spacing w:val="-9"/>
                <w:sz w:val="24"/>
              </w:rPr>
              <w:t xml:space="preserve"> </w:t>
            </w:r>
            <w:r>
              <w:rPr>
                <w:b/>
                <w:sz w:val="24"/>
              </w:rPr>
              <w:t>the</w:t>
            </w:r>
            <w:r>
              <w:rPr>
                <w:b/>
                <w:spacing w:val="-4"/>
                <w:sz w:val="24"/>
              </w:rPr>
              <w:t xml:space="preserve"> </w:t>
            </w:r>
            <w:r>
              <w:rPr>
                <w:b/>
                <w:sz w:val="24"/>
              </w:rPr>
              <w:t>six</w:t>
            </w:r>
            <w:r>
              <w:rPr>
                <w:b/>
                <w:spacing w:val="-3"/>
                <w:sz w:val="24"/>
              </w:rPr>
              <w:t xml:space="preserve"> </w:t>
            </w:r>
            <w:r>
              <w:rPr>
                <w:b/>
                <w:sz w:val="24"/>
              </w:rPr>
              <w:t>months</w:t>
            </w:r>
            <w:r>
              <w:rPr>
                <w:b/>
                <w:spacing w:val="-3"/>
                <w:sz w:val="24"/>
              </w:rPr>
              <w:t xml:space="preserve"> </w:t>
            </w:r>
            <w:r>
              <w:rPr>
                <w:b/>
                <w:sz w:val="24"/>
              </w:rPr>
              <w:t>ended</w:t>
            </w:r>
            <w:r>
              <w:rPr>
                <w:b/>
                <w:spacing w:val="-4"/>
                <w:sz w:val="24"/>
              </w:rPr>
              <w:t xml:space="preserve"> </w:t>
            </w:r>
            <w:r>
              <w:rPr>
                <w:b/>
                <w:sz w:val="24"/>
              </w:rPr>
              <w:t>30</w:t>
            </w:r>
            <w:r>
              <w:rPr>
                <w:b/>
                <w:spacing w:val="-3"/>
                <w:sz w:val="24"/>
              </w:rPr>
              <w:t xml:space="preserve"> </w:t>
            </w:r>
            <w:r>
              <w:rPr>
                <w:b/>
                <w:spacing w:val="-4"/>
                <w:sz w:val="24"/>
              </w:rPr>
              <w:t>June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907" w:type="dxa"/>
            <w:vMerge w:val="continue"/>
            <w:tcBorders>
              <w:top w:val="nil"/>
            </w:tcBorders>
          </w:tcPr>
          <w:p>
            <w:pPr>
              <w:rPr>
                <w:sz w:val="2"/>
                <w:szCs w:val="2"/>
              </w:rPr>
            </w:pPr>
          </w:p>
        </w:tc>
        <w:tc>
          <w:tcPr>
            <w:tcW w:w="2744" w:type="dxa"/>
          </w:tcPr>
          <w:p>
            <w:pPr>
              <w:pStyle w:val="7"/>
              <w:spacing w:before="42"/>
              <w:ind w:left="1120" w:right="1109"/>
              <w:jc w:val="center"/>
              <w:rPr>
                <w:b/>
                <w:sz w:val="24"/>
              </w:rPr>
            </w:pPr>
            <w:r>
              <w:rPr>
                <w:b/>
                <w:spacing w:val="-4"/>
                <w:sz w:val="24"/>
              </w:rPr>
              <w:t>2023</w:t>
            </w:r>
          </w:p>
        </w:tc>
        <w:tc>
          <w:tcPr>
            <w:tcW w:w="2821" w:type="dxa"/>
          </w:tcPr>
          <w:p>
            <w:pPr>
              <w:pStyle w:val="7"/>
              <w:spacing w:before="42"/>
              <w:ind w:left="1156" w:right="1150"/>
              <w:jc w:val="center"/>
              <w:rPr>
                <w:b/>
                <w:sz w:val="24"/>
              </w:rPr>
            </w:pPr>
            <w:r>
              <w:rPr>
                <w:b/>
                <w:spacing w:val="-4"/>
                <w:sz w:val="24"/>
              </w:rPr>
              <w:t>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907" w:type="dxa"/>
          </w:tcPr>
          <w:p>
            <w:pPr>
              <w:pStyle w:val="7"/>
              <w:spacing w:line="256" w:lineRule="exact"/>
              <w:ind w:left="107"/>
              <w:jc w:val="left"/>
              <w:rPr>
                <w:sz w:val="24"/>
              </w:rPr>
            </w:pPr>
            <w:r>
              <w:rPr>
                <w:spacing w:val="-2"/>
                <w:sz w:val="24"/>
              </w:rPr>
              <w:t>Revenue</w:t>
            </w:r>
          </w:p>
        </w:tc>
        <w:tc>
          <w:tcPr>
            <w:tcW w:w="2744" w:type="dxa"/>
          </w:tcPr>
          <w:p>
            <w:pPr>
              <w:pStyle w:val="7"/>
              <w:spacing w:line="256" w:lineRule="exact"/>
              <w:ind w:right="97"/>
              <w:rPr>
                <w:sz w:val="24"/>
              </w:rPr>
            </w:pPr>
            <w:r>
              <w:rPr>
                <w:rFonts w:eastAsia="宋体"/>
                <w:sz w:val="24"/>
                <w:szCs w:val="24"/>
              </w:rPr>
              <w:t>3,976</w:t>
            </w:r>
          </w:p>
        </w:tc>
        <w:tc>
          <w:tcPr>
            <w:tcW w:w="2821" w:type="dxa"/>
          </w:tcPr>
          <w:p>
            <w:pPr>
              <w:pStyle w:val="7"/>
              <w:spacing w:line="256" w:lineRule="exact"/>
              <w:ind w:right="100"/>
              <w:rPr>
                <w:sz w:val="24"/>
              </w:rPr>
            </w:pPr>
            <w:r>
              <w:rPr>
                <w:rFonts w:eastAsia="宋体"/>
                <w:sz w:val="24"/>
                <w:szCs w:val="24"/>
              </w:rPr>
              <w:t>4,776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907" w:type="dxa"/>
          </w:tcPr>
          <w:p>
            <w:pPr>
              <w:pStyle w:val="7"/>
              <w:spacing w:line="270" w:lineRule="atLeast"/>
              <w:ind w:left="107"/>
              <w:jc w:val="left"/>
              <w:rPr>
                <w:sz w:val="24"/>
              </w:rPr>
            </w:pPr>
            <w:r>
              <w:rPr>
                <w:sz w:val="24"/>
              </w:rPr>
              <w:t>Profit</w:t>
            </w:r>
            <w:r>
              <w:rPr>
                <w:spacing w:val="80"/>
                <w:sz w:val="24"/>
              </w:rPr>
              <w:t xml:space="preserve"> </w:t>
            </w:r>
            <w:r>
              <w:rPr>
                <w:sz w:val="24"/>
              </w:rPr>
              <w:t>before</w:t>
            </w:r>
            <w:r>
              <w:rPr>
                <w:spacing w:val="40"/>
                <w:sz w:val="24"/>
              </w:rPr>
              <w:t xml:space="preserve"> </w:t>
            </w:r>
            <w:r>
              <w:rPr>
                <w:sz w:val="24"/>
              </w:rPr>
              <w:t>tax</w:t>
            </w:r>
            <w:r>
              <w:rPr>
                <w:spacing w:val="40"/>
                <w:sz w:val="24"/>
              </w:rPr>
              <w:t xml:space="preserve"> </w:t>
            </w:r>
            <w:r>
              <w:rPr>
                <w:sz w:val="24"/>
              </w:rPr>
              <w:t>(loss</w:t>
            </w:r>
            <w:r>
              <w:rPr>
                <w:spacing w:val="80"/>
                <w:sz w:val="24"/>
              </w:rPr>
              <w:t xml:space="preserve"> </w:t>
            </w:r>
            <w:r>
              <w:rPr>
                <w:sz w:val="24"/>
              </w:rPr>
              <w:t>is shown by the symbol "-")</w:t>
            </w:r>
          </w:p>
        </w:tc>
        <w:tc>
          <w:tcPr>
            <w:tcW w:w="2744" w:type="dxa"/>
          </w:tcPr>
          <w:p>
            <w:pPr>
              <w:pStyle w:val="7"/>
              <w:spacing w:before="138"/>
              <w:ind w:right="97"/>
              <w:rPr>
                <w:sz w:val="24"/>
              </w:rPr>
            </w:pPr>
            <w:r>
              <w:rPr>
                <w:rFonts w:eastAsia="宋体"/>
                <w:sz w:val="24"/>
                <w:szCs w:val="24"/>
              </w:rPr>
              <w:t>1,388</w:t>
            </w:r>
          </w:p>
        </w:tc>
        <w:tc>
          <w:tcPr>
            <w:tcW w:w="2821" w:type="dxa"/>
          </w:tcPr>
          <w:p>
            <w:pPr>
              <w:pStyle w:val="7"/>
              <w:spacing w:before="138"/>
              <w:ind w:right="94"/>
              <w:rPr>
                <w:sz w:val="24"/>
              </w:rPr>
            </w:pPr>
            <w:r>
              <w:rPr>
                <w:rFonts w:eastAsia="宋体"/>
                <w:sz w:val="24"/>
                <w:szCs w:val="24"/>
              </w:rPr>
              <w:t>2,455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07" w:type="dxa"/>
          </w:tcPr>
          <w:p>
            <w:pPr>
              <w:pStyle w:val="7"/>
              <w:tabs>
                <w:tab w:val="left" w:pos="2635"/>
              </w:tabs>
              <w:spacing w:line="276" w:lineRule="exact"/>
              <w:ind w:left="107" w:right="99"/>
              <w:jc w:val="left"/>
              <w:rPr>
                <w:sz w:val="24"/>
              </w:rPr>
            </w:pPr>
            <w:r>
              <w:rPr>
                <w:sz w:val="24"/>
              </w:rPr>
              <w:t>Profit</w:t>
            </w:r>
            <w:r>
              <w:rPr>
                <w:spacing w:val="80"/>
                <w:sz w:val="24"/>
              </w:rPr>
              <w:t xml:space="preserve"> </w:t>
            </w:r>
            <w:r>
              <w:rPr>
                <w:sz w:val="24"/>
              </w:rPr>
              <w:t>after</w:t>
            </w:r>
            <w:r>
              <w:rPr>
                <w:spacing w:val="80"/>
                <w:sz w:val="24"/>
              </w:rPr>
              <w:t xml:space="preserve"> </w:t>
            </w:r>
            <w:r>
              <w:rPr>
                <w:sz w:val="24"/>
              </w:rPr>
              <w:t>tax</w:t>
            </w:r>
            <w:r>
              <w:rPr>
                <w:spacing w:val="80"/>
                <w:sz w:val="24"/>
              </w:rPr>
              <w:t xml:space="preserve"> </w:t>
            </w:r>
            <w:r>
              <w:rPr>
                <w:sz w:val="24"/>
              </w:rPr>
              <w:t>(loss</w:t>
            </w:r>
            <w:r>
              <w:rPr>
                <w:sz w:val="24"/>
              </w:rPr>
              <w:tab/>
            </w:r>
            <w:r>
              <w:rPr>
                <w:spacing w:val="-6"/>
                <w:sz w:val="24"/>
              </w:rPr>
              <w:t xml:space="preserve">is </w:t>
            </w:r>
            <w:r>
              <w:rPr>
                <w:sz w:val="24"/>
              </w:rPr>
              <w:t>shown by the symbol "-")</w:t>
            </w:r>
          </w:p>
        </w:tc>
        <w:tc>
          <w:tcPr>
            <w:tcW w:w="2744" w:type="dxa"/>
          </w:tcPr>
          <w:p>
            <w:pPr>
              <w:pStyle w:val="7"/>
              <w:spacing w:before="135"/>
              <w:ind w:right="97"/>
              <w:rPr>
                <w:sz w:val="24"/>
              </w:rPr>
            </w:pPr>
            <w:r>
              <w:rPr>
                <w:rFonts w:eastAsia="宋体"/>
                <w:sz w:val="24"/>
                <w:szCs w:val="24"/>
              </w:rPr>
              <w:t>973</w:t>
            </w:r>
          </w:p>
        </w:tc>
        <w:tc>
          <w:tcPr>
            <w:tcW w:w="2821" w:type="dxa"/>
          </w:tcPr>
          <w:p>
            <w:pPr>
              <w:pStyle w:val="7"/>
              <w:spacing w:before="135"/>
              <w:ind w:right="94"/>
              <w:rPr>
                <w:sz w:val="24"/>
              </w:rPr>
            </w:pPr>
            <w:r>
              <w:rPr>
                <w:rFonts w:eastAsia="宋体"/>
                <w:sz w:val="24"/>
                <w:szCs w:val="24"/>
              </w:rPr>
              <w:t>1,738</w:t>
            </w:r>
          </w:p>
        </w:tc>
      </w:tr>
    </w:tbl>
    <w:p>
      <w:pPr>
        <w:rPr>
          <w:sz w:val="24"/>
        </w:rPr>
        <w:sectPr>
          <w:footerReference r:id="rId3" w:type="default"/>
          <w:type w:val="continuous"/>
          <w:pgSz w:w="11910" w:h="16840"/>
          <w:pgMar w:top="1340" w:right="920" w:bottom="1392" w:left="860" w:header="0" w:footer="697" w:gutter="0"/>
          <w:pgNumType w:start="1"/>
          <w:cols w:space="720" w:num="1"/>
        </w:sectPr>
      </w:pPr>
    </w:p>
    <w:tbl>
      <w:tblPr>
        <w:tblStyle w:val="4"/>
        <w:tblW w:w="0" w:type="auto"/>
        <w:tblInd w:w="8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7"/>
        <w:gridCol w:w="2744"/>
        <w:gridCol w:w="2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907" w:type="dxa"/>
          </w:tcPr>
          <w:p>
            <w:pPr>
              <w:pStyle w:val="7"/>
              <w:jc w:val="left"/>
              <w:rPr>
                <w:sz w:val="20"/>
              </w:rPr>
            </w:pPr>
          </w:p>
        </w:tc>
        <w:tc>
          <w:tcPr>
            <w:tcW w:w="2744" w:type="dxa"/>
          </w:tcPr>
          <w:p>
            <w:pPr>
              <w:pStyle w:val="7"/>
              <w:spacing w:line="256" w:lineRule="exact"/>
              <w:ind w:left="412"/>
              <w:jc w:val="left"/>
              <w:rPr>
                <w:b/>
                <w:sz w:val="24"/>
              </w:rPr>
            </w:pPr>
            <w:r>
              <w:rPr>
                <w:b/>
                <w:sz w:val="24"/>
              </w:rPr>
              <w:t>As</w:t>
            </w:r>
            <w:r>
              <w:rPr>
                <w:b/>
                <w:spacing w:val="-2"/>
                <w:sz w:val="24"/>
              </w:rPr>
              <w:t xml:space="preserve"> </w:t>
            </w:r>
            <w:r>
              <w:rPr>
                <w:b/>
                <w:sz w:val="24"/>
              </w:rPr>
              <w:t>at</w:t>
            </w:r>
            <w:r>
              <w:rPr>
                <w:b/>
                <w:spacing w:val="-3"/>
                <w:sz w:val="24"/>
              </w:rPr>
              <w:t xml:space="preserve"> </w:t>
            </w:r>
            <w:r>
              <w:rPr>
                <w:b/>
                <w:sz w:val="24"/>
              </w:rPr>
              <w:t>30</w:t>
            </w:r>
            <w:r>
              <w:rPr>
                <w:b/>
                <w:spacing w:val="-1"/>
                <w:sz w:val="24"/>
              </w:rPr>
              <w:t xml:space="preserve"> </w:t>
            </w:r>
            <w:r>
              <w:rPr>
                <w:b/>
                <w:sz w:val="24"/>
              </w:rPr>
              <w:t>June</w:t>
            </w:r>
            <w:r>
              <w:rPr>
                <w:b/>
                <w:spacing w:val="-3"/>
                <w:sz w:val="24"/>
              </w:rPr>
              <w:t xml:space="preserve"> </w:t>
            </w:r>
            <w:r>
              <w:rPr>
                <w:b/>
                <w:spacing w:val="-4"/>
                <w:sz w:val="24"/>
              </w:rPr>
              <w:t>2023</w:t>
            </w:r>
          </w:p>
        </w:tc>
        <w:tc>
          <w:tcPr>
            <w:tcW w:w="2821" w:type="dxa"/>
          </w:tcPr>
          <w:p>
            <w:pPr>
              <w:pStyle w:val="7"/>
              <w:spacing w:line="256" w:lineRule="exact"/>
              <w:ind w:right="169"/>
              <w:rPr>
                <w:b/>
                <w:sz w:val="24"/>
              </w:rPr>
            </w:pPr>
            <w:r>
              <w:rPr>
                <w:b/>
                <w:sz w:val="24"/>
              </w:rPr>
              <w:t>As</w:t>
            </w:r>
            <w:r>
              <w:rPr>
                <w:b/>
                <w:spacing w:val="-3"/>
                <w:sz w:val="24"/>
              </w:rPr>
              <w:t xml:space="preserve"> </w:t>
            </w:r>
            <w:r>
              <w:rPr>
                <w:b/>
                <w:sz w:val="24"/>
              </w:rPr>
              <w:t>at</w:t>
            </w:r>
            <w:r>
              <w:rPr>
                <w:b/>
                <w:spacing w:val="-3"/>
                <w:sz w:val="24"/>
              </w:rPr>
              <w:t xml:space="preserve"> </w:t>
            </w:r>
            <w:r>
              <w:rPr>
                <w:b/>
                <w:sz w:val="24"/>
              </w:rPr>
              <w:t>31</w:t>
            </w:r>
            <w:r>
              <w:rPr>
                <w:b/>
                <w:spacing w:val="-2"/>
                <w:sz w:val="24"/>
              </w:rPr>
              <w:t xml:space="preserve"> </w:t>
            </w:r>
            <w:r>
              <w:rPr>
                <w:b/>
                <w:sz w:val="24"/>
              </w:rPr>
              <w:t>December</w:t>
            </w:r>
            <w:r>
              <w:rPr>
                <w:b/>
                <w:spacing w:val="-8"/>
                <w:sz w:val="24"/>
              </w:rPr>
              <w:t xml:space="preserve"> </w:t>
            </w:r>
            <w:r>
              <w:rPr>
                <w:b/>
                <w:spacing w:val="-4"/>
                <w:sz w:val="24"/>
              </w:rPr>
              <w:t>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907" w:type="dxa"/>
          </w:tcPr>
          <w:p>
            <w:pPr>
              <w:pStyle w:val="7"/>
              <w:spacing w:line="256" w:lineRule="exact"/>
              <w:ind w:left="107"/>
              <w:jc w:val="left"/>
              <w:rPr>
                <w:sz w:val="24"/>
              </w:rPr>
            </w:pPr>
            <w:r>
              <w:rPr>
                <w:spacing w:val="-2"/>
                <w:sz w:val="24"/>
              </w:rPr>
              <w:t>Total</w:t>
            </w:r>
            <w:r>
              <w:rPr>
                <w:spacing w:val="-8"/>
                <w:sz w:val="24"/>
              </w:rPr>
              <w:t xml:space="preserve"> </w:t>
            </w:r>
            <w:r>
              <w:rPr>
                <w:spacing w:val="-2"/>
                <w:sz w:val="24"/>
              </w:rPr>
              <w:t>assets</w:t>
            </w:r>
          </w:p>
        </w:tc>
        <w:tc>
          <w:tcPr>
            <w:tcW w:w="2744" w:type="dxa"/>
          </w:tcPr>
          <w:p>
            <w:pPr>
              <w:pStyle w:val="7"/>
              <w:spacing w:line="256" w:lineRule="exact"/>
              <w:ind w:right="97"/>
              <w:rPr>
                <w:sz w:val="24"/>
              </w:rPr>
            </w:pPr>
            <w:r>
              <w:rPr>
                <w:rFonts w:eastAsia="宋体"/>
                <w:sz w:val="24"/>
                <w:szCs w:val="24"/>
              </w:rPr>
              <w:t>10,913</w:t>
            </w:r>
          </w:p>
        </w:tc>
        <w:tc>
          <w:tcPr>
            <w:tcW w:w="2821" w:type="dxa"/>
          </w:tcPr>
          <w:p>
            <w:pPr>
              <w:pStyle w:val="7"/>
              <w:spacing w:line="256" w:lineRule="exact"/>
              <w:ind w:right="100"/>
              <w:rPr>
                <w:sz w:val="24"/>
              </w:rPr>
            </w:pPr>
            <w:r>
              <w:rPr>
                <w:rFonts w:eastAsia="宋体"/>
                <w:sz w:val="24"/>
                <w:szCs w:val="24"/>
              </w:rPr>
              <w:t>12,801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2907" w:type="dxa"/>
          </w:tcPr>
          <w:p>
            <w:pPr>
              <w:pStyle w:val="7"/>
              <w:spacing w:line="272" w:lineRule="exact"/>
              <w:ind w:left="107"/>
              <w:jc w:val="left"/>
              <w:rPr>
                <w:sz w:val="24"/>
              </w:rPr>
            </w:pPr>
            <w:r>
              <w:rPr>
                <w:sz w:val="24"/>
              </w:rPr>
              <w:t>Net</w:t>
            </w:r>
            <w:r>
              <w:rPr>
                <w:spacing w:val="-5"/>
                <w:sz w:val="24"/>
              </w:rPr>
              <w:t xml:space="preserve"> </w:t>
            </w:r>
            <w:r>
              <w:rPr>
                <w:spacing w:val="-2"/>
                <w:sz w:val="24"/>
              </w:rPr>
              <w:t>assets</w:t>
            </w:r>
          </w:p>
        </w:tc>
        <w:tc>
          <w:tcPr>
            <w:tcW w:w="2744" w:type="dxa"/>
          </w:tcPr>
          <w:p>
            <w:pPr>
              <w:pStyle w:val="7"/>
              <w:spacing w:line="272" w:lineRule="exact"/>
              <w:ind w:right="97"/>
              <w:rPr>
                <w:sz w:val="24"/>
              </w:rPr>
            </w:pPr>
            <w:r>
              <w:rPr>
                <w:rFonts w:eastAsia="宋体"/>
                <w:sz w:val="24"/>
                <w:szCs w:val="24"/>
              </w:rPr>
              <w:t>8,093</w:t>
            </w:r>
          </w:p>
        </w:tc>
        <w:tc>
          <w:tcPr>
            <w:tcW w:w="2821" w:type="dxa"/>
          </w:tcPr>
          <w:p>
            <w:pPr>
              <w:pStyle w:val="7"/>
              <w:spacing w:line="272" w:lineRule="exact"/>
              <w:ind w:right="100"/>
              <w:rPr>
                <w:sz w:val="24"/>
              </w:rPr>
            </w:pPr>
            <w:r>
              <w:rPr>
                <w:rFonts w:eastAsia="宋体"/>
                <w:sz w:val="24"/>
                <w:szCs w:val="24"/>
              </w:rPr>
              <w:t>8,030</w:t>
            </w:r>
          </w:p>
        </w:tc>
      </w:tr>
    </w:tbl>
    <w:p>
      <w:pPr>
        <w:pStyle w:val="2"/>
        <w:spacing w:before="9"/>
        <w:rPr>
          <w:sz w:val="20"/>
        </w:rPr>
      </w:pPr>
      <w:bookmarkStart w:id="0" w:name="_GoBack"/>
      <w:bookmarkEnd w:id="0"/>
    </w:p>
    <w:p>
      <w:pPr>
        <w:pStyle w:val="2"/>
        <w:spacing w:line="360" w:lineRule="auto"/>
        <w:ind w:left="220" w:right="170"/>
        <w:jc w:val="both"/>
      </w:pPr>
      <w:r>
        <w:t>Please refer to the full announcement published by Yancoal Australia at the websites of the ASX (</w:t>
      </w:r>
      <w:r>
        <w:fldChar w:fldCharType="begin"/>
      </w:r>
      <w:r>
        <w:instrText xml:space="preserve"> HYPERLINK "https://www2.asx.com.au/" \h </w:instrText>
      </w:r>
      <w:r>
        <w:fldChar w:fldCharType="separate"/>
      </w:r>
      <w:r>
        <w:rPr>
          <w:color w:val="0000FF"/>
          <w:u w:val="single" w:color="0000FF"/>
        </w:rPr>
        <w:t>https://www2.asx.com.au</w:t>
      </w:r>
      <w:r>
        <w:rPr>
          <w:color w:val="0000FF"/>
          <w:u w:val="single" w:color="0000FF"/>
        </w:rPr>
        <w:fldChar w:fldCharType="end"/>
      </w:r>
      <w:r>
        <w:t>)</w:t>
      </w:r>
      <w:r>
        <w:rPr>
          <w:spacing w:val="40"/>
        </w:rPr>
        <w:t xml:space="preserve"> </w:t>
      </w:r>
      <w:r>
        <w:t>and</w:t>
      </w:r>
      <w:r>
        <w:rPr>
          <w:spacing w:val="40"/>
        </w:rPr>
        <w:t xml:space="preserve"> </w:t>
      </w:r>
      <w:r>
        <w:t>the</w:t>
      </w:r>
      <w:r>
        <w:rPr>
          <w:spacing w:val="40"/>
        </w:rPr>
        <w:t xml:space="preserve"> </w:t>
      </w:r>
      <w:r>
        <w:t>HKEX</w:t>
      </w:r>
      <w:r>
        <w:rPr>
          <w:spacing w:val="40"/>
        </w:rPr>
        <w:t xml:space="preserve"> </w:t>
      </w:r>
      <w:r>
        <w:t>(</w:t>
      </w:r>
      <w:r>
        <w:fldChar w:fldCharType="begin"/>
      </w:r>
      <w:r>
        <w:instrText xml:space="preserve"> HYPERLINK "http://www.hkexnews.hk/" \h </w:instrText>
      </w:r>
      <w:r>
        <w:fldChar w:fldCharType="separate"/>
      </w:r>
      <w:r>
        <w:rPr>
          <w:color w:val="0000FF"/>
          <w:u w:val="single" w:color="0000FF"/>
        </w:rPr>
        <w:t>www.hkexnews.hk</w:t>
      </w:r>
      <w:r>
        <w:rPr>
          <w:color w:val="0000FF"/>
          <w:u w:val="single" w:color="0000FF"/>
        </w:rPr>
        <w:fldChar w:fldCharType="end"/>
      </w:r>
      <w:r>
        <w:t>)</w:t>
      </w:r>
      <w:r>
        <w:rPr>
          <w:spacing w:val="40"/>
        </w:rPr>
        <w:t xml:space="preserve"> </w:t>
      </w:r>
      <w:r>
        <w:t>for</w:t>
      </w:r>
      <w:r>
        <w:rPr>
          <w:spacing w:val="40"/>
        </w:rPr>
        <w:t xml:space="preserve"> </w:t>
      </w:r>
      <w:r>
        <w:t>further</w:t>
      </w:r>
      <w:r>
        <w:rPr>
          <w:spacing w:val="40"/>
        </w:rPr>
        <w:t xml:space="preserve"> </w:t>
      </w:r>
      <w:r>
        <w:t>details.</w:t>
      </w:r>
    </w:p>
    <w:p>
      <w:pPr>
        <w:pStyle w:val="2"/>
        <w:rPr>
          <w:sz w:val="20"/>
        </w:rPr>
      </w:pPr>
    </w:p>
    <w:p>
      <w:pPr>
        <w:pStyle w:val="2"/>
        <w:spacing w:before="9"/>
        <w:rPr>
          <w:sz w:val="18"/>
        </w:rPr>
      </w:pPr>
    </w:p>
    <w:p>
      <w:pPr>
        <w:widowControl/>
        <w:tabs>
          <w:tab w:val="left" w:pos="8080"/>
        </w:tabs>
        <w:adjustRightInd w:val="0"/>
        <w:spacing w:line="276" w:lineRule="auto"/>
        <w:ind w:left="5670" w:right="-39"/>
        <w:jc w:val="center"/>
        <w:rPr>
          <w:rFonts w:eastAsia="PMingLiU"/>
          <w:sz w:val="24"/>
          <w:szCs w:val="24"/>
          <w:lang w:val="en-GB" w:eastAsia="zh-TW"/>
        </w:rPr>
      </w:pPr>
      <w:r>
        <w:rPr>
          <w:rFonts w:eastAsia="PMingLiU"/>
          <w:sz w:val="24"/>
          <w:szCs w:val="24"/>
          <w:lang w:val="en-GB" w:eastAsia="zh-TW"/>
        </w:rPr>
        <w:t>By order of the Board</w:t>
      </w:r>
    </w:p>
    <w:p>
      <w:pPr>
        <w:widowControl/>
        <w:tabs>
          <w:tab w:val="left" w:pos="8080"/>
        </w:tabs>
        <w:adjustRightInd w:val="0"/>
        <w:spacing w:line="276" w:lineRule="auto"/>
        <w:ind w:right="-39"/>
        <w:jc w:val="right"/>
        <w:rPr>
          <w:rFonts w:eastAsia="PMingLiU"/>
          <w:b/>
          <w:sz w:val="24"/>
          <w:szCs w:val="24"/>
          <w:lang w:val="en-GB" w:eastAsia="zh-TW"/>
        </w:rPr>
      </w:pPr>
      <w:r>
        <w:rPr>
          <w:rFonts w:eastAsia="PMingLiU"/>
          <w:b/>
          <w:sz w:val="24"/>
          <w:szCs w:val="24"/>
          <w:lang w:val="en-GB" w:eastAsia="zh-TW"/>
        </w:rPr>
        <w:t>Yankuang Energy Group Company Limited</w:t>
      </w:r>
      <w:r>
        <w:rPr>
          <w:rFonts w:eastAsia="PMingLiU"/>
          <w:sz w:val="24"/>
          <w:szCs w:val="24"/>
          <w:lang w:val="en-GB" w:eastAsia="zh-TW"/>
        </w:rPr>
        <w:t>*</w:t>
      </w:r>
    </w:p>
    <w:p>
      <w:pPr>
        <w:widowControl/>
        <w:tabs>
          <w:tab w:val="left" w:pos="8080"/>
        </w:tabs>
        <w:adjustRightInd w:val="0"/>
        <w:spacing w:line="276" w:lineRule="auto"/>
        <w:ind w:left="5670" w:right="-39"/>
        <w:jc w:val="center"/>
        <w:rPr>
          <w:rFonts w:eastAsia="宋体"/>
          <w:i/>
          <w:sz w:val="24"/>
          <w:szCs w:val="24"/>
          <w:lang w:val="en-GB" w:eastAsia="zh-CN"/>
        </w:rPr>
      </w:pPr>
      <w:r>
        <w:rPr>
          <w:rFonts w:eastAsia="PMingLiU"/>
          <w:b/>
          <w:sz w:val="24"/>
          <w:szCs w:val="24"/>
          <w:lang w:val="en-GB" w:eastAsia="zh-TW"/>
        </w:rPr>
        <w:t>Li Wei</w:t>
      </w:r>
    </w:p>
    <w:p>
      <w:pPr>
        <w:widowControl/>
        <w:tabs>
          <w:tab w:val="left" w:pos="8080"/>
        </w:tabs>
        <w:adjustRightInd w:val="0"/>
        <w:spacing w:line="276" w:lineRule="auto"/>
        <w:ind w:left="5670" w:right="-39"/>
        <w:jc w:val="center"/>
        <w:rPr>
          <w:rFonts w:eastAsia="宋体"/>
          <w:i/>
          <w:sz w:val="24"/>
          <w:szCs w:val="24"/>
          <w:lang w:val="en-GB" w:eastAsia="zh-CN"/>
        </w:rPr>
      </w:pPr>
      <w:r>
        <w:rPr>
          <w:rFonts w:eastAsia="宋体"/>
          <w:i/>
          <w:sz w:val="24"/>
          <w:szCs w:val="24"/>
          <w:lang w:val="en-GB" w:eastAsia="zh-CN"/>
        </w:rPr>
        <w:t>Chairman of the Board</w:t>
      </w:r>
    </w:p>
    <w:p>
      <w:pPr>
        <w:widowControl/>
        <w:tabs>
          <w:tab w:val="left" w:pos="8080"/>
        </w:tabs>
        <w:adjustRightInd w:val="0"/>
        <w:spacing w:line="276" w:lineRule="auto"/>
        <w:ind w:left="5670" w:right="-39"/>
        <w:jc w:val="center"/>
        <w:rPr>
          <w:rFonts w:eastAsia="PMingLiU"/>
          <w:sz w:val="24"/>
          <w:szCs w:val="24"/>
          <w:lang w:val="en-GB" w:eastAsia="zh-TW"/>
        </w:rPr>
      </w:pPr>
    </w:p>
    <w:p>
      <w:pPr>
        <w:autoSpaceDE/>
        <w:autoSpaceDN/>
        <w:jc w:val="both"/>
        <w:rPr>
          <w:rFonts w:eastAsia="宋体"/>
          <w:kern w:val="2"/>
          <w:sz w:val="24"/>
          <w:szCs w:val="24"/>
          <w:lang w:eastAsia="zh-CN"/>
        </w:rPr>
      </w:pPr>
    </w:p>
    <w:p>
      <w:pPr>
        <w:autoSpaceDE/>
        <w:autoSpaceDN/>
        <w:jc w:val="both"/>
        <w:rPr>
          <w:rFonts w:eastAsia="宋体"/>
          <w:kern w:val="2"/>
          <w:sz w:val="24"/>
          <w:szCs w:val="24"/>
          <w:lang w:eastAsia="zh-CN"/>
        </w:rPr>
      </w:pPr>
    </w:p>
    <w:p>
      <w:pPr>
        <w:autoSpaceDE/>
        <w:autoSpaceDN/>
        <w:jc w:val="both"/>
        <w:rPr>
          <w:rFonts w:eastAsia="宋体"/>
          <w:kern w:val="2"/>
          <w:sz w:val="24"/>
          <w:szCs w:val="24"/>
          <w:lang w:eastAsia="zh-CN"/>
        </w:rPr>
      </w:pPr>
      <w:r>
        <w:rPr>
          <w:rFonts w:eastAsia="PMingLiU"/>
          <w:spacing w:val="4"/>
          <w:kern w:val="2"/>
          <w:sz w:val="24"/>
          <w:szCs w:val="24"/>
          <w:lang w:eastAsia="zh-TW"/>
        </w:rPr>
        <w:t>Zoucheng,</w:t>
      </w:r>
      <w:r>
        <w:rPr>
          <w:rFonts w:eastAsia="PMingLiU"/>
          <w:spacing w:val="19"/>
          <w:kern w:val="2"/>
          <w:sz w:val="24"/>
          <w:szCs w:val="24"/>
          <w:lang w:eastAsia="zh-TW"/>
        </w:rPr>
        <w:t xml:space="preserve"> </w:t>
      </w:r>
      <w:r>
        <w:rPr>
          <w:rFonts w:eastAsia="PMingLiU"/>
          <w:spacing w:val="4"/>
          <w:kern w:val="2"/>
          <w:sz w:val="24"/>
          <w:szCs w:val="24"/>
          <w:lang w:eastAsia="zh-TW"/>
        </w:rPr>
        <w:t>Shandong Province,</w:t>
      </w:r>
      <w:r>
        <w:rPr>
          <w:rFonts w:eastAsia="PMingLiU"/>
          <w:spacing w:val="19"/>
          <w:kern w:val="2"/>
          <w:sz w:val="24"/>
          <w:szCs w:val="24"/>
          <w:lang w:eastAsia="zh-TW"/>
        </w:rPr>
        <w:t xml:space="preserve"> </w:t>
      </w:r>
      <w:r>
        <w:rPr>
          <w:rFonts w:eastAsia="PMingLiU"/>
          <w:spacing w:val="3"/>
          <w:kern w:val="2"/>
          <w:sz w:val="24"/>
          <w:szCs w:val="24"/>
          <w:lang w:eastAsia="zh-TW"/>
        </w:rPr>
        <w:t>the</w:t>
      </w:r>
      <w:r>
        <w:rPr>
          <w:rFonts w:eastAsia="PMingLiU"/>
          <w:spacing w:val="20"/>
          <w:kern w:val="2"/>
          <w:sz w:val="24"/>
          <w:szCs w:val="24"/>
          <w:lang w:eastAsia="zh-TW"/>
        </w:rPr>
        <w:t xml:space="preserve"> </w:t>
      </w:r>
      <w:r>
        <w:rPr>
          <w:rFonts w:eastAsia="PMingLiU"/>
          <w:spacing w:val="5"/>
          <w:kern w:val="2"/>
          <w:sz w:val="24"/>
          <w:szCs w:val="24"/>
          <w:lang w:eastAsia="zh-TW"/>
        </w:rPr>
        <w:t>PRC</w:t>
      </w:r>
    </w:p>
    <w:p>
      <w:pPr>
        <w:autoSpaceDE/>
        <w:autoSpaceDN/>
        <w:jc w:val="both"/>
        <w:rPr>
          <w:rFonts w:eastAsia="宋体"/>
          <w:spacing w:val="2"/>
          <w:kern w:val="2"/>
          <w:sz w:val="24"/>
          <w:szCs w:val="24"/>
          <w:lang w:eastAsia="zh-CN"/>
        </w:rPr>
      </w:pPr>
      <w:r>
        <w:rPr>
          <w:rFonts w:eastAsia="PMingLiU"/>
          <w:spacing w:val="4"/>
          <w:kern w:val="2"/>
          <w:sz w:val="24"/>
          <w:szCs w:val="24"/>
          <w:lang w:eastAsia="zh-TW"/>
        </w:rPr>
        <w:t>16 A</w:t>
      </w:r>
      <w:r>
        <w:rPr>
          <w:rFonts w:eastAsia="宋体"/>
          <w:spacing w:val="4"/>
          <w:kern w:val="2"/>
          <w:sz w:val="24"/>
          <w:szCs w:val="24"/>
          <w:lang w:eastAsia="zh-CN"/>
        </w:rPr>
        <w:t>ugust</w:t>
      </w:r>
      <w:r>
        <w:rPr>
          <w:rFonts w:eastAsia="PMingLiU"/>
          <w:spacing w:val="4"/>
          <w:kern w:val="2"/>
          <w:sz w:val="24"/>
          <w:szCs w:val="24"/>
          <w:lang w:eastAsia="zh-TW"/>
        </w:rPr>
        <w:t xml:space="preserve"> 2023</w:t>
      </w:r>
    </w:p>
    <w:p>
      <w:pPr>
        <w:autoSpaceDE/>
        <w:autoSpaceDN/>
        <w:jc w:val="both"/>
        <w:rPr>
          <w:rFonts w:eastAsia="宋体"/>
          <w:kern w:val="2"/>
          <w:sz w:val="24"/>
          <w:szCs w:val="24"/>
          <w:lang w:eastAsia="zh-CN"/>
        </w:rPr>
      </w:pPr>
    </w:p>
    <w:p>
      <w:pPr>
        <w:autoSpaceDE/>
        <w:autoSpaceDN/>
        <w:jc w:val="both"/>
        <w:rPr>
          <w:rFonts w:eastAsia="PMingLiU"/>
          <w:i/>
          <w:iCs/>
          <w:kern w:val="2"/>
          <w:sz w:val="24"/>
          <w:szCs w:val="24"/>
          <w:lang w:eastAsia="zh-TW"/>
        </w:rPr>
      </w:pPr>
      <w:r>
        <w:rPr>
          <w:rFonts w:eastAsia="PMingLiU"/>
          <w:i/>
          <w:iCs/>
          <w:kern w:val="2"/>
          <w:sz w:val="24"/>
          <w:szCs w:val="24"/>
          <w:lang w:eastAsia="zh-TW"/>
        </w:rPr>
        <w:t xml:space="preserve">As at the date of this announcement, the Directors of the Company are Mr. Li Wei, Mr. Xiao Yaomeng, Mr. Liu Jian, Mr. Liu Qiang, Mr. Zhang Haijun , Mr. Su Li and Mr. Huang Xiaolong, and the independent non-executive Directors of the Company are Mr. Peng Suping, Mr. Zhu Limin, Mr. Woo Kar Tung, Raymond and Ms. Zhu Rui. </w:t>
      </w:r>
    </w:p>
    <w:p>
      <w:pPr>
        <w:autoSpaceDE/>
        <w:autoSpaceDN/>
        <w:jc w:val="both"/>
        <w:rPr>
          <w:rFonts w:eastAsia="PMingLiU"/>
          <w:i/>
          <w:iCs/>
          <w:kern w:val="2"/>
          <w:sz w:val="24"/>
          <w:szCs w:val="24"/>
          <w:lang w:eastAsia="zh-TW"/>
        </w:rPr>
      </w:pPr>
    </w:p>
    <w:p>
      <w:pPr>
        <w:autoSpaceDE/>
        <w:autoSpaceDN/>
        <w:jc w:val="both"/>
        <w:rPr>
          <w:rFonts w:eastAsia="PMingLiU"/>
          <w:i/>
          <w:iCs/>
          <w:kern w:val="2"/>
          <w:sz w:val="24"/>
          <w:szCs w:val="24"/>
          <w:lang w:eastAsia="zh-TW"/>
        </w:rPr>
      </w:pPr>
      <w:r>
        <w:rPr>
          <w:rFonts w:eastAsia="PMingLiU"/>
          <w:i/>
          <w:iCs/>
          <w:kern w:val="2"/>
          <w:sz w:val="24"/>
          <w:szCs w:val="24"/>
          <w:lang w:eastAsia="zh-TW"/>
        </w:rPr>
        <w:t>*</w:t>
      </w:r>
      <w:r>
        <w:rPr>
          <w:rFonts w:eastAsia="宋体"/>
          <w:sz w:val="24"/>
          <w:szCs w:val="24"/>
          <w:lang w:val="en-GB" w:eastAsia="zh-CN"/>
        </w:rPr>
        <w:t xml:space="preserve"> </w:t>
      </w:r>
      <w:r>
        <w:rPr>
          <w:rFonts w:eastAsia="PMingLiU"/>
          <w:i/>
          <w:iCs/>
          <w:kern w:val="2"/>
          <w:sz w:val="24"/>
          <w:szCs w:val="24"/>
          <w:lang w:val="en-GB" w:eastAsia="zh-TW"/>
        </w:rPr>
        <w:t>For identification purpose only</w:t>
      </w:r>
    </w:p>
    <w:p>
      <w:pPr>
        <w:autoSpaceDE/>
        <w:autoSpaceDN/>
        <w:jc w:val="both"/>
        <w:rPr>
          <w:rFonts w:eastAsia="宋体"/>
          <w:i/>
          <w:iCs/>
          <w:kern w:val="2"/>
          <w:sz w:val="24"/>
          <w:szCs w:val="24"/>
          <w:lang w:eastAsia="zh-CN"/>
        </w:rPr>
      </w:pPr>
    </w:p>
    <w:p>
      <w:pPr>
        <w:pStyle w:val="2"/>
        <w:spacing w:before="90"/>
        <w:ind w:left="6322" w:right="552"/>
        <w:jc w:val="center"/>
        <w:rPr>
          <w:i/>
        </w:rPr>
      </w:pPr>
    </w:p>
    <w:sectPr>
      <w:type w:val="continuous"/>
      <w:pgSz w:w="11910" w:h="16840"/>
      <w:pgMar w:top="1400" w:right="920" w:bottom="880" w:left="860" w:header="0" w:footer="6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6781800</wp:posOffset>
              </wp:positionH>
              <wp:positionV relativeFrom="page">
                <wp:posOffset>10110470</wp:posOffset>
              </wp:positionV>
              <wp:extent cx="146050"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noFill/>
                      <a:ln>
                        <a:noFill/>
                      </a:ln>
                    </wps:spPr>
                    <wps:txbx>
                      <w:txbxContent>
                        <w:p>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alt="" type="#_x0000_t202" style="position:absolute;left:0pt;margin-left:534pt;margin-top:796.1pt;height:11pt;width:11.5pt;mso-position-horizontal-relative:page;mso-position-vertical-relative:page;z-index:-251657216;mso-width-relative:page;mso-height-relative:page;" filled="f" stroked="f" coordsize="21600,21600" o:gfxdata="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H7SZw2gAAAA8BAAAPAAAAAAAAAAEAIAAAACIAAABkcnMvZG93bnJl&#10;di54bWxQSwECFAAUAAAACACHTuJALUPZ4/sBAAADBAAADgAAAAAAAAABACAAAAApAQAAZHJzL2Uy&#10;b0RvYy54bWxQSwUGAAAAAAYABgBZAQAAlgUAAAAA&#10;">
              <v:fill on="f" focussize="0,0"/>
              <v:stroke on="f"/>
              <v:imagedata o:title=""/>
              <o:lock v:ext="edit" aspectratio="f"/>
              <v:textbox inset="0mm,0mm,0mm,0mm">
                <w:txbxContent>
                  <w:p>
                    <w:pPr>
                      <w:spacing w:before="15"/>
                      <w:ind w:left="6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docVars>
    <w:docVar w:name="commondata" w:val="eyJoZGlkIjoiY2U1NmM5OTU2ZmY4Y2RiYTg3ZTQ2ZGQyMTliYjRmY2MifQ=="/>
  </w:docVars>
  <w:rsids>
    <w:rsidRoot w:val="00C5742B"/>
    <w:rsid w:val="00C5742B"/>
    <w:rsid w:val="00CC2D0D"/>
    <w:rsid w:val="00EE1175"/>
    <w:rsid w:val="5B57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Title"/>
    <w:basedOn w:val="1"/>
    <w:qFormat/>
    <w:uiPriority w:val="10"/>
    <w:pPr>
      <w:spacing w:before="2"/>
      <w:ind w:left="611" w:right="552"/>
      <w:jc w:val="center"/>
    </w:pPr>
    <w:rPr>
      <w:b/>
      <w:bCs/>
      <w:sz w:val="36"/>
      <w:szCs w:val="36"/>
    </w:rPr>
  </w:style>
  <w:style w:type="paragraph" w:styleId="6">
    <w:name w:val="List Paragraph"/>
    <w:basedOn w:val="1"/>
    <w:qFormat/>
    <w:uiPriority w:val="1"/>
  </w:style>
  <w:style w:type="paragraph" w:customStyle="1" w:styleId="7">
    <w:name w:val="Table Paragraph"/>
    <w:basedOn w:val="1"/>
    <w:qFormat/>
    <w:uiPriority w:val="1"/>
    <w:pPr>
      <w:jc w:val="righ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397</Words>
  <Characters>2000</Characters>
  <TotalTime>0</TotalTime>
  <ScaleCrop>false</ScaleCrop>
  <LinksUpToDate>false</LinksUpToDate>
  <CharactersWithSpaces>2345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2411-12-31T16:00:00Z</dcterms:created>
  <dc:creator>XTX</dc:creator>
  <cp:lastModifiedBy>许玉崑</cp:lastModifiedBy>
  <dcterms:modified xsi:type="dcterms:W3CDTF">2023-08-16T06:36:48Z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B99287D12A2C4933A3F2034A18DF310D_12</vt:lpwstr>
  </property>
</Properties>
</file>